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C2" w:rsidRPr="0088709B" w:rsidRDefault="00892D45" w:rsidP="0088709B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="003D596C" w:rsidRPr="003D596C">
        <w:rPr>
          <w:rFonts w:ascii="Lato" w:hAnsi="Lato" w:cs="Lato"/>
          <w:color w:val="355289"/>
          <w:szCs w:val="28"/>
        </w:rPr>
        <w:t>ACT03. Bitácora COL tercer nivel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2977"/>
        <w:gridCol w:w="3118"/>
        <w:gridCol w:w="3119"/>
        <w:gridCol w:w="3196"/>
      </w:tblGrid>
      <w:tr w:rsidR="003D596C" w:rsidTr="003D596C">
        <w:trPr>
          <w:trHeight w:val="636"/>
        </w:trPr>
        <w:tc>
          <w:tcPr>
            <w:tcW w:w="1980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8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Llenado del formato​.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100% de las preguntas de la bitácora.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90% de las preguntas de la bitácora.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70% de las preguntas de la bitácora.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50% de las preguntas de la bitácora.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Contenido.  Suficiencia, amplitud y pertinencia.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Presenta el 100 %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de suficiencia y amplitud en sus respuestas con descripción objeti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va y cronológica de los hechos,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mostrando capacidad para discernir emociones y describe los procesos de aprendizaje adquiridos con evidencias de la relación entre ellos y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. </w:t>
            </w:r>
          </w:p>
        </w:tc>
        <w:tc>
          <w:tcPr>
            <w:tcW w:w="3118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90 %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objetiva y cronológica de los hechos, mostrando capacidad para discernir emociones y describe los procesos de aprendi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zaje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119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70%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a y cronológica de los hechos,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mostrando capacidad para discernir emociones y descri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be los procesos de aprendizaje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196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50%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objetiva y cronológica de los hechos, mostrando capacidad para discernir emociones y describe los procesos de aprendizaje 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.​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lastRenderedPageBreak/>
              <w:t>Autoría y originalidad.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100%  de sus respuestas.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90%  de sus respuestas.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70%  de sus respuestas.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50%  de sus respuestas.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incongruente, vaga,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ambigua y no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w:rsidR="003D596C" w:rsidTr="003D596C">
        <w:tc>
          <w:tcPr>
            <w:tcW w:w="1980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1273E2"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8" w:type="dxa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51750" w:rsidRDefault="00751750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751750" w:rsidRDefault="00751750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Cs w:val="28"/>
        </w:rPr>
        <w:br w:type="page"/>
      </w:r>
    </w:p>
    <w:p w:rsidR="00751750" w:rsidRPr="0088709B" w:rsidRDefault="00751750" w:rsidP="00751750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lastRenderedPageBreak/>
        <w:t xml:space="preserve">Módulo 1. </w:t>
      </w:r>
      <w:r w:rsidRPr="00844513">
        <w:rPr>
          <w:rFonts w:ascii="Lato" w:hAnsi="Lato" w:cs="Lato"/>
          <w:color w:val="355289"/>
          <w:szCs w:val="28"/>
        </w:rPr>
        <w:t>ACT03. Foro 2</w:t>
      </w:r>
    </w:p>
    <w:p w:rsidR="00751750" w:rsidRDefault="00751750" w:rsidP="00751750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w:rsidR="00751750" w:rsidTr="0079309D">
        <w:tc>
          <w:tcPr>
            <w:tcW w:w="2263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vAlign w:val="center"/>
          </w:tcPr>
          <w:p w:rsidR="007517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  <w:r w:rsidR="00304F5B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  <w:r w:rsidR="00304F5B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100% de información  atinente entre la metacognición</w:t>
            </w:r>
            <w:bookmarkStart w:id="0" w:name="_GoBack"/>
            <w:bookmarkEnd w:id="0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compañeros.​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90% de información  atinente entre la metacognición de él y sus compañeros.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70% de información  atinente entre la metacognición de él y sus compañeros.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50% de información  atinente entre la metacognición de él y sus compañeros.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redacción​.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751750" w:rsidTr="0079309D">
        <w:tc>
          <w:tcPr>
            <w:tcW w:w="2263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vAlign w:val="center"/>
          </w:tcPr>
          <w:p w:rsidR="007517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51750" w:rsidRPr="00C111B7" w:rsidRDefault="00751750" w:rsidP="00751750">
      <w:pPr>
        <w:pStyle w:val="Prrafobsico"/>
        <w:rPr>
          <w:rFonts w:ascii="Lato" w:hAnsi="Lato" w:cs="Lato"/>
          <w:color w:val="355289"/>
          <w:szCs w:val="28"/>
        </w:rPr>
      </w:pPr>
    </w:p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9"/>
      <w:footerReference w:type="default" r:id="rId10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C23" w:rsidRDefault="00F11C23" w:rsidP="005D226C">
      <w:pPr>
        <w:spacing w:after="0" w:line="240" w:lineRule="auto"/>
      </w:pPr>
      <w:r>
        <w:separator/>
      </w:r>
    </w:p>
  </w:endnote>
  <w:endnote w:type="continuationSeparator" w:id="0">
    <w:p w:rsidR="00F11C23" w:rsidRDefault="00F11C23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32A23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51750" w:rsidRPr="00751750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51750" w:rsidRPr="00751750">
      <w:rPr>
        <w:rFonts w:cstheme="minorHAnsi"/>
        <w:noProof/>
        <w:color w:val="2F5496" w:themeColor="accent1" w:themeShade="BF"/>
        <w:sz w:val="24"/>
        <w:szCs w:val="24"/>
        <w:lang w:val="es-ES"/>
      </w:rPr>
      <w:t>5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C23" w:rsidRDefault="00F11C23" w:rsidP="005D226C">
      <w:pPr>
        <w:spacing w:after="0" w:line="240" w:lineRule="auto"/>
      </w:pPr>
      <w:r>
        <w:separator/>
      </w:r>
    </w:p>
  </w:footnote>
  <w:footnote w:type="continuationSeparator" w:id="0">
    <w:p w:rsidR="00F11C23" w:rsidRDefault="00F11C23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46DAD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D6AC41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6C"/>
    <w:rsid w:val="001273E2"/>
    <w:rsid w:val="0027596A"/>
    <w:rsid w:val="00304F5B"/>
    <w:rsid w:val="00393FA9"/>
    <w:rsid w:val="003D596C"/>
    <w:rsid w:val="005D226C"/>
    <w:rsid w:val="00751750"/>
    <w:rsid w:val="007C4399"/>
    <w:rsid w:val="008326C3"/>
    <w:rsid w:val="0088709B"/>
    <w:rsid w:val="00892D45"/>
    <w:rsid w:val="008E3BC3"/>
    <w:rsid w:val="00B775C2"/>
    <w:rsid w:val="00C10191"/>
    <w:rsid w:val="00C111B7"/>
    <w:rsid w:val="00F11C23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4088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53E1E-E3A9-4050-A709-9F82EE0C9511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C291B59D-1082-41CC-9802-C8A714412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F1CD3-0327-4425-9B8C-4DE0B462A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Microsoft Office User</cp:lastModifiedBy>
  <cp:revision>2</cp:revision>
  <dcterms:created xsi:type="dcterms:W3CDTF">2024-06-06T15:41:00Z</dcterms:created>
  <dcterms:modified xsi:type="dcterms:W3CDTF">2024-06-06T15:41:00Z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