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3402"/>
      </w:tblGrid>
      <w:tr w:rsidR="00322E46" w:rsidRPr="005B2EDC" w:rsidTr="00D04014">
        <w:tc>
          <w:tcPr>
            <w:tcW w:w="7366" w:type="dxa"/>
            <w:shd w:val="clear" w:color="auto" w:fill="auto"/>
          </w:tcPr>
          <w:p w:rsidR="00322E46" w:rsidRPr="005B2EDC" w:rsidRDefault="00322E46" w:rsidP="00322E46">
            <w:pPr>
              <w:rPr>
                <w:sz w:val="20"/>
                <w:szCs w:val="20"/>
              </w:rPr>
            </w:pPr>
            <w:r w:rsidRPr="005B2EDC">
              <w:rPr>
                <w:sz w:val="20"/>
                <w:szCs w:val="20"/>
              </w:rPr>
              <w:t xml:space="preserve">Bienvenido a la </w:t>
            </w:r>
            <w:r w:rsidRPr="005B2EDC">
              <w:rPr>
                <w:rFonts w:cstheme="minorHAnsi"/>
                <w:sz w:val="20"/>
                <w:szCs w:val="20"/>
              </w:rPr>
              <w:t xml:space="preserve">Experiencia Educativa </w:t>
            </w:r>
            <w:r w:rsidRPr="005B2EDC">
              <w:rPr>
                <w:sz w:val="20"/>
                <w:szCs w:val="20"/>
              </w:rPr>
              <w:t>de Inglés Básico 3 Virtual.</w:t>
            </w:r>
          </w:p>
        </w:tc>
        <w:tc>
          <w:tcPr>
            <w:tcW w:w="3402" w:type="dxa"/>
            <w:shd w:val="clear" w:color="auto" w:fill="auto"/>
          </w:tcPr>
          <w:p w:rsidR="00322E46" w:rsidRPr="005B2EDC" w:rsidRDefault="00322E46">
            <w:pPr>
              <w:rPr>
                <w:sz w:val="20"/>
                <w:szCs w:val="20"/>
              </w:rPr>
            </w:pPr>
          </w:p>
        </w:tc>
      </w:tr>
      <w:tr w:rsidR="00322E46" w:rsidRPr="005B2EDC" w:rsidTr="00D04014">
        <w:tc>
          <w:tcPr>
            <w:tcW w:w="7366" w:type="dxa"/>
            <w:shd w:val="clear" w:color="auto" w:fill="auto"/>
          </w:tcPr>
          <w:p w:rsidR="00322E46" w:rsidRPr="005B2EDC" w:rsidRDefault="00322E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B2EDC">
              <w:rPr>
                <w:sz w:val="20"/>
                <w:szCs w:val="20"/>
              </w:rPr>
              <w:t xml:space="preserve">Al termino de este curso podrás </w:t>
            </w:r>
            <w:r w:rsidRPr="005B2EDC">
              <w:rPr>
                <w:rFonts w:eastAsia="Times New Roman" w:cstheme="minorHAnsi"/>
                <w:color w:val="000000"/>
                <w:sz w:val="20"/>
                <w:szCs w:val="20"/>
              </w:rPr>
              <w:t>comunicarte, de manera oral y escrita en inglés, utilizando frases y expresiones sencillas y breves que describan tus actividades cotidianas en la casa, en la escuela y/o en el trabajo; de igual forma serás capaz de leer y comprender textos breves y sencillos en inglés con intención de compartir con tus compañeros tu punto de vista, de manera cordial y respetuosa.</w:t>
            </w:r>
          </w:p>
        </w:tc>
        <w:tc>
          <w:tcPr>
            <w:tcW w:w="3402" w:type="dxa"/>
            <w:shd w:val="clear" w:color="auto" w:fill="auto"/>
          </w:tcPr>
          <w:p w:rsidR="00322E46" w:rsidRPr="005B2EDC" w:rsidRDefault="00322E46">
            <w:pPr>
              <w:rPr>
                <w:sz w:val="20"/>
                <w:szCs w:val="20"/>
              </w:rPr>
            </w:pPr>
            <w:r w:rsidRPr="005B2EDC">
              <w:rPr>
                <w:sz w:val="20"/>
                <w:szCs w:val="20"/>
              </w:rPr>
              <w:t>Unidad de competencia</w:t>
            </w:r>
          </w:p>
        </w:tc>
      </w:tr>
      <w:tr w:rsidR="00322E46" w:rsidRPr="005B2EDC" w:rsidTr="00D04014">
        <w:tc>
          <w:tcPr>
            <w:tcW w:w="7366" w:type="dxa"/>
            <w:shd w:val="clear" w:color="auto" w:fill="auto"/>
          </w:tcPr>
          <w:p w:rsidR="00322E46" w:rsidRPr="005B2EDC" w:rsidRDefault="00322E46">
            <w:pPr>
              <w:rPr>
                <w:sz w:val="20"/>
                <w:szCs w:val="20"/>
              </w:rPr>
            </w:pPr>
            <w:r w:rsidRPr="005B2EDC">
              <w:rPr>
                <w:sz w:val="20"/>
                <w:szCs w:val="20"/>
              </w:rPr>
              <w:t xml:space="preserve">Este </w:t>
            </w:r>
            <w:r w:rsidR="00A0520F">
              <w:rPr>
                <w:sz w:val="20"/>
                <w:szCs w:val="20"/>
              </w:rPr>
              <w:t xml:space="preserve">curso </w:t>
            </w:r>
            <w:r w:rsidRPr="005B2EDC">
              <w:rPr>
                <w:sz w:val="20"/>
                <w:szCs w:val="20"/>
              </w:rPr>
              <w:t>consta de 8 módulos.</w:t>
            </w:r>
          </w:p>
        </w:tc>
        <w:tc>
          <w:tcPr>
            <w:tcW w:w="3402" w:type="dxa"/>
            <w:shd w:val="clear" w:color="auto" w:fill="auto"/>
          </w:tcPr>
          <w:p w:rsidR="00322E46" w:rsidRPr="005B2EDC" w:rsidRDefault="00322E46">
            <w:pPr>
              <w:rPr>
                <w:sz w:val="20"/>
                <w:szCs w:val="20"/>
              </w:rPr>
            </w:pPr>
            <w:r w:rsidRPr="005B2EDC">
              <w:rPr>
                <w:sz w:val="20"/>
                <w:szCs w:val="20"/>
              </w:rPr>
              <w:t>Incluir imagen de los 8 módulos con sus nombres.</w:t>
            </w:r>
          </w:p>
        </w:tc>
      </w:tr>
      <w:tr w:rsidR="00322E46" w:rsidRPr="005B2EDC" w:rsidTr="00D04014">
        <w:tc>
          <w:tcPr>
            <w:tcW w:w="7366" w:type="dxa"/>
            <w:shd w:val="clear" w:color="auto" w:fill="auto"/>
          </w:tcPr>
          <w:p w:rsidR="00322E46" w:rsidRPr="005B2EDC" w:rsidRDefault="00322E46" w:rsidP="00322E46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A lo largo de este curso realizarás una serie de actividades que implican el desarrollo y utilización de procedimientos y recursos educativos y que juntos representan diferentes estrategias de aprendizaje como </w:t>
            </w:r>
            <w:r w:rsidR="00A0520F">
              <w:rPr>
                <w:rFonts w:asciiTheme="minorHAnsi" w:hAnsiTheme="minorHAnsi" w:cstheme="minorHAnsi"/>
                <w:sz w:val="20"/>
                <w:szCs w:val="20"/>
              </w:rPr>
              <w:t xml:space="preserve">las de </w:t>
            </w:r>
            <w:r w:rsidR="00B265B5" w:rsidRPr="005B2EDC">
              <w:rPr>
                <w:rFonts w:asciiTheme="minorHAnsi" w:hAnsiTheme="minorHAnsi" w:cstheme="minorHAnsi"/>
                <w:sz w:val="20"/>
                <w:szCs w:val="20"/>
              </w:rPr>
              <w:t>sistematización, procesamiento, reflexión, colaboración, retroalimentación, entre otras.</w:t>
            </w:r>
          </w:p>
          <w:p w:rsidR="00B265B5" w:rsidRPr="005B2EDC" w:rsidRDefault="00B265B5" w:rsidP="00B265B5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Aquí desarrollarás Actividades de Practica en Línea y Tareas de Aprendizaje en la Plataforma </w:t>
            </w:r>
          </w:p>
          <w:p w:rsidR="00B265B5" w:rsidRPr="005B2EDC" w:rsidRDefault="00B265B5" w:rsidP="00B265B5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Las Actividades de Practica en Línea implican el desarrollo de ejercicios de recuperación de conocimientos previos, ejercicios de memorización</w:t>
            </w:r>
            <w:r w:rsidR="00A0520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 de estructuración y organización de información, así como ejercicios que te permitirán desarrollar tu habilidad para escuchar palabras, enunciados y textos en inglés.  Estas </w:t>
            </w:r>
            <w:r w:rsidR="005B2EDC" w:rsidRPr="005B2EDC">
              <w:rPr>
                <w:rFonts w:asciiTheme="minorHAnsi" w:hAnsiTheme="minorHAnsi" w:cstheme="minorHAnsi"/>
                <w:sz w:val="20"/>
                <w:szCs w:val="20"/>
              </w:rPr>
              <w:t>actividades,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 aunque son únicamente de práctica y no forman parte de la evaluación de la EE, se recomienda que las trabajes</w:t>
            </w:r>
            <w:r w:rsidR="005357EB"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 porque te servirán para poner en práctica los contenidos de cada módulo.</w:t>
            </w:r>
          </w:p>
          <w:p w:rsidR="00B265B5" w:rsidRPr="005B2EDC" w:rsidRDefault="00A0520F" w:rsidP="00B265B5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 otro lado, l</w:t>
            </w:r>
            <w:r w:rsidR="00B265B5" w:rsidRPr="005B2EDC">
              <w:rPr>
                <w:rFonts w:asciiTheme="minorHAnsi" w:hAnsiTheme="minorHAnsi" w:cstheme="minorHAnsi"/>
                <w:sz w:val="20"/>
                <w:szCs w:val="20"/>
              </w:rPr>
              <w:t>as Tareas de Aprendizaje en la Plataforma son tareas que desarrollarás con la intensión de demostrar que dominas la información y habilidades que se han abordado en cada módulo de aprendizaje</w:t>
            </w:r>
            <w:r w:rsidR="005B2EDC">
              <w:rPr>
                <w:rFonts w:asciiTheme="minorHAnsi" w:hAnsiTheme="minorHAnsi" w:cstheme="minorHAnsi"/>
                <w:sz w:val="20"/>
                <w:szCs w:val="20"/>
              </w:rPr>
              <w:t xml:space="preserve"> de este curso</w:t>
            </w:r>
            <w:r w:rsidR="00B265B5"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. Estas tareas forman parte de la evaluación de la EE.  </w:t>
            </w:r>
          </w:p>
          <w:p w:rsidR="00322E46" w:rsidRPr="005B2EDC" w:rsidRDefault="005357EB" w:rsidP="00A0520F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En esta modalidad es importante que te mantengas </w:t>
            </w:r>
            <w:r w:rsidR="005B2EDC"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siempre 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en contacto con tu </w:t>
            </w:r>
            <w:r w:rsidR="00A0520F" w:rsidRPr="005B2EDC">
              <w:rPr>
                <w:rFonts w:asciiTheme="minorHAnsi" w:hAnsiTheme="minorHAnsi" w:cstheme="minorHAnsi"/>
                <w:sz w:val="20"/>
                <w:szCs w:val="20"/>
              </w:rPr>
              <w:t>facilitador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. Los principales medios que se utilizarán para este fin son el centro de mensajes de este curso, así como el correo institucional y en ocasiones, si es necesario, se desarrollar</w:t>
            </w:r>
            <w:r w:rsidR="00A0520F">
              <w:rPr>
                <w:rFonts w:asciiTheme="minorHAnsi" w:hAnsiTheme="minorHAnsi" w:cstheme="minorHAnsi"/>
                <w:sz w:val="20"/>
                <w:szCs w:val="20"/>
              </w:rPr>
              <w:t xml:space="preserve">án sesiones de apoyo a través de sistemas de videoconferencias tales como zoom, </w:t>
            </w:r>
            <w:proofErr w:type="spellStart"/>
            <w:r w:rsidR="00A0520F">
              <w:rPr>
                <w:rFonts w:asciiTheme="minorHAnsi" w:hAnsiTheme="minorHAnsi" w:cstheme="minorHAnsi"/>
                <w:sz w:val="20"/>
                <w:szCs w:val="20"/>
              </w:rPr>
              <w:t>teams</w:t>
            </w:r>
            <w:proofErr w:type="spellEnd"/>
            <w:r w:rsidR="00A0520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A0520F">
              <w:rPr>
                <w:rFonts w:asciiTheme="minorHAnsi" w:hAnsiTheme="minorHAnsi" w:cstheme="minorHAnsi"/>
                <w:sz w:val="20"/>
                <w:szCs w:val="20"/>
              </w:rPr>
              <w:t>meet</w:t>
            </w:r>
            <w:proofErr w:type="spellEnd"/>
            <w:r w:rsidR="00A0520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A0520F">
              <w:rPr>
                <w:rFonts w:asciiTheme="minorHAnsi" w:hAnsiTheme="minorHAnsi" w:cstheme="minorHAnsi"/>
                <w:sz w:val="20"/>
                <w:szCs w:val="20"/>
              </w:rPr>
              <w:t>whatsapp</w:t>
            </w:r>
            <w:proofErr w:type="spellEnd"/>
            <w:r w:rsidR="00A0520F">
              <w:rPr>
                <w:rFonts w:asciiTheme="minorHAnsi" w:hAnsiTheme="minorHAnsi" w:cstheme="minorHAnsi"/>
                <w:sz w:val="20"/>
                <w:szCs w:val="20"/>
              </w:rPr>
              <w:t>, etc.</w:t>
            </w:r>
          </w:p>
        </w:tc>
        <w:tc>
          <w:tcPr>
            <w:tcW w:w="3402" w:type="dxa"/>
            <w:shd w:val="clear" w:color="auto" w:fill="auto"/>
          </w:tcPr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B2ED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Esquema de estrategias cognitivas y </w:t>
            </w:r>
            <w:proofErr w:type="spellStart"/>
            <w:r w:rsidRPr="005B2EDC">
              <w:rPr>
                <w:rFonts w:ascii="Calibri" w:hAnsi="Calibri" w:cs="Calibri"/>
                <w:b/>
                <w:bCs/>
                <w:sz w:val="20"/>
                <w:szCs w:val="20"/>
              </w:rPr>
              <w:t>metacognitivas</w:t>
            </w:r>
            <w:proofErr w:type="spellEnd"/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B265B5" w:rsidRPr="005B2EDC" w:rsidRDefault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5B2ED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(Online Practice Activity (OPA)</w:t>
            </w:r>
          </w:p>
          <w:p w:rsidR="00322E46" w:rsidRPr="005B2EDC" w:rsidRDefault="00B265B5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5B2ED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(Platform Learning Task (PLT)</w:t>
            </w: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:rsidR="005357EB" w:rsidRPr="005B2EDC" w:rsidRDefault="005357EB" w:rsidP="00B265B5">
            <w:pPr>
              <w:rPr>
                <w:sz w:val="20"/>
                <w:szCs w:val="20"/>
              </w:rPr>
            </w:pPr>
            <w:r w:rsidRPr="005B2EDC">
              <w:rPr>
                <w:rFonts w:ascii="Calibri" w:hAnsi="Calibri" w:cs="Calibri"/>
                <w:b/>
                <w:bCs/>
                <w:sz w:val="20"/>
                <w:szCs w:val="20"/>
              </w:rPr>
              <w:t>Poner donde se ubica el centro de mensajes</w:t>
            </w:r>
          </w:p>
        </w:tc>
      </w:tr>
      <w:tr w:rsidR="005357EB" w:rsidRPr="005B2EDC" w:rsidTr="00D04014">
        <w:tc>
          <w:tcPr>
            <w:tcW w:w="7366" w:type="dxa"/>
            <w:shd w:val="clear" w:color="auto" w:fill="auto"/>
          </w:tcPr>
          <w:p w:rsidR="005357EB" w:rsidRPr="005B2EDC" w:rsidRDefault="005357EB" w:rsidP="005357EB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La evaluación en Inglés Básico III Virtual se divide en dos tipos de evidencia de desempeño:</w:t>
            </w:r>
          </w:p>
          <w:p w:rsidR="005357EB" w:rsidRPr="005B2EDC" w:rsidRDefault="005357EB" w:rsidP="005357EB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Evidencias por productos que se refieren a las tareas de aprendizaje en la plataforma las cuales pueden ser: </w:t>
            </w:r>
            <w:r w:rsidR="006B68E8">
              <w:rPr>
                <w:rFonts w:asciiTheme="minorHAnsi" w:hAnsiTheme="minorHAnsi" w:cstheme="minorHAnsi"/>
                <w:sz w:val="20"/>
                <w:szCs w:val="20"/>
              </w:rPr>
              <w:t>videos, audios, textos.</w:t>
            </w:r>
            <w:bookmarkStart w:id="0" w:name="_GoBack"/>
            <w:bookmarkEnd w:id="0"/>
          </w:p>
          <w:p w:rsidR="005357EB" w:rsidRPr="005B2EDC" w:rsidRDefault="005357EB" w:rsidP="005357EB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Evidencias por demostración, que se refiere a los </w:t>
            </w:r>
            <w:r w:rsidR="005B2EDC" w:rsidRPr="005B2EDC">
              <w:rPr>
                <w:rFonts w:asciiTheme="minorHAnsi" w:hAnsiTheme="minorHAnsi" w:cstheme="minorHAnsi"/>
                <w:sz w:val="20"/>
                <w:szCs w:val="20"/>
              </w:rPr>
              <w:t>exámenes breves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 por </w:t>
            </w:r>
            <w:r w:rsidR="005B2EDC" w:rsidRPr="005B2EDC">
              <w:rPr>
                <w:rFonts w:asciiTheme="minorHAnsi" w:hAnsiTheme="minorHAnsi" w:cstheme="minorHAnsi"/>
                <w:sz w:val="20"/>
                <w:szCs w:val="20"/>
              </w:rPr>
              <w:t>módulo,</w:t>
            </w: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 xml:space="preserve"> así como a dos exámenes parciales, oral y escrito, que se aplicarán a la mitad y al final del periodo.</w:t>
            </w:r>
          </w:p>
          <w:p w:rsidR="005357EB" w:rsidRPr="005B2EDC" w:rsidRDefault="005B2EDC" w:rsidP="00322E46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Al interior de la plataforma educativa, en el apartado de CONTENIDOS, se describen cada uno de los criterios y valores de las evidencias de desempeño que comprende IBASIII Virtual.  </w:t>
            </w:r>
          </w:p>
        </w:tc>
        <w:tc>
          <w:tcPr>
            <w:tcW w:w="3402" w:type="dxa"/>
            <w:shd w:val="clear" w:color="auto" w:fill="auto"/>
          </w:tcPr>
          <w:p w:rsidR="005357EB" w:rsidRPr="005B2EDC" w:rsidRDefault="005357EB" w:rsidP="005357E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Evaluación del curso</w:t>
            </w:r>
          </w:p>
          <w:p w:rsidR="005357EB" w:rsidRPr="005B2EDC" w:rsidRDefault="005357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B2EDC" w:rsidRPr="005B2EDC" w:rsidTr="00D04014">
        <w:tc>
          <w:tcPr>
            <w:tcW w:w="7366" w:type="dxa"/>
            <w:shd w:val="clear" w:color="auto" w:fill="auto"/>
          </w:tcPr>
          <w:p w:rsidR="005B2EDC" w:rsidRPr="005B2EDC" w:rsidRDefault="005B2EDC" w:rsidP="005B2E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Para la acreditación, deberás obtener un mínimo de 60% al sumar los porcentajes de cada una de las evidencias de desempeño</w:t>
            </w:r>
            <w:r w:rsidR="00A0520F">
              <w:rPr>
                <w:rFonts w:asciiTheme="minorHAnsi" w:hAnsiTheme="minorHAnsi" w:cstheme="minorHAnsi"/>
                <w:sz w:val="20"/>
                <w:szCs w:val="20"/>
              </w:rPr>
              <w:t>, las de productos y por demostración.</w:t>
            </w:r>
          </w:p>
        </w:tc>
        <w:tc>
          <w:tcPr>
            <w:tcW w:w="3402" w:type="dxa"/>
            <w:shd w:val="clear" w:color="auto" w:fill="auto"/>
          </w:tcPr>
          <w:p w:rsidR="005B2EDC" w:rsidRPr="005B2EDC" w:rsidRDefault="005B2EDC" w:rsidP="005B2E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Acreditación de la EE de Inglés Básico III Virtual</w:t>
            </w:r>
          </w:p>
          <w:p w:rsidR="005B2EDC" w:rsidRPr="005B2EDC" w:rsidRDefault="005B2EDC" w:rsidP="005357E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B2EDC" w:rsidRPr="005B2EDC" w:rsidTr="00D04014">
        <w:tc>
          <w:tcPr>
            <w:tcW w:w="7366" w:type="dxa"/>
            <w:shd w:val="clear" w:color="auto" w:fill="auto"/>
          </w:tcPr>
          <w:p w:rsidR="005B2EDC" w:rsidRPr="005B2EDC" w:rsidRDefault="005B2EDC" w:rsidP="005B2E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Esperamos que esta experiencia sea enriquecedora y contribuya a tu formación integral como estudiante universitario.</w:t>
            </w:r>
          </w:p>
          <w:p w:rsidR="005B2EDC" w:rsidRPr="005B2EDC" w:rsidRDefault="005B2EDC" w:rsidP="005B2ED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B2EDC">
              <w:rPr>
                <w:rFonts w:asciiTheme="minorHAnsi" w:hAnsiTheme="minorHAnsi" w:cstheme="minorHAnsi"/>
                <w:sz w:val="20"/>
                <w:szCs w:val="20"/>
              </w:rPr>
              <w:t>¡Mucho éxito!</w:t>
            </w:r>
          </w:p>
        </w:tc>
        <w:tc>
          <w:tcPr>
            <w:tcW w:w="3402" w:type="dxa"/>
            <w:shd w:val="clear" w:color="auto" w:fill="auto"/>
          </w:tcPr>
          <w:p w:rsidR="005B2EDC" w:rsidRPr="005B2EDC" w:rsidRDefault="005B2EDC" w:rsidP="005B2E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:rsidR="005A6E77" w:rsidRPr="005357EB" w:rsidRDefault="006B68E8"/>
    <w:sectPr w:rsidR="005A6E77" w:rsidRPr="005357EB" w:rsidSect="005B2EDC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46"/>
    <w:rsid w:val="001C7ADF"/>
    <w:rsid w:val="00322E46"/>
    <w:rsid w:val="005357EB"/>
    <w:rsid w:val="005B2EDC"/>
    <w:rsid w:val="006B68E8"/>
    <w:rsid w:val="008050D0"/>
    <w:rsid w:val="00A0520F"/>
    <w:rsid w:val="00A078F1"/>
    <w:rsid w:val="00B265B5"/>
    <w:rsid w:val="00D04014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E514"/>
  <w15:chartTrackingRefBased/>
  <w15:docId w15:val="{F1BD94B1-0B55-45F1-85BA-E3AE0C3B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2E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Huerta Gutierrez Guillermo</dc:creator>
  <cp:keywords/>
  <dc:description/>
  <cp:lastModifiedBy>UV</cp:lastModifiedBy>
  <cp:revision>3</cp:revision>
  <cp:lastPrinted>2024-08-09T18:06:00Z</cp:lastPrinted>
  <dcterms:created xsi:type="dcterms:W3CDTF">2024-08-09T17:12:00Z</dcterms:created>
  <dcterms:modified xsi:type="dcterms:W3CDTF">2024-08-16T20:09:00Z</dcterms:modified>
</cp:coreProperties>
</file>