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D3A2" w14:textId="77777777" w:rsidR="00323688" w:rsidRDefault="00000000" w:rsidP="003A5D80">
      <w:pPr>
        <w:spacing w:after="100"/>
        <w:jc w:val="center"/>
      </w:pPr>
      <w:r>
        <w:rPr>
          <w:b/>
          <w:bCs/>
          <w:color w:val="1F4E79"/>
          <w:sz w:val="30"/>
          <w:szCs w:val="30"/>
        </w:rPr>
        <w:t>Métricas e Instrumentos de Calidad según Clasificación del Desarrollo de Software</w:t>
      </w:r>
    </w:p>
    <w:p w14:paraId="33FED28E" w14:textId="710BF363" w:rsidR="00323688" w:rsidRDefault="00000000" w:rsidP="003A5D80">
      <w:pPr>
        <w:spacing w:after="200"/>
        <w:jc w:val="center"/>
      </w:pPr>
      <w:r>
        <w:rPr>
          <w:color w:val="2E75B6"/>
          <w:sz w:val="19"/>
          <w:szCs w:val="19"/>
        </w:rPr>
        <w:t xml:space="preserve">Estándares y Métricas de Calidad en el Desarrollo de </w:t>
      </w:r>
      <w:r w:rsidR="003A5D80">
        <w:rPr>
          <w:color w:val="2E75B6"/>
          <w:sz w:val="19"/>
          <w:szCs w:val="19"/>
        </w:rPr>
        <w:t>Software · Especialización</w:t>
      </w:r>
      <w:r>
        <w:rPr>
          <w:color w:val="2E75B6"/>
          <w:sz w:val="19"/>
          <w:szCs w:val="19"/>
        </w:rPr>
        <w:t xml:space="preserve"> en Desarrollo de </w:t>
      </w:r>
      <w:r w:rsidR="003A5D80">
        <w:rPr>
          <w:color w:val="2E75B6"/>
          <w:sz w:val="19"/>
          <w:szCs w:val="19"/>
        </w:rPr>
        <w:t>Software · UNIMINUTO</w:t>
      </w:r>
    </w:p>
    <w:p w14:paraId="51E07038" w14:textId="77777777" w:rsidR="00323688" w:rsidRDefault="00000000">
      <w:pPr>
        <w:spacing w:before="280" w:after="140"/>
      </w:pPr>
      <w:r>
        <w:rPr>
          <w:b/>
          <w:bCs/>
          <w:color w:val="1F4E79"/>
          <w:sz w:val="28"/>
          <w:szCs w:val="28"/>
        </w:rPr>
        <w:t>Tabla 1. Por Ciclo de Vida y Metodología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839"/>
        <w:gridCol w:w="2190"/>
        <w:gridCol w:w="2588"/>
        <w:gridCol w:w="5630"/>
      </w:tblGrid>
      <w:tr w:rsidR="00323688" w14:paraId="72D71FC6" w14:textId="77777777">
        <w:tblPrEx>
          <w:tblCellMar>
            <w:top w:w="0" w:type="dxa"/>
            <w:bottom w:w="0" w:type="dxa"/>
          </w:tblCellMar>
        </w:tblPrEx>
        <w:trPr>
          <w:tblHeader/>
        </w:trPr>
        <w:tc>
          <w:tcPr>
            <w:tcW w:w="140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30" w:type="dxa"/>
              <w:bottom w:w="100" w:type="dxa"/>
              <w:right w:w="130" w:type="dxa"/>
            </w:tcMar>
            <w:vAlign w:val="center"/>
          </w:tcPr>
          <w:p w14:paraId="2A3DFDFF" w14:textId="77777777" w:rsidR="00323688" w:rsidRDefault="00000000">
            <w:pPr>
              <w:jc w:val="center"/>
            </w:pPr>
            <w:r>
              <w:rPr>
                <w:b/>
                <w:bCs/>
                <w:color w:val="FFFFFF"/>
                <w:sz w:val="19"/>
                <w:szCs w:val="19"/>
              </w:rPr>
              <w:t>Clasificación</w:t>
            </w:r>
          </w:p>
        </w:tc>
        <w:tc>
          <w:tcPr>
            <w:tcW w:w="180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30" w:type="dxa"/>
              <w:bottom w:w="100" w:type="dxa"/>
              <w:right w:w="130" w:type="dxa"/>
            </w:tcMar>
            <w:vAlign w:val="center"/>
          </w:tcPr>
          <w:p w14:paraId="2745D776" w14:textId="77777777" w:rsidR="00323688" w:rsidRDefault="00000000">
            <w:pPr>
              <w:jc w:val="center"/>
            </w:pPr>
            <w:r>
              <w:rPr>
                <w:b/>
                <w:bCs/>
                <w:color w:val="FFFFFF"/>
                <w:sz w:val="19"/>
                <w:szCs w:val="19"/>
              </w:rPr>
              <w:t>Contexto / Variante</w:t>
            </w:r>
          </w:p>
        </w:tc>
        <w:tc>
          <w:tcPr>
            <w:tcW w:w="220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30" w:type="dxa"/>
              <w:bottom w:w="100" w:type="dxa"/>
              <w:right w:w="130" w:type="dxa"/>
            </w:tcMar>
            <w:vAlign w:val="center"/>
          </w:tcPr>
          <w:p w14:paraId="3D6789B5" w14:textId="77777777" w:rsidR="00323688" w:rsidRDefault="00000000">
            <w:pPr>
              <w:jc w:val="center"/>
            </w:pPr>
            <w:r>
              <w:rPr>
                <w:b/>
                <w:bCs/>
                <w:color w:val="FFFFFF"/>
                <w:sz w:val="19"/>
                <w:szCs w:val="19"/>
              </w:rPr>
              <w:t>Métricas principales</w:t>
            </w:r>
          </w:p>
        </w:tc>
        <w:tc>
          <w:tcPr>
            <w:tcW w:w="260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30" w:type="dxa"/>
              <w:bottom w:w="100" w:type="dxa"/>
              <w:right w:w="130" w:type="dxa"/>
            </w:tcMar>
            <w:vAlign w:val="center"/>
          </w:tcPr>
          <w:p w14:paraId="481AB54D" w14:textId="77777777" w:rsidR="00323688" w:rsidRDefault="00000000">
            <w:pPr>
              <w:jc w:val="center"/>
            </w:pPr>
            <w:r>
              <w:rPr>
                <w:b/>
                <w:bCs/>
                <w:color w:val="FFFFFF"/>
                <w:sz w:val="19"/>
                <w:szCs w:val="19"/>
              </w:rPr>
              <w:t>Instrumentos</w:t>
            </w:r>
          </w:p>
        </w:tc>
        <w:tc>
          <w:tcPr>
            <w:tcW w:w="568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30" w:type="dxa"/>
              <w:bottom w:w="100" w:type="dxa"/>
              <w:right w:w="130" w:type="dxa"/>
            </w:tcMar>
            <w:vAlign w:val="center"/>
          </w:tcPr>
          <w:p w14:paraId="43AA2EED" w14:textId="77777777" w:rsidR="00323688" w:rsidRDefault="00000000">
            <w:pPr>
              <w:jc w:val="center"/>
            </w:pPr>
            <w:r>
              <w:rPr>
                <w:b/>
                <w:bCs/>
                <w:color w:val="FFFFFF"/>
                <w:sz w:val="19"/>
                <w:szCs w:val="19"/>
              </w:rPr>
              <w:t>Justificación de pertinencia</w:t>
            </w:r>
          </w:p>
        </w:tc>
      </w:tr>
      <w:tr w:rsidR="00323688" w14:paraId="35859317"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1EADB6D" w14:textId="77777777" w:rsidR="00323688" w:rsidRDefault="00000000">
            <w:pPr>
              <w:jc w:val="center"/>
            </w:pPr>
            <w:r>
              <w:rPr>
                <w:b/>
                <w:bCs/>
                <w:sz w:val="17"/>
                <w:szCs w:val="17"/>
              </w:rPr>
              <w:t>Predictivo (Cascada / Waterfall)</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9F0BF09" w14:textId="77777777" w:rsidR="00323688" w:rsidRDefault="00000000">
            <w:r>
              <w:rPr>
                <w:sz w:val="17"/>
                <w:szCs w:val="17"/>
              </w:rPr>
              <w:t>Proyectos con requisitos estables; contratos fijos; sistemas regulados</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153CDDE" w14:textId="77777777" w:rsidR="00171204" w:rsidRDefault="00000000">
            <w:pPr>
              <w:rPr>
                <w:sz w:val="17"/>
                <w:szCs w:val="17"/>
              </w:rPr>
            </w:pPr>
            <w:r>
              <w:rPr>
                <w:sz w:val="17"/>
                <w:szCs w:val="17"/>
              </w:rPr>
              <w:t xml:space="preserve">• Densidad de defectos por fase (DDF) </w:t>
            </w:r>
          </w:p>
          <w:p w14:paraId="5B5797AC" w14:textId="77777777" w:rsidR="00171204" w:rsidRDefault="00000000">
            <w:pPr>
              <w:rPr>
                <w:sz w:val="17"/>
                <w:szCs w:val="17"/>
              </w:rPr>
            </w:pPr>
            <w:r>
              <w:rPr>
                <w:sz w:val="17"/>
                <w:szCs w:val="17"/>
              </w:rPr>
              <w:t xml:space="preserve">• Índice de completitud de entregables (ICE) </w:t>
            </w:r>
          </w:p>
          <w:p w14:paraId="53DD9F53" w14:textId="770D7BE9" w:rsidR="00323688" w:rsidRDefault="00000000">
            <w:r>
              <w:rPr>
                <w:sz w:val="17"/>
                <w:szCs w:val="17"/>
              </w:rPr>
              <w:t>• Varianza de cronograma (SV – PMBOK)</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F63B1EE" w14:textId="77777777" w:rsidR="00171204" w:rsidRDefault="00000000">
            <w:pPr>
              <w:rPr>
                <w:sz w:val="17"/>
                <w:szCs w:val="17"/>
              </w:rPr>
            </w:pPr>
            <w:r>
              <w:rPr>
                <w:sz w:val="17"/>
                <w:szCs w:val="17"/>
              </w:rPr>
              <w:t xml:space="preserve">• IEEE 1028 (revisiones técnicas formales) </w:t>
            </w:r>
          </w:p>
          <w:p w14:paraId="1F4011C2" w14:textId="77777777" w:rsidR="00171204" w:rsidRDefault="00000000">
            <w:pPr>
              <w:rPr>
                <w:sz w:val="17"/>
                <w:szCs w:val="17"/>
              </w:rPr>
            </w:pPr>
            <w:r>
              <w:rPr>
                <w:sz w:val="17"/>
                <w:szCs w:val="17"/>
              </w:rPr>
              <w:t xml:space="preserve">• Listas de verificación de entregables </w:t>
            </w:r>
          </w:p>
          <w:p w14:paraId="783611EF" w14:textId="6EADDE8F" w:rsidR="00323688" w:rsidRDefault="00000000">
            <w:r>
              <w:rPr>
                <w:sz w:val="17"/>
                <w:szCs w:val="17"/>
              </w:rPr>
              <w:t xml:space="preserve">• Herramientas EVM (MS Project, </w:t>
            </w:r>
            <w:proofErr w:type="gramStart"/>
            <w:r>
              <w:rPr>
                <w:sz w:val="17"/>
                <w:szCs w:val="17"/>
              </w:rPr>
              <w:t>Primavera</w:t>
            </w:r>
            <w:proofErr w:type="gramEnd"/>
            <w:r>
              <w:rPr>
                <w:sz w:val="17"/>
                <w:szCs w:val="17"/>
              </w:rPr>
              <w:t>)</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D5AF569" w14:textId="77777777" w:rsidR="00323688" w:rsidRDefault="00000000">
            <w:r>
              <w:rPr>
                <w:sz w:val="17"/>
                <w:szCs w:val="17"/>
              </w:rPr>
              <w:t>En cascada el costo de un defecto crece exponencialmente por fase (Boehm 1981); DDF permite detectar fases problemáticas antes del traspaso. ICE mide si cada fase cierra con todos sus artefactos, condición necesaria para avanzar. SV cuantifica desviación de cronograma, crítica cuando el contrato tiene hitos fijos.</w:t>
            </w:r>
          </w:p>
        </w:tc>
      </w:tr>
      <w:tr w:rsidR="00323688" w14:paraId="31407ED3"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606899F1" w14:textId="77777777" w:rsidR="00323688" w:rsidRDefault="00000000">
            <w:pPr>
              <w:jc w:val="center"/>
            </w:pPr>
            <w:r>
              <w:rPr>
                <w:b/>
                <w:bCs/>
                <w:sz w:val="17"/>
                <w:szCs w:val="17"/>
              </w:rPr>
              <w:t>Iterativo e incremental</w:t>
            </w:r>
          </w:p>
        </w:tc>
        <w:tc>
          <w:tcPr>
            <w:tcW w:w="18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27E6A26C" w14:textId="77777777" w:rsidR="00323688" w:rsidRDefault="00000000">
            <w:r>
              <w:rPr>
                <w:sz w:val="17"/>
                <w:szCs w:val="17"/>
              </w:rPr>
              <w:t>Proyectos con requisitos moderadamente cambiantes; entregas parciales por sprint o fase</w:t>
            </w:r>
          </w:p>
        </w:tc>
        <w:tc>
          <w:tcPr>
            <w:tcW w:w="22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55F1C3FA" w14:textId="77777777" w:rsidR="00323688" w:rsidRDefault="00000000">
            <w:r>
              <w:rPr>
                <w:sz w:val="17"/>
                <w:szCs w:val="17"/>
              </w:rPr>
              <w:t>• Velocidad del equipo (</w:t>
            </w:r>
            <w:proofErr w:type="spellStart"/>
            <w:r>
              <w:rPr>
                <w:sz w:val="17"/>
                <w:szCs w:val="17"/>
              </w:rPr>
              <w:t>story</w:t>
            </w:r>
            <w:proofErr w:type="spellEnd"/>
            <w:r>
              <w:rPr>
                <w:sz w:val="17"/>
                <w:szCs w:val="17"/>
              </w:rPr>
              <w:t xml:space="preserve"> </w:t>
            </w:r>
            <w:proofErr w:type="spellStart"/>
            <w:r>
              <w:rPr>
                <w:sz w:val="17"/>
                <w:szCs w:val="17"/>
              </w:rPr>
              <w:t>points</w:t>
            </w:r>
            <w:proofErr w:type="spellEnd"/>
            <w:r>
              <w:rPr>
                <w:sz w:val="17"/>
                <w:szCs w:val="17"/>
              </w:rPr>
              <w:t>/sprint) • Deuda técnica acumulada (TD$) • Tasa de defectos residuales por iteración</w:t>
            </w:r>
          </w:p>
        </w:tc>
        <w:tc>
          <w:tcPr>
            <w:tcW w:w="26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36F8373F" w14:textId="77777777" w:rsidR="00323688" w:rsidRDefault="00000000">
            <w:r>
              <w:rPr>
                <w:sz w:val="17"/>
                <w:szCs w:val="17"/>
              </w:rPr>
              <w:t xml:space="preserve">• Tableros Scrum / Kanban (Jira, Azure DevOps) • Herramientas de análisis estático (SonarQube) • </w:t>
            </w:r>
            <w:proofErr w:type="spellStart"/>
            <w:r>
              <w:rPr>
                <w:sz w:val="17"/>
                <w:szCs w:val="17"/>
              </w:rPr>
              <w:t>Burndown</w:t>
            </w:r>
            <w:proofErr w:type="spellEnd"/>
            <w:r>
              <w:rPr>
                <w:sz w:val="17"/>
                <w:szCs w:val="17"/>
              </w:rPr>
              <w:t xml:space="preserve"> / </w:t>
            </w:r>
            <w:proofErr w:type="spellStart"/>
            <w:r>
              <w:rPr>
                <w:sz w:val="17"/>
                <w:szCs w:val="17"/>
              </w:rPr>
              <w:t>burnup</w:t>
            </w:r>
            <w:proofErr w:type="spellEnd"/>
            <w:r>
              <w:rPr>
                <w:sz w:val="17"/>
                <w:szCs w:val="17"/>
              </w:rPr>
              <w:t xml:space="preserve"> charts</w:t>
            </w:r>
          </w:p>
        </w:tc>
        <w:tc>
          <w:tcPr>
            <w:tcW w:w="568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6B6C352A" w14:textId="77777777" w:rsidR="00323688" w:rsidRDefault="00000000">
            <w:r>
              <w:rPr>
                <w:sz w:val="17"/>
                <w:szCs w:val="17"/>
              </w:rPr>
              <w:t>La velocidad estabilizada revela capacidad real del equipo y permite proyecciones confiables. La deuda técnica acumulada por iteración es el indicador más temprano de degradación de mantenibilidad; ignorarla hasta el final del proyecto es el error más documentado en contextos ágiles (SWEBOK v4 §6).</w:t>
            </w:r>
          </w:p>
        </w:tc>
      </w:tr>
      <w:tr w:rsidR="00323688" w14:paraId="363446A4"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24E3428" w14:textId="77777777" w:rsidR="00323688" w:rsidRDefault="00000000">
            <w:pPr>
              <w:jc w:val="center"/>
            </w:pPr>
            <w:r>
              <w:rPr>
                <w:b/>
                <w:bCs/>
                <w:sz w:val="17"/>
                <w:szCs w:val="17"/>
              </w:rPr>
              <w:t>Evolutivo (Espiral / RUP)</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D338B4A" w14:textId="77777777" w:rsidR="00323688" w:rsidRDefault="00000000">
            <w:r>
              <w:rPr>
                <w:sz w:val="17"/>
                <w:szCs w:val="17"/>
              </w:rPr>
              <w:t>Proyectos de alta incertidumbre técnica; sistemas de gran escala con riesgos significativos</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2A2808EA" w14:textId="77777777" w:rsidR="00171204" w:rsidRDefault="00000000">
            <w:pPr>
              <w:rPr>
                <w:sz w:val="17"/>
                <w:szCs w:val="17"/>
              </w:rPr>
            </w:pPr>
            <w:r>
              <w:rPr>
                <w:sz w:val="17"/>
                <w:szCs w:val="17"/>
              </w:rPr>
              <w:t xml:space="preserve">• Índice de reducción de riesgo por ciclo (IRR) </w:t>
            </w:r>
          </w:p>
          <w:p w14:paraId="3785220E" w14:textId="77777777" w:rsidR="00171204" w:rsidRDefault="00000000">
            <w:pPr>
              <w:rPr>
                <w:sz w:val="17"/>
                <w:szCs w:val="17"/>
              </w:rPr>
            </w:pPr>
            <w:r>
              <w:rPr>
                <w:sz w:val="17"/>
                <w:szCs w:val="17"/>
              </w:rPr>
              <w:t xml:space="preserve">• Cobertura de prototipado (CP) </w:t>
            </w:r>
          </w:p>
          <w:p w14:paraId="1D738EE5" w14:textId="5CEAD1F2" w:rsidR="00323688" w:rsidRDefault="00000000">
            <w:r>
              <w:rPr>
                <w:sz w:val="17"/>
                <w:szCs w:val="17"/>
              </w:rPr>
              <w:t>• Tasa de cambio de arquitectura (TCA)</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7EEAA77" w14:textId="77777777" w:rsidR="00171204" w:rsidRDefault="00000000">
            <w:pPr>
              <w:rPr>
                <w:sz w:val="17"/>
                <w:szCs w:val="17"/>
              </w:rPr>
            </w:pPr>
            <w:r>
              <w:rPr>
                <w:sz w:val="17"/>
                <w:szCs w:val="17"/>
              </w:rPr>
              <w:t xml:space="preserve">• Registro y matriz de riesgos (IEEE 16085) </w:t>
            </w:r>
          </w:p>
          <w:p w14:paraId="506EDDC5" w14:textId="77777777" w:rsidR="00171204" w:rsidRDefault="00000000">
            <w:pPr>
              <w:rPr>
                <w:sz w:val="17"/>
                <w:szCs w:val="17"/>
              </w:rPr>
            </w:pPr>
            <w:r>
              <w:rPr>
                <w:sz w:val="17"/>
                <w:szCs w:val="17"/>
              </w:rPr>
              <w:t xml:space="preserve">• Revisiones de arquitectura (ATAM) </w:t>
            </w:r>
          </w:p>
          <w:p w14:paraId="753DA814" w14:textId="3A0E44B6" w:rsidR="00323688" w:rsidRDefault="00000000">
            <w:r>
              <w:rPr>
                <w:sz w:val="17"/>
                <w:szCs w:val="17"/>
              </w:rPr>
              <w:t>• Modelos de estimación basados en puntos de función (IFPUG)</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965ECA4" w14:textId="77777777" w:rsidR="00323688" w:rsidRDefault="00000000">
            <w:r>
              <w:rPr>
                <w:sz w:val="17"/>
                <w:szCs w:val="17"/>
              </w:rPr>
              <w:t>El modelo espiral justifica su costo adicional si cada ciclo reduce riesgos medibles; sin IRR no hay evidencia de que el proceso agrega valor sobre uno más simple. TCA detecta inestabilidad arquitectónica temprana, que en proyectos evolutivos suele ser síntoma de requisitos no convergentes.</w:t>
            </w:r>
          </w:p>
        </w:tc>
      </w:tr>
      <w:tr w:rsidR="00323688" w14:paraId="22C5BFEF"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0E86CD1C" w14:textId="77777777" w:rsidR="00323688" w:rsidRDefault="00000000">
            <w:pPr>
              <w:jc w:val="center"/>
            </w:pPr>
            <w:r>
              <w:rPr>
                <w:b/>
                <w:bCs/>
                <w:sz w:val="17"/>
                <w:szCs w:val="17"/>
              </w:rPr>
              <w:t>Ágil (Scrum, XP, Kanban)</w:t>
            </w:r>
          </w:p>
        </w:tc>
        <w:tc>
          <w:tcPr>
            <w:tcW w:w="18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6477623E" w14:textId="77777777" w:rsidR="00323688" w:rsidRDefault="00000000">
            <w:r>
              <w:rPr>
                <w:sz w:val="17"/>
                <w:szCs w:val="17"/>
              </w:rPr>
              <w:t>Equipos pequeños/medianos; requisitos cambiantes; entrega continua de valor</w:t>
            </w:r>
          </w:p>
        </w:tc>
        <w:tc>
          <w:tcPr>
            <w:tcW w:w="22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594B6105" w14:textId="77777777" w:rsidR="00171204" w:rsidRDefault="00000000">
            <w:pPr>
              <w:rPr>
                <w:sz w:val="17"/>
                <w:szCs w:val="17"/>
              </w:rPr>
            </w:pPr>
            <w:r>
              <w:rPr>
                <w:sz w:val="17"/>
                <w:szCs w:val="17"/>
              </w:rPr>
              <w:t xml:space="preserve">• Lead time / </w:t>
            </w:r>
            <w:proofErr w:type="spellStart"/>
            <w:r>
              <w:rPr>
                <w:sz w:val="17"/>
                <w:szCs w:val="17"/>
              </w:rPr>
              <w:t>cycle</w:t>
            </w:r>
            <w:proofErr w:type="spellEnd"/>
            <w:r>
              <w:rPr>
                <w:sz w:val="17"/>
                <w:szCs w:val="17"/>
              </w:rPr>
              <w:t xml:space="preserve"> time</w:t>
            </w:r>
          </w:p>
          <w:p w14:paraId="68C41F67" w14:textId="3BD5ED96" w:rsidR="00171204" w:rsidRDefault="00000000">
            <w:pPr>
              <w:rPr>
                <w:sz w:val="17"/>
                <w:szCs w:val="17"/>
              </w:rPr>
            </w:pPr>
            <w:r>
              <w:rPr>
                <w:sz w:val="17"/>
                <w:szCs w:val="17"/>
              </w:rPr>
              <w:t xml:space="preserve">• Cobertura de pruebas automatizadas (%) </w:t>
            </w:r>
          </w:p>
          <w:p w14:paraId="5300D1C5" w14:textId="09785792" w:rsidR="00323688" w:rsidRDefault="00000000">
            <w:r>
              <w:rPr>
                <w:sz w:val="17"/>
                <w:szCs w:val="17"/>
              </w:rPr>
              <w:t>• Tasa de escapados a producción (TEP)</w:t>
            </w:r>
          </w:p>
        </w:tc>
        <w:tc>
          <w:tcPr>
            <w:tcW w:w="26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6BBACF66" w14:textId="77777777" w:rsidR="001F70D1" w:rsidRDefault="00000000">
            <w:pPr>
              <w:rPr>
                <w:sz w:val="17"/>
                <w:szCs w:val="17"/>
              </w:rPr>
            </w:pPr>
            <w:r>
              <w:rPr>
                <w:sz w:val="17"/>
                <w:szCs w:val="17"/>
              </w:rPr>
              <w:t xml:space="preserve">• CI/CD pipelines (GitHub </w:t>
            </w:r>
            <w:proofErr w:type="spellStart"/>
            <w:r>
              <w:rPr>
                <w:sz w:val="17"/>
                <w:szCs w:val="17"/>
              </w:rPr>
              <w:t>Actions</w:t>
            </w:r>
            <w:proofErr w:type="spellEnd"/>
            <w:r>
              <w:rPr>
                <w:sz w:val="17"/>
                <w:szCs w:val="17"/>
              </w:rPr>
              <w:t xml:space="preserve">, Jenkins) </w:t>
            </w:r>
          </w:p>
          <w:p w14:paraId="15A2051B" w14:textId="77777777" w:rsidR="001F70D1" w:rsidRDefault="00000000">
            <w:pPr>
              <w:rPr>
                <w:sz w:val="17"/>
                <w:szCs w:val="17"/>
              </w:rPr>
            </w:pPr>
            <w:r>
              <w:rPr>
                <w:sz w:val="17"/>
                <w:szCs w:val="17"/>
              </w:rPr>
              <w:t xml:space="preserve">• </w:t>
            </w:r>
            <w:proofErr w:type="spellStart"/>
            <w:r>
              <w:rPr>
                <w:sz w:val="17"/>
                <w:szCs w:val="17"/>
              </w:rPr>
              <w:t>Frameworks</w:t>
            </w:r>
            <w:proofErr w:type="spellEnd"/>
            <w:r>
              <w:rPr>
                <w:sz w:val="17"/>
                <w:szCs w:val="17"/>
              </w:rPr>
              <w:t xml:space="preserve"> de prueba (</w:t>
            </w:r>
            <w:proofErr w:type="spellStart"/>
            <w:r>
              <w:rPr>
                <w:sz w:val="17"/>
                <w:szCs w:val="17"/>
              </w:rPr>
              <w:t>JUnit</w:t>
            </w:r>
            <w:proofErr w:type="spellEnd"/>
            <w:r>
              <w:rPr>
                <w:sz w:val="17"/>
                <w:szCs w:val="17"/>
              </w:rPr>
              <w:t xml:space="preserve">, </w:t>
            </w:r>
            <w:proofErr w:type="spellStart"/>
            <w:r>
              <w:rPr>
                <w:sz w:val="17"/>
                <w:szCs w:val="17"/>
              </w:rPr>
              <w:t>Pytest</w:t>
            </w:r>
            <w:proofErr w:type="spellEnd"/>
            <w:r>
              <w:rPr>
                <w:sz w:val="17"/>
                <w:szCs w:val="17"/>
              </w:rPr>
              <w:t xml:space="preserve">, Cypress) </w:t>
            </w:r>
          </w:p>
          <w:p w14:paraId="617C45F6" w14:textId="78B367CC" w:rsidR="00323688" w:rsidRDefault="00000000">
            <w:r>
              <w:rPr>
                <w:sz w:val="17"/>
                <w:szCs w:val="17"/>
              </w:rPr>
              <w:t xml:space="preserve">• DORA </w:t>
            </w:r>
            <w:proofErr w:type="spellStart"/>
            <w:r>
              <w:rPr>
                <w:sz w:val="17"/>
                <w:szCs w:val="17"/>
              </w:rPr>
              <w:t>metrics</w:t>
            </w:r>
            <w:proofErr w:type="spellEnd"/>
            <w:r>
              <w:rPr>
                <w:sz w:val="17"/>
                <w:szCs w:val="17"/>
              </w:rPr>
              <w:t xml:space="preserve"> (</w:t>
            </w:r>
            <w:proofErr w:type="spellStart"/>
            <w:r>
              <w:rPr>
                <w:sz w:val="17"/>
                <w:szCs w:val="17"/>
              </w:rPr>
              <w:t>Accelerate</w:t>
            </w:r>
            <w:proofErr w:type="spellEnd"/>
            <w:r>
              <w:rPr>
                <w:sz w:val="17"/>
                <w:szCs w:val="17"/>
              </w:rPr>
              <w:t xml:space="preserve"> – Forsgren et al.)</w:t>
            </w:r>
          </w:p>
        </w:tc>
        <w:tc>
          <w:tcPr>
            <w:tcW w:w="568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7794CE92" w14:textId="77777777" w:rsidR="00323688" w:rsidRDefault="00000000">
            <w:r>
              <w:rPr>
                <w:sz w:val="17"/>
                <w:szCs w:val="17"/>
              </w:rPr>
              <w:t xml:space="preserve">Lead time y </w:t>
            </w:r>
            <w:proofErr w:type="spellStart"/>
            <w:r>
              <w:rPr>
                <w:sz w:val="17"/>
                <w:szCs w:val="17"/>
              </w:rPr>
              <w:t>cycle</w:t>
            </w:r>
            <w:proofErr w:type="spellEnd"/>
            <w:r>
              <w:rPr>
                <w:sz w:val="17"/>
                <w:szCs w:val="17"/>
              </w:rPr>
              <w:t xml:space="preserve"> time miden la eficiencia del flujo de valor, no solo la velocidad de codificación. TEP es el indicador de calidad más honesto en contextos ágiles: mide lo que llega roto al usuario, no lo que el equipo cree que funciona. Cobertura de pruebas sin TEP genera falsa confianza.</w:t>
            </w:r>
          </w:p>
        </w:tc>
      </w:tr>
      <w:tr w:rsidR="00323688" w14:paraId="60BF6E56"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7610845" w14:textId="77777777" w:rsidR="00323688" w:rsidRPr="003A5D80" w:rsidRDefault="00000000">
            <w:pPr>
              <w:jc w:val="center"/>
              <w:rPr>
                <w:lang w:val="en-US"/>
              </w:rPr>
            </w:pPr>
            <w:proofErr w:type="spellStart"/>
            <w:r w:rsidRPr="003A5D80">
              <w:rPr>
                <w:b/>
                <w:bCs/>
                <w:sz w:val="17"/>
                <w:szCs w:val="17"/>
                <w:lang w:val="en-US"/>
              </w:rPr>
              <w:t>Híbrido</w:t>
            </w:r>
            <w:proofErr w:type="spellEnd"/>
            <w:r w:rsidRPr="003A5D80">
              <w:rPr>
                <w:b/>
                <w:bCs/>
                <w:sz w:val="17"/>
                <w:szCs w:val="17"/>
                <w:lang w:val="en-US"/>
              </w:rPr>
              <w:t xml:space="preserve"> (</w:t>
            </w:r>
            <w:proofErr w:type="spellStart"/>
            <w:r w:rsidRPr="003A5D80">
              <w:rPr>
                <w:b/>
                <w:bCs/>
                <w:sz w:val="17"/>
                <w:szCs w:val="17"/>
                <w:lang w:val="en-US"/>
              </w:rPr>
              <w:t>SAFe</w:t>
            </w:r>
            <w:proofErr w:type="spellEnd"/>
            <w:r w:rsidRPr="003A5D80">
              <w:rPr>
                <w:b/>
                <w:bCs/>
                <w:sz w:val="17"/>
                <w:szCs w:val="17"/>
                <w:lang w:val="en-US"/>
              </w:rPr>
              <w:t xml:space="preserve">, Stage-Gate </w:t>
            </w:r>
            <w:proofErr w:type="spellStart"/>
            <w:r w:rsidRPr="003A5D80">
              <w:rPr>
                <w:b/>
                <w:bCs/>
                <w:sz w:val="17"/>
                <w:szCs w:val="17"/>
                <w:lang w:val="en-US"/>
              </w:rPr>
              <w:t>Ágil</w:t>
            </w:r>
            <w:proofErr w:type="spellEnd"/>
            <w:r w:rsidRPr="003A5D80">
              <w:rPr>
                <w:b/>
                <w:bCs/>
                <w:sz w:val="17"/>
                <w:szCs w:val="17"/>
                <w:lang w:val="en-US"/>
              </w:rPr>
              <w:t>)</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00870DBF" w14:textId="77777777" w:rsidR="00323688" w:rsidRDefault="00000000">
            <w:r>
              <w:rPr>
                <w:sz w:val="17"/>
                <w:szCs w:val="17"/>
              </w:rPr>
              <w:t>Organizaciones con múltiples equipos ágiles bajo gobernanza corporativa formal</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FB6B152" w14:textId="77777777" w:rsidR="00171204" w:rsidRDefault="00000000">
            <w:pPr>
              <w:rPr>
                <w:sz w:val="17"/>
                <w:szCs w:val="17"/>
              </w:rPr>
            </w:pPr>
            <w:r>
              <w:rPr>
                <w:sz w:val="17"/>
                <w:szCs w:val="17"/>
              </w:rPr>
              <w:t xml:space="preserve">• </w:t>
            </w:r>
            <w:proofErr w:type="spellStart"/>
            <w:r>
              <w:rPr>
                <w:sz w:val="17"/>
                <w:szCs w:val="17"/>
              </w:rPr>
              <w:t>Program</w:t>
            </w:r>
            <w:proofErr w:type="spellEnd"/>
            <w:r>
              <w:rPr>
                <w:sz w:val="17"/>
                <w:szCs w:val="17"/>
              </w:rPr>
              <w:t xml:space="preserve"> </w:t>
            </w:r>
            <w:proofErr w:type="spellStart"/>
            <w:r>
              <w:rPr>
                <w:sz w:val="17"/>
                <w:szCs w:val="17"/>
              </w:rPr>
              <w:t>Increment</w:t>
            </w:r>
            <w:proofErr w:type="spellEnd"/>
            <w:r>
              <w:rPr>
                <w:sz w:val="17"/>
                <w:szCs w:val="17"/>
              </w:rPr>
              <w:t xml:space="preserve"> (PI) </w:t>
            </w:r>
            <w:proofErr w:type="spellStart"/>
            <w:r>
              <w:rPr>
                <w:sz w:val="17"/>
                <w:szCs w:val="17"/>
              </w:rPr>
              <w:t>predictability</w:t>
            </w:r>
            <w:proofErr w:type="spellEnd"/>
            <w:r>
              <w:rPr>
                <w:sz w:val="17"/>
                <w:szCs w:val="17"/>
              </w:rPr>
              <w:t xml:space="preserve"> (%) </w:t>
            </w:r>
          </w:p>
          <w:p w14:paraId="588794EA" w14:textId="77777777" w:rsidR="00171204" w:rsidRDefault="00000000">
            <w:pPr>
              <w:rPr>
                <w:sz w:val="17"/>
                <w:szCs w:val="17"/>
              </w:rPr>
            </w:pPr>
            <w:r>
              <w:rPr>
                <w:sz w:val="17"/>
                <w:szCs w:val="17"/>
              </w:rPr>
              <w:t xml:space="preserve">• Índice de alineación estratégica (IAS) </w:t>
            </w:r>
          </w:p>
          <w:p w14:paraId="58270139" w14:textId="4EBD8AED" w:rsidR="00323688" w:rsidRDefault="00000000">
            <w:r>
              <w:rPr>
                <w:sz w:val="17"/>
                <w:szCs w:val="17"/>
              </w:rPr>
              <w:t>• Tiempo de resolución de dependencias (TRD)</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5C592A4" w14:textId="379799BC" w:rsidR="009D6200" w:rsidRDefault="00000000">
            <w:pPr>
              <w:rPr>
                <w:sz w:val="17"/>
                <w:szCs w:val="17"/>
                <w:lang w:val="en-US"/>
              </w:rPr>
            </w:pPr>
            <w:r w:rsidRPr="003A5D80">
              <w:rPr>
                <w:sz w:val="17"/>
                <w:szCs w:val="17"/>
                <w:lang w:val="en-US"/>
              </w:rPr>
              <w:t xml:space="preserve">• </w:t>
            </w:r>
            <w:proofErr w:type="spellStart"/>
            <w:r w:rsidRPr="003A5D80">
              <w:rPr>
                <w:sz w:val="17"/>
                <w:szCs w:val="17"/>
                <w:lang w:val="en-US"/>
              </w:rPr>
              <w:t>SAFe</w:t>
            </w:r>
            <w:proofErr w:type="spellEnd"/>
            <w:r w:rsidRPr="003A5D80">
              <w:rPr>
                <w:sz w:val="17"/>
                <w:szCs w:val="17"/>
                <w:lang w:val="en-US"/>
              </w:rPr>
              <w:t xml:space="preserve"> PI Planning board</w:t>
            </w:r>
          </w:p>
          <w:p w14:paraId="0A22984D" w14:textId="6C39858E" w:rsidR="009D6200" w:rsidRPr="009D6200" w:rsidRDefault="00000000">
            <w:pPr>
              <w:rPr>
                <w:sz w:val="17"/>
                <w:szCs w:val="17"/>
              </w:rPr>
            </w:pPr>
            <w:r w:rsidRPr="009D6200">
              <w:rPr>
                <w:sz w:val="17"/>
                <w:szCs w:val="17"/>
              </w:rPr>
              <w:t xml:space="preserve">• </w:t>
            </w:r>
            <w:proofErr w:type="spellStart"/>
            <w:r w:rsidRPr="009D6200">
              <w:rPr>
                <w:sz w:val="17"/>
                <w:szCs w:val="17"/>
              </w:rPr>
              <w:t>OKRs</w:t>
            </w:r>
            <w:proofErr w:type="spellEnd"/>
            <w:r w:rsidRPr="009D6200">
              <w:rPr>
                <w:sz w:val="17"/>
                <w:szCs w:val="17"/>
              </w:rPr>
              <w:t xml:space="preserve"> vinculados a épicas (Jira Align) </w:t>
            </w:r>
          </w:p>
          <w:p w14:paraId="6B66C152" w14:textId="6A24356D" w:rsidR="00323688" w:rsidRPr="003A5D80" w:rsidRDefault="00000000">
            <w:pPr>
              <w:rPr>
                <w:lang w:val="en-US"/>
              </w:rPr>
            </w:pPr>
            <w:r w:rsidRPr="003A5D80">
              <w:rPr>
                <w:sz w:val="17"/>
                <w:szCs w:val="17"/>
                <w:lang w:val="en-US"/>
              </w:rPr>
              <w:t>• Dependency mapping (Big Room Planning)</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0135562" w14:textId="77777777" w:rsidR="00323688" w:rsidRDefault="00000000">
            <w:r>
              <w:rPr>
                <w:sz w:val="17"/>
                <w:szCs w:val="17"/>
              </w:rPr>
              <w:t xml:space="preserve">En contextos híbridos el riesgo dominante no es técnico sino de coordinación: dependencias entre equipos que bloquean entregas. TRD mide exactamente ese cuello de botella. PI </w:t>
            </w:r>
            <w:proofErr w:type="spellStart"/>
            <w:r>
              <w:rPr>
                <w:sz w:val="17"/>
                <w:szCs w:val="17"/>
              </w:rPr>
              <w:t>predictability</w:t>
            </w:r>
            <w:proofErr w:type="spellEnd"/>
            <w:r>
              <w:rPr>
                <w:sz w:val="17"/>
                <w:szCs w:val="17"/>
              </w:rPr>
              <w:t xml:space="preserve"> evalúa si la planificación a escala es confiable o solo ceremonial.</w:t>
            </w:r>
          </w:p>
        </w:tc>
      </w:tr>
      <w:tr w:rsidR="00323688" w14:paraId="7DEF252E"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2AF8BC00" w14:textId="77777777" w:rsidR="00323688" w:rsidRDefault="00000000">
            <w:pPr>
              <w:jc w:val="center"/>
            </w:pPr>
            <w:r>
              <w:rPr>
                <w:b/>
                <w:bCs/>
                <w:sz w:val="17"/>
                <w:szCs w:val="17"/>
              </w:rPr>
              <w:t>Alta madurez (CMMI Niv. 4–5 / ISO 29110)</w:t>
            </w:r>
          </w:p>
        </w:tc>
        <w:tc>
          <w:tcPr>
            <w:tcW w:w="18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23510EEA" w14:textId="77777777" w:rsidR="00323688" w:rsidRDefault="00000000">
            <w:r>
              <w:rPr>
                <w:sz w:val="17"/>
                <w:szCs w:val="17"/>
              </w:rPr>
              <w:t>Organizaciones con procesos definidos, medibles y en mejora continua</w:t>
            </w:r>
          </w:p>
        </w:tc>
        <w:tc>
          <w:tcPr>
            <w:tcW w:w="22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22C001B3" w14:textId="77777777" w:rsidR="00171204" w:rsidRDefault="00000000">
            <w:pPr>
              <w:rPr>
                <w:sz w:val="17"/>
                <w:szCs w:val="17"/>
              </w:rPr>
            </w:pPr>
            <w:r>
              <w:rPr>
                <w:sz w:val="17"/>
                <w:szCs w:val="17"/>
              </w:rPr>
              <w:t xml:space="preserve">• Rendimiento de proceso (distribución estadística) </w:t>
            </w:r>
          </w:p>
          <w:p w14:paraId="2158E0F5" w14:textId="77777777" w:rsidR="00171204" w:rsidRDefault="00000000">
            <w:pPr>
              <w:rPr>
                <w:sz w:val="17"/>
                <w:szCs w:val="17"/>
              </w:rPr>
            </w:pPr>
            <w:r>
              <w:rPr>
                <w:sz w:val="17"/>
                <w:szCs w:val="17"/>
              </w:rPr>
              <w:t>• Índice de proceso estable (</w:t>
            </w:r>
            <w:proofErr w:type="spellStart"/>
            <w:r>
              <w:rPr>
                <w:sz w:val="17"/>
                <w:szCs w:val="17"/>
              </w:rPr>
              <w:t>Cp</w:t>
            </w:r>
            <w:proofErr w:type="spellEnd"/>
            <w:r>
              <w:rPr>
                <w:sz w:val="17"/>
                <w:szCs w:val="17"/>
              </w:rPr>
              <w:t xml:space="preserve">, </w:t>
            </w:r>
            <w:proofErr w:type="spellStart"/>
            <w:r>
              <w:rPr>
                <w:sz w:val="17"/>
                <w:szCs w:val="17"/>
              </w:rPr>
              <w:t>Cpk</w:t>
            </w:r>
            <w:proofErr w:type="spellEnd"/>
            <w:r>
              <w:rPr>
                <w:sz w:val="17"/>
                <w:szCs w:val="17"/>
              </w:rPr>
              <w:t xml:space="preserve">) </w:t>
            </w:r>
          </w:p>
          <w:p w14:paraId="77B5E259" w14:textId="3B0DF410" w:rsidR="00323688" w:rsidRDefault="00000000">
            <w:r>
              <w:rPr>
                <w:sz w:val="17"/>
                <w:szCs w:val="17"/>
              </w:rPr>
              <w:lastRenderedPageBreak/>
              <w:t>• ROI de mejora de proceso (ROIMP)</w:t>
            </w:r>
          </w:p>
        </w:tc>
        <w:tc>
          <w:tcPr>
            <w:tcW w:w="260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17B96B24" w14:textId="77777777" w:rsidR="00323688" w:rsidRDefault="00000000">
            <w:r>
              <w:rPr>
                <w:sz w:val="17"/>
                <w:szCs w:val="17"/>
              </w:rPr>
              <w:lastRenderedPageBreak/>
              <w:t xml:space="preserve">• Control estadístico de procesos (SPC) • CMMI-DEV v2.0 (prácticas de nivel 4–5) • Repositorios de métricas </w:t>
            </w:r>
            <w:r>
              <w:rPr>
                <w:sz w:val="17"/>
                <w:szCs w:val="17"/>
              </w:rPr>
              <w:lastRenderedPageBreak/>
              <w:t>organizacionales (</w:t>
            </w:r>
            <w:proofErr w:type="spellStart"/>
            <w:r>
              <w:rPr>
                <w:sz w:val="17"/>
                <w:szCs w:val="17"/>
              </w:rPr>
              <w:t>GQM+Strategies</w:t>
            </w:r>
            <w:proofErr w:type="spellEnd"/>
            <w:r>
              <w:rPr>
                <w:sz w:val="17"/>
                <w:szCs w:val="17"/>
              </w:rPr>
              <w:t>)</w:t>
            </w:r>
          </w:p>
        </w:tc>
        <w:tc>
          <w:tcPr>
            <w:tcW w:w="5680" w:type="dxa"/>
            <w:tcBorders>
              <w:top w:val="single" w:sz="1" w:space="0" w:color="B0C4D8"/>
              <w:left w:val="single" w:sz="1" w:space="0" w:color="B0C4D8"/>
              <w:bottom w:val="single" w:sz="1" w:space="0" w:color="B0C4D8"/>
              <w:right w:val="single" w:sz="1" w:space="0" w:color="B0C4D8"/>
            </w:tcBorders>
            <w:shd w:val="clear" w:color="auto" w:fill="EBF3FB"/>
            <w:tcMar>
              <w:top w:w="80" w:type="dxa"/>
              <w:left w:w="130" w:type="dxa"/>
              <w:bottom w:w="80" w:type="dxa"/>
              <w:right w:w="130" w:type="dxa"/>
            </w:tcMar>
            <w:vAlign w:val="center"/>
          </w:tcPr>
          <w:p w14:paraId="3F5012D4" w14:textId="3FCDDCD0" w:rsidR="00323688" w:rsidRDefault="00000000">
            <w:r>
              <w:rPr>
                <w:sz w:val="17"/>
                <w:szCs w:val="17"/>
              </w:rPr>
              <w:lastRenderedPageBreak/>
              <w:t xml:space="preserve">A nivel 4–5 CMMI las métricas individuales ceden ante la gestión cuantitativa del proceso: se controla la variabilidad, no solo el promedio. </w:t>
            </w:r>
            <w:proofErr w:type="spellStart"/>
            <w:r>
              <w:rPr>
                <w:sz w:val="17"/>
                <w:szCs w:val="17"/>
              </w:rPr>
              <w:t>Cp</w:t>
            </w:r>
            <w:proofErr w:type="spellEnd"/>
            <w:r>
              <w:rPr>
                <w:sz w:val="17"/>
                <w:szCs w:val="17"/>
              </w:rPr>
              <w:t>/</w:t>
            </w:r>
            <w:proofErr w:type="spellStart"/>
            <w:r>
              <w:rPr>
                <w:sz w:val="17"/>
                <w:szCs w:val="17"/>
              </w:rPr>
              <w:t>Cpk</w:t>
            </w:r>
            <w:proofErr w:type="spellEnd"/>
            <w:r>
              <w:rPr>
                <w:sz w:val="17"/>
                <w:szCs w:val="17"/>
              </w:rPr>
              <w:t xml:space="preserve"> provienen de </w:t>
            </w:r>
            <w:r w:rsidR="009D6200">
              <w:rPr>
                <w:sz w:val="17"/>
                <w:szCs w:val="17"/>
              </w:rPr>
              <w:t>manufactura,</w:t>
            </w:r>
            <w:r>
              <w:rPr>
                <w:sz w:val="17"/>
                <w:szCs w:val="17"/>
              </w:rPr>
              <w:t xml:space="preserve"> pero son directamente aplicables a procesos de software repetibles; su uso distingue </w:t>
            </w:r>
            <w:r>
              <w:rPr>
                <w:sz w:val="17"/>
                <w:szCs w:val="17"/>
              </w:rPr>
              <w:lastRenderedPageBreak/>
              <w:t>organizaciones que gestionan por datos de las que gestionan por intuición.</w:t>
            </w:r>
          </w:p>
        </w:tc>
      </w:tr>
    </w:tbl>
    <w:p w14:paraId="5A725191" w14:textId="77777777" w:rsidR="00323688" w:rsidRDefault="00000000">
      <w:pPr>
        <w:spacing w:before="60" w:after="60"/>
      </w:pPr>
      <w:proofErr w:type="spellStart"/>
      <w:r w:rsidRPr="003A5D80">
        <w:rPr>
          <w:b/>
          <w:bCs/>
          <w:color w:val="444444"/>
          <w:sz w:val="16"/>
          <w:szCs w:val="16"/>
          <w:lang w:val="en-US"/>
        </w:rPr>
        <w:t>Referencias</w:t>
      </w:r>
      <w:proofErr w:type="spellEnd"/>
      <w:r w:rsidRPr="003A5D80">
        <w:rPr>
          <w:b/>
          <w:bCs/>
          <w:color w:val="444444"/>
          <w:sz w:val="16"/>
          <w:szCs w:val="16"/>
          <w:lang w:val="en-US"/>
        </w:rPr>
        <w:t xml:space="preserve">: </w:t>
      </w:r>
      <w:r w:rsidRPr="003A5D80">
        <w:rPr>
          <w:color w:val="444444"/>
          <w:sz w:val="16"/>
          <w:szCs w:val="16"/>
          <w:lang w:val="en-US"/>
        </w:rPr>
        <w:t xml:space="preserve">PMBOK 7ª ed., SWEBOK v4, CMMI-DEV v2.0, ISO/IEC 29110-4-1, </w:t>
      </w:r>
      <w:proofErr w:type="spellStart"/>
      <w:r w:rsidRPr="003A5D80">
        <w:rPr>
          <w:color w:val="444444"/>
          <w:sz w:val="16"/>
          <w:szCs w:val="16"/>
          <w:lang w:val="en-US"/>
        </w:rPr>
        <w:t>SAFe</w:t>
      </w:r>
      <w:proofErr w:type="spellEnd"/>
      <w:r w:rsidRPr="003A5D80">
        <w:rPr>
          <w:color w:val="444444"/>
          <w:sz w:val="16"/>
          <w:szCs w:val="16"/>
          <w:lang w:val="en-US"/>
        </w:rPr>
        <w:t xml:space="preserve"> 6.0, DORA State of DevOps 2023, Forsgren et al. </w:t>
      </w:r>
      <w:r>
        <w:rPr>
          <w:color w:val="444444"/>
          <w:sz w:val="16"/>
          <w:szCs w:val="16"/>
        </w:rPr>
        <w:t xml:space="preserve">(2018) </w:t>
      </w:r>
      <w:proofErr w:type="spellStart"/>
      <w:r>
        <w:rPr>
          <w:color w:val="444444"/>
          <w:sz w:val="16"/>
          <w:szCs w:val="16"/>
        </w:rPr>
        <w:t>Accelerate</w:t>
      </w:r>
      <w:proofErr w:type="spellEnd"/>
      <w:r>
        <w:rPr>
          <w:color w:val="444444"/>
          <w:sz w:val="16"/>
          <w:szCs w:val="16"/>
        </w:rPr>
        <w:t>.</w:t>
      </w:r>
    </w:p>
    <w:p w14:paraId="6EB00B41" w14:textId="77777777" w:rsidR="00323688" w:rsidRDefault="00000000">
      <w:pPr>
        <w:spacing w:before="60" w:after="60"/>
      </w:pPr>
      <w:r>
        <w:rPr>
          <w:b/>
          <w:bCs/>
          <w:color w:val="444444"/>
          <w:sz w:val="16"/>
          <w:szCs w:val="16"/>
        </w:rPr>
        <w:t xml:space="preserve">Nota: </w:t>
      </w:r>
      <w:r>
        <w:rPr>
          <w:color w:val="444444"/>
          <w:sz w:val="16"/>
          <w:szCs w:val="16"/>
        </w:rPr>
        <w:t>Las métricas de metodologías ágiles (velocidad, lead time) pierden comparabilidad entre equipos; úselas para tendencia interna, no para benchmarking externo.</w:t>
      </w:r>
    </w:p>
    <w:p w14:paraId="72ACA5CF" w14:textId="77777777" w:rsidR="00323688" w:rsidRDefault="00000000">
      <w:r>
        <w:br w:type="page"/>
      </w:r>
    </w:p>
    <w:p w14:paraId="6461F74C" w14:textId="77777777" w:rsidR="00323688" w:rsidRDefault="00000000">
      <w:pPr>
        <w:spacing w:before="280" w:after="140"/>
      </w:pPr>
      <w:r>
        <w:rPr>
          <w:b/>
          <w:bCs/>
          <w:color w:val="1A6B3C"/>
          <w:sz w:val="28"/>
          <w:szCs w:val="28"/>
        </w:rPr>
        <w:lastRenderedPageBreak/>
        <w:t>Tabla 2. Por Dominio de Aplicación y Escala Organizacional</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798"/>
        <w:gridCol w:w="2196"/>
        <w:gridCol w:w="2594"/>
        <w:gridCol w:w="5659"/>
      </w:tblGrid>
      <w:tr w:rsidR="00323688" w14:paraId="24C076F5" w14:textId="77777777">
        <w:tblPrEx>
          <w:tblCellMar>
            <w:top w:w="0" w:type="dxa"/>
            <w:bottom w:w="0" w:type="dxa"/>
          </w:tblCellMar>
        </w:tblPrEx>
        <w:trPr>
          <w:tblHeader/>
        </w:trPr>
        <w:tc>
          <w:tcPr>
            <w:tcW w:w="1400" w:type="dxa"/>
            <w:tcBorders>
              <w:top w:val="single" w:sz="1" w:space="0" w:color="B0C4D8"/>
              <w:left w:val="single" w:sz="1" w:space="0" w:color="B0C4D8"/>
              <w:bottom w:val="single" w:sz="1" w:space="0" w:color="B0C4D8"/>
              <w:right w:val="single" w:sz="1" w:space="0" w:color="B0C4D8"/>
            </w:tcBorders>
            <w:shd w:val="clear" w:color="auto" w:fill="1A6B3C"/>
            <w:tcMar>
              <w:top w:w="100" w:type="dxa"/>
              <w:left w:w="130" w:type="dxa"/>
              <w:bottom w:w="100" w:type="dxa"/>
              <w:right w:w="130" w:type="dxa"/>
            </w:tcMar>
            <w:vAlign w:val="center"/>
          </w:tcPr>
          <w:p w14:paraId="1D591D9E" w14:textId="77777777" w:rsidR="00323688" w:rsidRDefault="00000000">
            <w:pPr>
              <w:jc w:val="center"/>
            </w:pPr>
            <w:r>
              <w:rPr>
                <w:b/>
                <w:bCs/>
                <w:color w:val="FFFFFF"/>
                <w:sz w:val="19"/>
                <w:szCs w:val="19"/>
              </w:rPr>
              <w:t>Clasificación</w:t>
            </w:r>
          </w:p>
        </w:tc>
        <w:tc>
          <w:tcPr>
            <w:tcW w:w="1800" w:type="dxa"/>
            <w:tcBorders>
              <w:top w:val="single" w:sz="1" w:space="0" w:color="B0C4D8"/>
              <w:left w:val="single" w:sz="1" w:space="0" w:color="B0C4D8"/>
              <w:bottom w:val="single" w:sz="1" w:space="0" w:color="B0C4D8"/>
              <w:right w:val="single" w:sz="1" w:space="0" w:color="B0C4D8"/>
            </w:tcBorders>
            <w:shd w:val="clear" w:color="auto" w:fill="1A6B3C"/>
            <w:tcMar>
              <w:top w:w="100" w:type="dxa"/>
              <w:left w:w="130" w:type="dxa"/>
              <w:bottom w:w="100" w:type="dxa"/>
              <w:right w:w="130" w:type="dxa"/>
            </w:tcMar>
            <w:vAlign w:val="center"/>
          </w:tcPr>
          <w:p w14:paraId="7ED1E54D" w14:textId="77777777" w:rsidR="00323688" w:rsidRDefault="00000000">
            <w:pPr>
              <w:jc w:val="center"/>
            </w:pPr>
            <w:r>
              <w:rPr>
                <w:b/>
                <w:bCs/>
                <w:color w:val="FFFFFF"/>
                <w:sz w:val="19"/>
                <w:szCs w:val="19"/>
              </w:rPr>
              <w:t>Contexto / Variante</w:t>
            </w:r>
          </w:p>
        </w:tc>
        <w:tc>
          <w:tcPr>
            <w:tcW w:w="2200" w:type="dxa"/>
            <w:tcBorders>
              <w:top w:val="single" w:sz="1" w:space="0" w:color="B0C4D8"/>
              <w:left w:val="single" w:sz="1" w:space="0" w:color="B0C4D8"/>
              <w:bottom w:val="single" w:sz="1" w:space="0" w:color="B0C4D8"/>
              <w:right w:val="single" w:sz="1" w:space="0" w:color="B0C4D8"/>
            </w:tcBorders>
            <w:shd w:val="clear" w:color="auto" w:fill="1A6B3C"/>
            <w:tcMar>
              <w:top w:w="100" w:type="dxa"/>
              <w:left w:w="130" w:type="dxa"/>
              <w:bottom w:w="100" w:type="dxa"/>
              <w:right w:w="130" w:type="dxa"/>
            </w:tcMar>
            <w:vAlign w:val="center"/>
          </w:tcPr>
          <w:p w14:paraId="5556AFEF" w14:textId="77777777" w:rsidR="00323688" w:rsidRDefault="00000000">
            <w:pPr>
              <w:jc w:val="center"/>
            </w:pPr>
            <w:r>
              <w:rPr>
                <w:b/>
                <w:bCs/>
                <w:color w:val="FFFFFF"/>
                <w:sz w:val="19"/>
                <w:szCs w:val="19"/>
              </w:rPr>
              <w:t>Métricas principales</w:t>
            </w:r>
          </w:p>
        </w:tc>
        <w:tc>
          <w:tcPr>
            <w:tcW w:w="2600" w:type="dxa"/>
            <w:tcBorders>
              <w:top w:val="single" w:sz="1" w:space="0" w:color="B0C4D8"/>
              <w:left w:val="single" w:sz="1" w:space="0" w:color="B0C4D8"/>
              <w:bottom w:val="single" w:sz="1" w:space="0" w:color="B0C4D8"/>
              <w:right w:val="single" w:sz="1" w:space="0" w:color="B0C4D8"/>
            </w:tcBorders>
            <w:shd w:val="clear" w:color="auto" w:fill="1A6B3C"/>
            <w:tcMar>
              <w:top w:w="100" w:type="dxa"/>
              <w:left w:w="130" w:type="dxa"/>
              <w:bottom w:w="100" w:type="dxa"/>
              <w:right w:w="130" w:type="dxa"/>
            </w:tcMar>
            <w:vAlign w:val="center"/>
          </w:tcPr>
          <w:p w14:paraId="79A8527D" w14:textId="77777777" w:rsidR="00323688" w:rsidRDefault="00000000">
            <w:pPr>
              <w:jc w:val="center"/>
            </w:pPr>
            <w:r>
              <w:rPr>
                <w:b/>
                <w:bCs/>
                <w:color w:val="FFFFFF"/>
                <w:sz w:val="19"/>
                <w:szCs w:val="19"/>
              </w:rPr>
              <w:t>Instrumentos</w:t>
            </w:r>
          </w:p>
        </w:tc>
        <w:tc>
          <w:tcPr>
            <w:tcW w:w="5680" w:type="dxa"/>
            <w:tcBorders>
              <w:top w:val="single" w:sz="1" w:space="0" w:color="B0C4D8"/>
              <w:left w:val="single" w:sz="1" w:space="0" w:color="B0C4D8"/>
              <w:bottom w:val="single" w:sz="1" w:space="0" w:color="B0C4D8"/>
              <w:right w:val="single" w:sz="1" w:space="0" w:color="B0C4D8"/>
            </w:tcBorders>
            <w:shd w:val="clear" w:color="auto" w:fill="1A6B3C"/>
            <w:tcMar>
              <w:top w:w="100" w:type="dxa"/>
              <w:left w:w="130" w:type="dxa"/>
              <w:bottom w:w="100" w:type="dxa"/>
              <w:right w:w="130" w:type="dxa"/>
            </w:tcMar>
            <w:vAlign w:val="center"/>
          </w:tcPr>
          <w:p w14:paraId="4971907A" w14:textId="77777777" w:rsidR="00323688" w:rsidRDefault="00000000">
            <w:pPr>
              <w:jc w:val="center"/>
            </w:pPr>
            <w:r>
              <w:rPr>
                <w:b/>
                <w:bCs/>
                <w:color w:val="FFFFFF"/>
                <w:sz w:val="19"/>
                <w:szCs w:val="19"/>
              </w:rPr>
              <w:t>Justificación de pertinencia</w:t>
            </w:r>
          </w:p>
        </w:tc>
      </w:tr>
      <w:tr w:rsidR="00323688" w14:paraId="5FDC8822"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06A0584B" w14:textId="77777777" w:rsidR="00323688" w:rsidRDefault="00000000">
            <w:pPr>
              <w:jc w:val="center"/>
            </w:pPr>
            <w:r>
              <w:rPr>
                <w:b/>
                <w:bCs/>
                <w:sz w:val="17"/>
                <w:szCs w:val="17"/>
              </w:rPr>
              <w:t>Sistemas críticos (salud, aviación, banca)</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067ED11" w14:textId="77777777" w:rsidR="00323688" w:rsidRDefault="00000000">
            <w:r>
              <w:rPr>
                <w:sz w:val="17"/>
                <w:szCs w:val="17"/>
              </w:rPr>
              <w:t>Fallo tiene consecuencias inaceptables; exige certificación regulatoria</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DFE8B61" w14:textId="77777777" w:rsidR="00323688" w:rsidRDefault="00000000">
            <w:r>
              <w:rPr>
                <w:sz w:val="17"/>
                <w:szCs w:val="17"/>
              </w:rPr>
              <w:t>• Tasa de fallos en operación (FIT / MTTF) • Cobertura de trazabilidad regulatoria (CTR) • Índice de severidad de defectos (ISD)</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935D8C9" w14:textId="77777777" w:rsidR="00323688" w:rsidRDefault="00000000">
            <w:r>
              <w:rPr>
                <w:sz w:val="17"/>
                <w:szCs w:val="17"/>
              </w:rPr>
              <w:t>• DO-178C (aviación), IEC 62304 (dispositivos médicos), ISO 26262 (automotriz) • Herramientas de gestión de requisitos con trazabilidad certificada (IBM DOORS) • FMEA (</w:t>
            </w:r>
            <w:proofErr w:type="spellStart"/>
            <w:r>
              <w:rPr>
                <w:sz w:val="17"/>
                <w:szCs w:val="17"/>
              </w:rPr>
              <w:t>Failure</w:t>
            </w:r>
            <w:proofErr w:type="spellEnd"/>
            <w:r>
              <w:rPr>
                <w:sz w:val="17"/>
                <w:szCs w:val="17"/>
              </w:rPr>
              <w:t xml:space="preserve"> Mode and </w:t>
            </w:r>
            <w:proofErr w:type="spellStart"/>
            <w:r>
              <w:rPr>
                <w:sz w:val="17"/>
                <w:szCs w:val="17"/>
              </w:rPr>
              <w:t>Effects</w:t>
            </w:r>
            <w:proofErr w:type="spellEnd"/>
            <w:r>
              <w:rPr>
                <w:sz w:val="17"/>
                <w:szCs w:val="17"/>
              </w:rPr>
              <w:t xml:space="preserve"> </w:t>
            </w:r>
            <w:proofErr w:type="spellStart"/>
            <w:r>
              <w:rPr>
                <w:sz w:val="17"/>
                <w:szCs w:val="17"/>
              </w:rPr>
              <w:t>Analysis</w:t>
            </w:r>
            <w:proofErr w:type="spellEnd"/>
            <w:r>
              <w:rPr>
                <w:sz w:val="17"/>
                <w:szCs w:val="17"/>
              </w:rPr>
              <w:t>)</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1CA7AF9" w14:textId="77777777" w:rsidR="00323688" w:rsidRDefault="00000000">
            <w:r>
              <w:rPr>
                <w:sz w:val="17"/>
                <w:szCs w:val="17"/>
              </w:rPr>
              <w:t xml:space="preserve">CTR no es opcional: reguladores exigen evidencia de que cada requisito normativo tiene implementación y prueba asociada. ISD prioriza defectos por impacto en seguridad, no por frecuencia; un defecto raro pero catastrófico debe tratarse antes </w:t>
            </w:r>
            <w:proofErr w:type="gramStart"/>
            <w:r>
              <w:rPr>
                <w:sz w:val="17"/>
                <w:szCs w:val="17"/>
              </w:rPr>
              <w:t>que</w:t>
            </w:r>
            <w:proofErr w:type="gramEnd"/>
            <w:r>
              <w:rPr>
                <w:sz w:val="17"/>
                <w:szCs w:val="17"/>
              </w:rPr>
              <w:t xml:space="preserve"> diez defectos menores. FIT/MTTF cuantifica confiabilidad con precisión estadística que 'sin defectos conocidos' no proporciona.</w:t>
            </w:r>
          </w:p>
        </w:tc>
      </w:tr>
      <w:tr w:rsidR="00323688" w14:paraId="47A39B12"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2A5F6CD9" w14:textId="77777777" w:rsidR="00323688" w:rsidRDefault="00000000">
            <w:pPr>
              <w:jc w:val="center"/>
            </w:pPr>
            <w:r>
              <w:rPr>
                <w:b/>
                <w:bCs/>
                <w:sz w:val="17"/>
                <w:szCs w:val="17"/>
              </w:rPr>
              <w:t>Software empresarial (ERP, CRM, transaccional)</w:t>
            </w:r>
          </w:p>
        </w:tc>
        <w:tc>
          <w:tcPr>
            <w:tcW w:w="18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29DF9B46" w14:textId="77777777" w:rsidR="00323688" w:rsidRDefault="00000000">
            <w:r>
              <w:rPr>
                <w:sz w:val="17"/>
                <w:szCs w:val="17"/>
              </w:rPr>
              <w:t>Requisitos cambian por decisiones de negocio; múltiples integraciones; usuarios no técnicos</w:t>
            </w:r>
          </w:p>
        </w:tc>
        <w:tc>
          <w:tcPr>
            <w:tcW w:w="22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02548920" w14:textId="77777777" w:rsidR="00323688" w:rsidRDefault="00000000">
            <w:r>
              <w:rPr>
                <w:sz w:val="17"/>
                <w:szCs w:val="17"/>
              </w:rPr>
              <w:t>• Índice de usabilidad SUS (</w:t>
            </w:r>
            <w:proofErr w:type="spellStart"/>
            <w:r>
              <w:rPr>
                <w:sz w:val="17"/>
                <w:szCs w:val="17"/>
              </w:rPr>
              <w:t>System</w:t>
            </w:r>
            <w:proofErr w:type="spellEnd"/>
            <w:r>
              <w:rPr>
                <w:sz w:val="17"/>
                <w:szCs w:val="17"/>
              </w:rPr>
              <w:t xml:space="preserve"> </w:t>
            </w:r>
            <w:proofErr w:type="spellStart"/>
            <w:r>
              <w:rPr>
                <w:sz w:val="17"/>
                <w:szCs w:val="17"/>
              </w:rPr>
              <w:t>Usability</w:t>
            </w:r>
            <w:proofErr w:type="spellEnd"/>
            <w:r>
              <w:rPr>
                <w:sz w:val="17"/>
                <w:szCs w:val="17"/>
              </w:rPr>
              <w:t xml:space="preserve"> Scale) • Tiempo medio de resolución de incidentes (MTTR) • Tasa de cambios </w:t>
            </w:r>
            <w:proofErr w:type="spellStart"/>
            <w:r>
              <w:rPr>
                <w:sz w:val="17"/>
                <w:szCs w:val="17"/>
              </w:rPr>
              <w:t>post-entrega</w:t>
            </w:r>
            <w:proofErr w:type="spellEnd"/>
            <w:r>
              <w:rPr>
                <w:sz w:val="17"/>
                <w:szCs w:val="17"/>
              </w:rPr>
              <w:t xml:space="preserve"> (TCP)</w:t>
            </w:r>
          </w:p>
        </w:tc>
        <w:tc>
          <w:tcPr>
            <w:tcW w:w="26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001D490D" w14:textId="77777777" w:rsidR="00323688" w:rsidRDefault="00000000">
            <w:r>
              <w:rPr>
                <w:sz w:val="17"/>
                <w:szCs w:val="17"/>
              </w:rPr>
              <w:t>• Pruebas de usabilidad con usuarios reales (ISO 9241-11) • ITIL / gestión de incidentes (</w:t>
            </w:r>
            <w:proofErr w:type="spellStart"/>
            <w:r>
              <w:rPr>
                <w:sz w:val="17"/>
                <w:szCs w:val="17"/>
              </w:rPr>
              <w:t>ServiceNow</w:t>
            </w:r>
            <w:proofErr w:type="spellEnd"/>
            <w:r>
              <w:rPr>
                <w:sz w:val="17"/>
                <w:szCs w:val="17"/>
              </w:rPr>
              <w:t>, Jira Service Management) • Análisis de impacto en herramientas ALM</w:t>
            </w:r>
          </w:p>
        </w:tc>
        <w:tc>
          <w:tcPr>
            <w:tcW w:w="568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7E882295" w14:textId="77777777" w:rsidR="00323688" w:rsidRDefault="00000000">
            <w:r>
              <w:rPr>
                <w:sz w:val="17"/>
                <w:szCs w:val="17"/>
              </w:rPr>
              <w:t>TCP en software empresarial es el indicador más revelador de calidad de requisitos: si el 30%+ de RF cambia tras la entrega, el problema fue de elicitación, no de implementación. SUS detecta problemas de adopción antes de que se conviertan en rechazo al sistema, que en ERP tiene costo organizacional enorme.</w:t>
            </w:r>
          </w:p>
        </w:tc>
      </w:tr>
      <w:tr w:rsidR="00323688" w14:paraId="03F9F2F7"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A80CF3D" w14:textId="77777777" w:rsidR="00323688" w:rsidRDefault="00000000">
            <w:pPr>
              <w:jc w:val="center"/>
            </w:pPr>
            <w:r>
              <w:rPr>
                <w:b/>
                <w:bCs/>
                <w:sz w:val="17"/>
                <w:szCs w:val="17"/>
              </w:rPr>
              <w:t>Sistemas embebidos y tiempo real</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A9B3EDC" w14:textId="77777777" w:rsidR="00323688" w:rsidRDefault="00000000">
            <w:r>
              <w:rPr>
                <w:sz w:val="17"/>
                <w:szCs w:val="17"/>
              </w:rPr>
              <w:t>Hardware dedicado; restricciones temporales determinísticas; recursos limitados</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0C766BF" w14:textId="77777777" w:rsidR="00323688" w:rsidRDefault="00000000">
            <w:r>
              <w:rPr>
                <w:sz w:val="17"/>
                <w:szCs w:val="17"/>
              </w:rPr>
              <w:t xml:space="preserve">• Worst-Case </w:t>
            </w:r>
            <w:proofErr w:type="spellStart"/>
            <w:r>
              <w:rPr>
                <w:sz w:val="17"/>
                <w:szCs w:val="17"/>
              </w:rPr>
              <w:t>Execution</w:t>
            </w:r>
            <w:proofErr w:type="spellEnd"/>
            <w:r>
              <w:rPr>
                <w:sz w:val="17"/>
                <w:szCs w:val="17"/>
              </w:rPr>
              <w:t xml:space="preserve"> Time (WCET) • Utilización de CPU y memoria en peor caso • Tasa de cumplimiento de </w:t>
            </w:r>
            <w:proofErr w:type="spellStart"/>
            <w:r>
              <w:rPr>
                <w:sz w:val="17"/>
                <w:szCs w:val="17"/>
              </w:rPr>
              <w:t>deadlines</w:t>
            </w:r>
            <w:proofErr w:type="spellEnd"/>
            <w:r>
              <w:rPr>
                <w:sz w:val="17"/>
                <w:szCs w:val="17"/>
              </w:rPr>
              <w:t xml:space="preserve"> (TCD)</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CBD8BA5" w14:textId="77777777" w:rsidR="00323688" w:rsidRDefault="00000000">
            <w:r>
              <w:rPr>
                <w:sz w:val="17"/>
                <w:szCs w:val="17"/>
              </w:rPr>
              <w:t>• Herramientas de análisis temporal (</w:t>
            </w:r>
            <w:proofErr w:type="spellStart"/>
            <w:r>
              <w:rPr>
                <w:sz w:val="17"/>
                <w:szCs w:val="17"/>
              </w:rPr>
              <w:t>AbsInt</w:t>
            </w:r>
            <w:proofErr w:type="spellEnd"/>
            <w:r>
              <w:rPr>
                <w:sz w:val="17"/>
                <w:szCs w:val="17"/>
              </w:rPr>
              <w:t xml:space="preserve"> </w:t>
            </w:r>
            <w:proofErr w:type="spellStart"/>
            <w:r>
              <w:rPr>
                <w:sz w:val="17"/>
                <w:szCs w:val="17"/>
              </w:rPr>
              <w:t>aiT</w:t>
            </w:r>
            <w:proofErr w:type="spellEnd"/>
            <w:r>
              <w:rPr>
                <w:sz w:val="17"/>
                <w:szCs w:val="17"/>
              </w:rPr>
              <w:t xml:space="preserve">, OTAWA) • Perfiladores de hardware (JTAG, </w:t>
            </w:r>
            <w:proofErr w:type="spellStart"/>
            <w:r>
              <w:rPr>
                <w:sz w:val="17"/>
                <w:szCs w:val="17"/>
              </w:rPr>
              <w:t>oscilloscope</w:t>
            </w:r>
            <w:proofErr w:type="spellEnd"/>
            <w:r>
              <w:rPr>
                <w:sz w:val="17"/>
                <w:szCs w:val="17"/>
              </w:rPr>
              <w:t xml:space="preserve"> traces) • MISRA C / AUTOSAR (estándares de codificación embebida)</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EA3261C" w14:textId="77777777" w:rsidR="00323688" w:rsidRDefault="00000000">
            <w:r>
              <w:rPr>
                <w:sz w:val="17"/>
                <w:szCs w:val="17"/>
              </w:rPr>
              <w:t xml:space="preserve">En tiempo real un sistema 'correcto' que no cumple su </w:t>
            </w:r>
            <w:proofErr w:type="spellStart"/>
            <w:r>
              <w:rPr>
                <w:sz w:val="17"/>
                <w:szCs w:val="17"/>
              </w:rPr>
              <w:t>deadline</w:t>
            </w:r>
            <w:proofErr w:type="spellEnd"/>
            <w:r>
              <w:rPr>
                <w:sz w:val="17"/>
                <w:szCs w:val="17"/>
              </w:rPr>
              <w:t xml:space="preserve"> es un sistema fallido. WCET no puede derivarse de pruebas estadísticas; requiere análisis estático de peor caso. TCD con datos reales de operación distingue sistemas que cumplen </w:t>
            </w:r>
            <w:proofErr w:type="spellStart"/>
            <w:r>
              <w:rPr>
                <w:sz w:val="17"/>
                <w:szCs w:val="17"/>
              </w:rPr>
              <w:t>deadlines</w:t>
            </w:r>
            <w:proofErr w:type="spellEnd"/>
            <w:r>
              <w:rPr>
                <w:sz w:val="17"/>
                <w:szCs w:val="17"/>
              </w:rPr>
              <w:t xml:space="preserve"> en laboratorio de los que los cumplen bajo carga de producción.</w:t>
            </w:r>
          </w:p>
        </w:tc>
      </w:tr>
      <w:tr w:rsidR="00323688" w14:paraId="51E8B5F9"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26EAABB3" w14:textId="77777777" w:rsidR="00323688" w:rsidRDefault="00000000">
            <w:pPr>
              <w:jc w:val="center"/>
            </w:pPr>
            <w:r>
              <w:rPr>
                <w:b/>
                <w:bCs/>
                <w:sz w:val="17"/>
                <w:szCs w:val="17"/>
              </w:rPr>
              <w:t>Software científico y de ingeniería</w:t>
            </w:r>
          </w:p>
        </w:tc>
        <w:tc>
          <w:tcPr>
            <w:tcW w:w="18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13C9ADD3" w14:textId="77777777" w:rsidR="00323688" w:rsidRDefault="00000000">
            <w:r>
              <w:rPr>
                <w:sz w:val="17"/>
                <w:szCs w:val="17"/>
              </w:rPr>
              <w:t>Cómputo numérico, simulación, análisis de datos; reproducibilidad como requisito central</w:t>
            </w:r>
          </w:p>
        </w:tc>
        <w:tc>
          <w:tcPr>
            <w:tcW w:w="22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3B1E292E" w14:textId="77777777" w:rsidR="00323688" w:rsidRDefault="00000000">
            <w:r>
              <w:rPr>
                <w:sz w:val="17"/>
                <w:szCs w:val="17"/>
              </w:rPr>
              <w:t>• Error numérico relativo (ENR) • Índice de reproducibilidad (IR) • Cobertura de validación contra datos de referencia</w:t>
            </w:r>
          </w:p>
        </w:tc>
        <w:tc>
          <w:tcPr>
            <w:tcW w:w="26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0F1EA607" w14:textId="77777777" w:rsidR="00323688" w:rsidRDefault="00000000">
            <w:r>
              <w:rPr>
                <w:sz w:val="17"/>
                <w:szCs w:val="17"/>
              </w:rPr>
              <w:t xml:space="preserve">• </w:t>
            </w:r>
            <w:proofErr w:type="spellStart"/>
            <w:r>
              <w:rPr>
                <w:sz w:val="17"/>
                <w:szCs w:val="17"/>
              </w:rPr>
              <w:t>Frameworks</w:t>
            </w:r>
            <w:proofErr w:type="spellEnd"/>
            <w:r>
              <w:rPr>
                <w:sz w:val="17"/>
                <w:szCs w:val="17"/>
              </w:rPr>
              <w:t xml:space="preserve"> de verificación numérica (</w:t>
            </w:r>
            <w:proofErr w:type="spellStart"/>
            <w:r>
              <w:rPr>
                <w:sz w:val="17"/>
                <w:szCs w:val="17"/>
              </w:rPr>
              <w:t>NumPy</w:t>
            </w:r>
            <w:proofErr w:type="spellEnd"/>
            <w:r>
              <w:rPr>
                <w:sz w:val="17"/>
                <w:szCs w:val="17"/>
              </w:rPr>
              <w:t xml:space="preserve"> </w:t>
            </w:r>
            <w:proofErr w:type="spellStart"/>
            <w:r>
              <w:rPr>
                <w:sz w:val="17"/>
                <w:szCs w:val="17"/>
              </w:rPr>
              <w:t>testing</w:t>
            </w:r>
            <w:proofErr w:type="spellEnd"/>
            <w:r>
              <w:rPr>
                <w:sz w:val="17"/>
                <w:szCs w:val="17"/>
              </w:rPr>
              <w:t xml:space="preserve">, MATLAB </w:t>
            </w:r>
            <w:proofErr w:type="spellStart"/>
            <w:r>
              <w:rPr>
                <w:sz w:val="17"/>
                <w:szCs w:val="17"/>
              </w:rPr>
              <w:t>verification</w:t>
            </w:r>
            <w:proofErr w:type="spellEnd"/>
            <w:r>
              <w:rPr>
                <w:sz w:val="17"/>
                <w:szCs w:val="17"/>
              </w:rPr>
              <w:t xml:space="preserve">) • Gestión de entornos reproducibles (Docker, Conda, SBOM) • </w:t>
            </w:r>
            <w:proofErr w:type="spellStart"/>
            <w:r>
              <w:rPr>
                <w:sz w:val="17"/>
                <w:szCs w:val="17"/>
              </w:rPr>
              <w:t>Benchmarks</w:t>
            </w:r>
            <w:proofErr w:type="spellEnd"/>
            <w:r>
              <w:rPr>
                <w:sz w:val="17"/>
                <w:szCs w:val="17"/>
              </w:rPr>
              <w:t xml:space="preserve"> de dominio (SPEC, </w:t>
            </w:r>
            <w:proofErr w:type="spellStart"/>
            <w:r>
              <w:rPr>
                <w:sz w:val="17"/>
                <w:szCs w:val="17"/>
              </w:rPr>
              <w:t>benchmarks</w:t>
            </w:r>
            <w:proofErr w:type="spellEnd"/>
            <w:r>
              <w:rPr>
                <w:sz w:val="17"/>
                <w:szCs w:val="17"/>
              </w:rPr>
              <w:t xml:space="preserve"> de física computacional)</w:t>
            </w:r>
          </w:p>
        </w:tc>
        <w:tc>
          <w:tcPr>
            <w:tcW w:w="568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25D405A1" w14:textId="77777777" w:rsidR="00323688" w:rsidRDefault="00000000">
            <w:r>
              <w:rPr>
                <w:sz w:val="17"/>
                <w:szCs w:val="17"/>
              </w:rPr>
              <w:t>Un resultado no reproducible es científicamente inválido independientemente de su precisión aparente. IR mide si otro equipo con los mismos datos obtiene los mismos resultados; su ausencia es una falla de calidad, no de funcionalidad. ENR sin tolerancia definida en los RF hace que la métrica sea inaplicable, lo que revela un defecto de especificación previo.</w:t>
            </w:r>
          </w:p>
        </w:tc>
      </w:tr>
      <w:tr w:rsidR="00323688" w14:paraId="5D4D376D"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799EC0B" w14:textId="77777777" w:rsidR="00323688" w:rsidRDefault="00000000">
            <w:pPr>
              <w:jc w:val="center"/>
            </w:pPr>
            <w:r>
              <w:rPr>
                <w:b/>
                <w:bCs/>
                <w:sz w:val="17"/>
                <w:szCs w:val="17"/>
              </w:rPr>
              <w:t>Software de código abierto (OSS)</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70152FE" w14:textId="77777777" w:rsidR="00323688" w:rsidRDefault="00000000">
            <w:r>
              <w:rPr>
                <w:sz w:val="17"/>
                <w:szCs w:val="17"/>
              </w:rPr>
              <w:t>Contribuidores distribuidos; sin estructura organizacional formal; gobernanza comunitaria</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28D98A74" w14:textId="77777777" w:rsidR="00323688" w:rsidRDefault="00000000">
            <w:r>
              <w:rPr>
                <w:sz w:val="17"/>
                <w:szCs w:val="17"/>
              </w:rPr>
              <w:t xml:space="preserve">• Bus factor (BF) • Tiempo medio de resolución de </w:t>
            </w:r>
            <w:proofErr w:type="spellStart"/>
            <w:r>
              <w:rPr>
                <w:sz w:val="17"/>
                <w:szCs w:val="17"/>
              </w:rPr>
              <w:t>issues</w:t>
            </w:r>
            <w:proofErr w:type="spellEnd"/>
            <w:r>
              <w:rPr>
                <w:sz w:val="17"/>
                <w:szCs w:val="17"/>
              </w:rPr>
              <w:t xml:space="preserve"> (TMRI) • Índice de salud del repositorio (ISR: contribuidores activos, frecuencia de </w:t>
            </w:r>
            <w:proofErr w:type="spellStart"/>
            <w:r>
              <w:rPr>
                <w:sz w:val="17"/>
                <w:szCs w:val="17"/>
              </w:rPr>
              <w:t>commits</w:t>
            </w:r>
            <w:proofErr w:type="spellEnd"/>
            <w:r>
              <w:rPr>
                <w:sz w:val="17"/>
                <w:szCs w:val="17"/>
              </w:rPr>
              <w:t>)</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CA1561D" w14:textId="77777777" w:rsidR="00323688" w:rsidRPr="003A5D80" w:rsidRDefault="00000000">
            <w:pPr>
              <w:rPr>
                <w:lang w:val="en-US"/>
              </w:rPr>
            </w:pPr>
            <w:r w:rsidRPr="003A5D80">
              <w:rPr>
                <w:sz w:val="17"/>
                <w:szCs w:val="17"/>
                <w:lang w:val="en-US"/>
              </w:rPr>
              <w:t xml:space="preserve">• GitHub Insights / GitLab Analytics • CHAOSS metrics framework (Linux Foundation) • </w:t>
            </w:r>
            <w:proofErr w:type="spellStart"/>
            <w:r w:rsidRPr="003A5D80">
              <w:rPr>
                <w:sz w:val="17"/>
                <w:szCs w:val="17"/>
                <w:lang w:val="en-US"/>
              </w:rPr>
              <w:t>OpenSSF</w:t>
            </w:r>
            <w:proofErr w:type="spellEnd"/>
            <w:r w:rsidRPr="003A5D80">
              <w:rPr>
                <w:sz w:val="17"/>
                <w:szCs w:val="17"/>
                <w:lang w:val="en-US"/>
              </w:rPr>
              <w:t xml:space="preserve"> Scorecard (</w:t>
            </w:r>
            <w:proofErr w:type="spellStart"/>
            <w:r w:rsidRPr="003A5D80">
              <w:rPr>
                <w:sz w:val="17"/>
                <w:szCs w:val="17"/>
                <w:lang w:val="en-US"/>
              </w:rPr>
              <w:t>seguridad</w:t>
            </w:r>
            <w:proofErr w:type="spellEnd"/>
            <w:r w:rsidRPr="003A5D80">
              <w:rPr>
                <w:sz w:val="17"/>
                <w:szCs w:val="17"/>
                <w:lang w:val="en-US"/>
              </w:rPr>
              <w:t xml:space="preserve"> y </w:t>
            </w:r>
            <w:proofErr w:type="spellStart"/>
            <w:r w:rsidRPr="003A5D80">
              <w:rPr>
                <w:sz w:val="17"/>
                <w:szCs w:val="17"/>
                <w:lang w:val="en-US"/>
              </w:rPr>
              <w:t>mantenibilidad</w:t>
            </w:r>
            <w:proofErr w:type="spellEnd"/>
            <w:r w:rsidRPr="003A5D80">
              <w:rPr>
                <w:sz w:val="17"/>
                <w:szCs w:val="17"/>
                <w:lang w:val="en-US"/>
              </w:rPr>
              <w:t xml:space="preserve"> OSS)</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4716570" w14:textId="77777777" w:rsidR="00323688" w:rsidRDefault="00000000">
            <w:r>
              <w:rPr>
                <w:sz w:val="17"/>
                <w:szCs w:val="17"/>
              </w:rPr>
              <w:t>Bus factor = 1 significa que un solo contribuidor concentra conocimiento crítico; su abandono puede matar el proyecto. Es la métrica de riesgo más ignorada en OSS y la más importante para organizaciones que dependen de librerías externas. TMRI indica capacidad de respuesta de la comunidad mantenedora, relevante para evaluar dependencias en producción.</w:t>
            </w:r>
          </w:p>
        </w:tc>
      </w:tr>
      <w:tr w:rsidR="00323688" w14:paraId="509406EA"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76544436" w14:textId="77777777" w:rsidR="00323688" w:rsidRDefault="00000000">
            <w:pPr>
              <w:jc w:val="center"/>
            </w:pPr>
            <w:r>
              <w:rPr>
                <w:b/>
                <w:bCs/>
                <w:sz w:val="17"/>
                <w:szCs w:val="17"/>
              </w:rPr>
              <w:t xml:space="preserve">Desarrollo individual / equipos pequeños </w:t>
            </w:r>
            <w:r>
              <w:rPr>
                <w:b/>
                <w:bCs/>
                <w:sz w:val="17"/>
                <w:szCs w:val="17"/>
              </w:rPr>
              <w:lastRenderedPageBreak/>
              <w:t>(ISO 29110 básico)</w:t>
            </w:r>
          </w:p>
        </w:tc>
        <w:tc>
          <w:tcPr>
            <w:tcW w:w="18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19C9AFE0" w14:textId="77777777" w:rsidR="00323688" w:rsidRDefault="00000000">
            <w:r>
              <w:rPr>
                <w:sz w:val="17"/>
                <w:szCs w:val="17"/>
              </w:rPr>
              <w:lastRenderedPageBreak/>
              <w:t xml:space="preserve">Startups, microempresas, proyectos académicos; recursos limitados; </w:t>
            </w:r>
            <w:r>
              <w:rPr>
                <w:sz w:val="17"/>
                <w:szCs w:val="17"/>
              </w:rPr>
              <w:lastRenderedPageBreak/>
              <w:t>sin infraestructura formal</w:t>
            </w:r>
          </w:p>
        </w:tc>
        <w:tc>
          <w:tcPr>
            <w:tcW w:w="22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696CD959" w14:textId="77777777" w:rsidR="00323688" w:rsidRDefault="00000000">
            <w:r>
              <w:rPr>
                <w:sz w:val="17"/>
                <w:szCs w:val="17"/>
              </w:rPr>
              <w:lastRenderedPageBreak/>
              <w:t xml:space="preserve">• Densidad de defectos en revisión de código (DDR) • Cobertura de pruebas unitarias (%) • </w:t>
            </w:r>
            <w:r>
              <w:rPr>
                <w:sz w:val="17"/>
                <w:szCs w:val="17"/>
              </w:rPr>
              <w:lastRenderedPageBreak/>
              <w:t>Tiempo de entrega vs. estimación (TE/E)</w:t>
            </w:r>
          </w:p>
        </w:tc>
        <w:tc>
          <w:tcPr>
            <w:tcW w:w="260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0FDB1549" w14:textId="77777777" w:rsidR="00323688" w:rsidRDefault="00000000">
            <w:r>
              <w:rPr>
                <w:sz w:val="17"/>
                <w:szCs w:val="17"/>
              </w:rPr>
              <w:lastRenderedPageBreak/>
              <w:t xml:space="preserve">• Revisión de código por pares (GitHub PR </w:t>
            </w:r>
            <w:proofErr w:type="spellStart"/>
            <w:r>
              <w:rPr>
                <w:sz w:val="17"/>
                <w:szCs w:val="17"/>
              </w:rPr>
              <w:t>reviews</w:t>
            </w:r>
            <w:proofErr w:type="spellEnd"/>
            <w:r>
              <w:rPr>
                <w:sz w:val="17"/>
                <w:szCs w:val="17"/>
              </w:rPr>
              <w:t xml:space="preserve">) • </w:t>
            </w:r>
            <w:proofErr w:type="spellStart"/>
            <w:r>
              <w:rPr>
                <w:sz w:val="17"/>
                <w:szCs w:val="17"/>
              </w:rPr>
              <w:t>Frameworks</w:t>
            </w:r>
            <w:proofErr w:type="spellEnd"/>
            <w:r>
              <w:rPr>
                <w:sz w:val="17"/>
                <w:szCs w:val="17"/>
              </w:rPr>
              <w:t xml:space="preserve"> de prueba unitaria (Jest, </w:t>
            </w:r>
            <w:proofErr w:type="spellStart"/>
            <w:r>
              <w:rPr>
                <w:sz w:val="17"/>
                <w:szCs w:val="17"/>
              </w:rPr>
              <w:t>Pytest</w:t>
            </w:r>
            <w:proofErr w:type="spellEnd"/>
            <w:r>
              <w:rPr>
                <w:sz w:val="17"/>
                <w:szCs w:val="17"/>
              </w:rPr>
              <w:t xml:space="preserve">, </w:t>
            </w:r>
            <w:proofErr w:type="spellStart"/>
            <w:r>
              <w:rPr>
                <w:sz w:val="17"/>
                <w:szCs w:val="17"/>
              </w:rPr>
              <w:t>JUnit</w:t>
            </w:r>
            <w:proofErr w:type="spellEnd"/>
            <w:r>
              <w:rPr>
                <w:sz w:val="17"/>
                <w:szCs w:val="17"/>
              </w:rPr>
              <w:t xml:space="preserve">) • </w:t>
            </w:r>
            <w:r>
              <w:rPr>
                <w:sz w:val="17"/>
                <w:szCs w:val="17"/>
              </w:rPr>
              <w:lastRenderedPageBreak/>
              <w:t>ISO/IEC 29110-4-1 (perfil de entrada para VSE)</w:t>
            </w:r>
          </w:p>
        </w:tc>
        <w:tc>
          <w:tcPr>
            <w:tcW w:w="5680" w:type="dxa"/>
            <w:tcBorders>
              <w:top w:val="single" w:sz="1" w:space="0" w:color="B0C4D8"/>
              <w:left w:val="single" w:sz="1" w:space="0" w:color="B0C4D8"/>
              <w:bottom w:val="single" w:sz="1" w:space="0" w:color="B0C4D8"/>
              <w:right w:val="single" w:sz="1" w:space="0" w:color="B0C4D8"/>
            </w:tcBorders>
            <w:shd w:val="clear" w:color="auto" w:fill="E8F5EE"/>
            <w:tcMar>
              <w:top w:w="80" w:type="dxa"/>
              <w:left w:w="130" w:type="dxa"/>
              <w:bottom w:w="80" w:type="dxa"/>
              <w:right w:w="130" w:type="dxa"/>
            </w:tcMar>
            <w:vAlign w:val="center"/>
          </w:tcPr>
          <w:p w14:paraId="62CC3ED9" w14:textId="77777777" w:rsidR="00323688" w:rsidRDefault="00000000">
            <w:r>
              <w:rPr>
                <w:sz w:val="17"/>
                <w:szCs w:val="17"/>
              </w:rPr>
              <w:lastRenderedPageBreak/>
              <w:t>En equipos pequeños la instrumentación costosa es inviable; DDR en revisión de código y cobertura de pruebas unitarias son las dos métricas con mejor relación costo/</w:t>
            </w:r>
            <w:proofErr w:type="gramStart"/>
            <w:r>
              <w:rPr>
                <w:sz w:val="17"/>
                <w:szCs w:val="17"/>
              </w:rPr>
              <w:t>beneficio demostrada empíricamente</w:t>
            </w:r>
            <w:proofErr w:type="gramEnd"/>
            <w:r>
              <w:rPr>
                <w:sz w:val="17"/>
                <w:szCs w:val="17"/>
              </w:rPr>
              <w:t xml:space="preserve"> (Fagan 1986, McConnell 2004). TE/E revela madurez en estimación, que en </w:t>
            </w:r>
            <w:proofErr w:type="spellStart"/>
            <w:r>
              <w:rPr>
                <w:sz w:val="17"/>
                <w:szCs w:val="17"/>
              </w:rPr>
              <w:t>VSEs</w:t>
            </w:r>
            <w:proofErr w:type="spellEnd"/>
            <w:r>
              <w:rPr>
                <w:sz w:val="17"/>
                <w:szCs w:val="17"/>
              </w:rPr>
              <w:t xml:space="preserve"> es frecuentemente el problema de gestión dominante.</w:t>
            </w:r>
          </w:p>
        </w:tc>
      </w:tr>
      <w:tr w:rsidR="00323688" w14:paraId="497723A1" w14:textId="77777777">
        <w:tblPrEx>
          <w:tblCellMar>
            <w:top w:w="0" w:type="dxa"/>
            <w:bottom w:w="0" w:type="dxa"/>
          </w:tblCellMar>
        </w:tblPrEx>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9DA110E" w14:textId="77777777" w:rsidR="00323688" w:rsidRDefault="00000000">
            <w:pPr>
              <w:jc w:val="center"/>
            </w:pPr>
            <w:r>
              <w:rPr>
                <w:b/>
                <w:bCs/>
                <w:sz w:val="17"/>
                <w:szCs w:val="17"/>
              </w:rPr>
              <w:t>Desarrollo a escala empresarial (SAFe, LeSS)</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DCD1BF5" w14:textId="77777777" w:rsidR="00323688" w:rsidRDefault="00000000">
            <w:r>
              <w:rPr>
                <w:sz w:val="17"/>
                <w:szCs w:val="17"/>
              </w:rPr>
              <w:t>Múltiples equipos con dependencias; arquitectura distribuida; gobernanza corporativa</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0B63F9F" w14:textId="77777777" w:rsidR="00323688" w:rsidRDefault="00000000">
            <w:r>
              <w:rPr>
                <w:sz w:val="17"/>
                <w:szCs w:val="17"/>
              </w:rPr>
              <w:t xml:space="preserve">• Flow </w:t>
            </w:r>
            <w:proofErr w:type="spellStart"/>
            <w:r>
              <w:rPr>
                <w:sz w:val="17"/>
                <w:szCs w:val="17"/>
              </w:rPr>
              <w:t>efficiency</w:t>
            </w:r>
            <w:proofErr w:type="spellEnd"/>
            <w:r>
              <w:rPr>
                <w:sz w:val="17"/>
                <w:szCs w:val="17"/>
              </w:rPr>
              <w:t xml:space="preserve"> (FE) a nivel de </w:t>
            </w:r>
            <w:proofErr w:type="gramStart"/>
            <w:r>
              <w:rPr>
                <w:sz w:val="17"/>
                <w:szCs w:val="17"/>
              </w:rPr>
              <w:t>portfolio</w:t>
            </w:r>
            <w:proofErr w:type="gramEnd"/>
            <w:r>
              <w:rPr>
                <w:sz w:val="17"/>
                <w:szCs w:val="17"/>
              </w:rPr>
              <w:t xml:space="preserve"> • Índice de acoplamiento entre equipos (IAE) • Tasa de reutilización de componentes (TRC)</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AB3AAC0" w14:textId="77777777" w:rsidR="00323688" w:rsidRDefault="00000000">
            <w:r w:rsidRPr="003A5D80">
              <w:rPr>
                <w:sz w:val="17"/>
                <w:szCs w:val="17"/>
                <w:lang w:val="en-US"/>
              </w:rPr>
              <w:t xml:space="preserve">• Value Stream Mapping (VSM) • Architecture fitness functions (Building Evolutionary Architectures – Ford et al.) </w:t>
            </w:r>
            <w:r>
              <w:rPr>
                <w:sz w:val="17"/>
                <w:szCs w:val="17"/>
              </w:rPr>
              <w:t xml:space="preserve">• </w:t>
            </w:r>
            <w:proofErr w:type="spellStart"/>
            <w:r>
              <w:rPr>
                <w:sz w:val="17"/>
                <w:szCs w:val="17"/>
              </w:rPr>
              <w:t>InnerSource</w:t>
            </w:r>
            <w:proofErr w:type="spellEnd"/>
            <w:r>
              <w:rPr>
                <w:sz w:val="17"/>
                <w:szCs w:val="17"/>
              </w:rPr>
              <w:t xml:space="preserve"> / plataformas de componentes reutilizables</w:t>
            </w:r>
          </w:p>
        </w:tc>
        <w:tc>
          <w:tcPr>
            <w:tcW w:w="5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9AA687B" w14:textId="77777777" w:rsidR="00323688" w:rsidRDefault="00000000">
            <w:r>
              <w:rPr>
                <w:sz w:val="17"/>
                <w:szCs w:val="17"/>
              </w:rPr>
              <w:t xml:space="preserve">A escala empresarial la calidad del código individual importa menos que la calidad de las interfaces entre equipos. IAE alto predice conflictos de integración y retrasos en </w:t>
            </w:r>
            <w:proofErr w:type="spellStart"/>
            <w:r>
              <w:rPr>
                <w:sz w:val="17"/>
                <w:szCs w:val="17"/>
              </w:rPr>
              <w:t>releases</w:t>
            </w:r>
            <w:proofErr w:type="spellEnd"/>
            <w:r>
              <w:rPr>
                <w:sz w:val="17"/>
                <w:szCs w:val="17"/>
              </w:rPr>
              <w:t xml:space="preserve">; es el equivalente organizacional de alto acoplamiento en código. FE a nivel </w:t>
            </w:r>
            <w:proofErr w:type="gramStart"/>
            <w:r>
              <w:rPr>
                <w:sz w:val="17"/>
                <w:szCs w:val="17"/>
              </w:rPr>
              <w:t>portfolio</w:t>
            </w:r>
            <w:proofErr w:type="gramEnd"/>
            <w:r>
              <w:rPr>
                <w:sz w:val="17"/>
                <w:szCs w:val="17"/>
              </w:rPr>
              <w:t xml:space="preserve"> expone tiempo muerto en esperas de aprobación o dependencias, que suele superar el tiempo de desarrollo efectivo.</w:t>
            </w:r>
          </w:p>
        </w:tc>
      </w:tr>
    </w:tbl>
    <w:p w14:paraId="7A9EB55F" w14:textId="77777777" w:rsidR="00323688" w:rsidRDefault="00000000">
      <w:pPr>
        <w:spacing w:before="60" w:after="60"/>
      </w:pPr>
      <w:proofErr w:type="spellStart"/>
      <w:r w:rsidRPr="003A5D80">
        <w:rPr>
          <w:b/>
          <w:bCs/>
          <w:color w:val="444444"/>
          <w:sz w:val="16"/>
          <w:szCs w:val="16"/>
          <w:lang w:val="en-US"/>
        </w:rPr>
        <w:t>Referencias</w:t>
      </w:r>
      <w:proofErr w:type="spellEnd"/>
      <w:r w:rsidRPr="003A5D80">
        <w:rPr>
          <w:b/>
          <w:bCs/>
          <w:color w:val="444444"/>
          <w:sz w:val="16"/>
          <w:szCs w:val="16"/>
          <w:lang w:val="en-US"/>
        </w:rPr>
        <w:t xml:space="preserve">: </w:t>
      </w:r>
      <w:r w:rsidRPr="003A5D80">
        <w:rPr>
          <w:color w:val="444444"/>
          <w:sz w:val="16"/>
          <w:szCs w:val="16"/>
          <w:lang w:val="en-US"/>
        </w:rPr>
        <w:t xml:space="preserve">ISO/IEC 25010:2023, DO-178C, IEC 62304, MISRA C:2023, CHAOSS Metrics Framework, </w:t>
      </w:r>
      <w:proofErr w:type="spellStart"/>
      <w:r w:rsidRPr="003A5D80">
        <w:rPr>
          <w:color w:val="444444"/>
          <w:sz w:val="16"/>
          <w:szCs w:val="16"/>
          <w:lang w:val="en-US"/>
        </w:rPr>
        <w:t>OpenSSF</w:t>
      </w:r>
      <w:proofErr w:type="spellEnd"/>
      <w:r w:rsidRPr="003A5D80">
        <w:rPr>
          <w:color w:val="444444"/>
          <w:sz w:val="16"/>
          <w:szCs w:val="16"/>
          <w:lang w:val="en-US"/>
        </w:rPr>
        <w:t xml:space="preserve"> Scorecard, Ford et al. </w:t>
      </w:r>
      <w:r>
        <w:rPr>
          <w:color w:val="444444"/>
          <w:sz w:val="16"/>
          <w:szCs w:val="16"/>
        </w:rPr>
        <w:t xml:space="preserve">(2017) </w:t>
      </w:r>
      <w:proofErr w:type="spellStart"/>
      <w:r>
        <w:rPr>
          <w:color w:val="444444"/>
          <w:sz w:val="16"/>
          <w:szCs w:val="16"/>
        </w:rPr>
        <w:t>Building</w:t>
      </w:r>
      <w:proofErr w:type="spellEnd"/>
      <w:r>
        <w:rPr>
          <w:color w:val="444444"/>
          <w:sz w:val="16"/>
          <w:szCs w:val="16"/>
        </w:rPr>
        <w:t xml:space="preserve"> </w:t>
      </w:r>
      <w:proofErr w:type="spellStart"/>
      <w:r>
        <w:rPr>
          <w:color w:val="444444"/>
          <w:sz w:val="16"/>
          <w:szCs w:val="16"/>
        </w:rPr>
        <w:t>Evolutionary</w:t>
      </w:r>
      <w:proofErr w:type="spellEnd"/>
      <w:r>
        <w:rPr>
          <w:color w:val="444444"/>
          <w:sz w:val="16"/>
          <w:szCs w:val="16"/>
        </w:rPr>
        <w:t xml:space="preserve"> </w:t>
      </w:r>
      <w:proofErr w:type="spellStart"/>
      <w:r>
        <w:rPr>
          <w:color w:val="444444"/>
          <w:sz w:val="16"/>
          <w:szCs w:val="16"/>
        </w:rPr>
        <w:t>Architectures</w:t>
      </w:r>
      <w:proofErr w:type="spellEnd"/>
      <w:r>
        <w:rPr>
          <w:color w:val="444444"/>
          <w:sz w:val="16"/>
          <w:szCs w:val="16"/>
        </w:rPr>
        <w:t>.</w:t>
      </w:r>
    </w:p>
    <w:p w14:paraId="35A0EE34" w14:textId="77777777" w:rsidR="00323688" w:rsidRDefault="00000000">
      <w:pPr>
        <w:spacing w:before="60" w:after="60"/>
      </w:pPr>
      <w:r>
        <w:rPr>
          <w:b/>
          <w:bCs/>
          <w:color w:val="444444"/>
          <w:sz w:val="16"/>
          <w:szCs w:val="16"/>
        </w:rPr>
        <w:t xml:space="preserve">Advertencia: </w:t>
      </w:r>
      <w:r>
        <w:rPr>
          <w:color w:val="444444"/>
          <w:sz w:val="16"/>
          <w:szCs w:val="16"/>
        </w:rPr>
        <w:t>Bus factor, WCET y ENR requieren herramientas especializadas o pericia de dominio; no son sustituibles por métricas genéricas de proceso. Aplicarlas fuera de contexto produce datos irrelevantes.</w:t>
      </w:r>
    </w:p>
    <w:sectPr w:rsidR="00323688" w:rsidSect="003A5D80">
      <w:pgSz w:w="15840" w:h="122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0706"/>
    <w:multiLevelType w:val="hybridMultilevel"/>
    <w:tmpl w:val="2B7463E8"/>
    <w:lvl w:ilvl="0" w:tplc="45F07D3C">
      <w:start w:val="1"/>
      <w:numFmt w:val="bullet"/>
      <w:lvlText w:val="●"/>
      <w:lvlJc w:val="left"/>
      <w:pPr>
        <w:ind w:left="720" w:hanging="360"/>
      </w:pPr>
    </w:lvl>
    <w:lvl w:ilvl="1" w:tplc="C338AD66">
      <w:start w:val="1"/>
      <w:numFmt w:val="bullet"/>
      <w:lvlText w:val="○"/>
      <w:lvlJc w:val="left"/>
      <w:pPr>
        <w:ind w:left="1440" w:hanging="360"/>
      </w:pPr>
    </w:lvl>
    <w:lvl w:ilvl="2" w:tplc="923C959A">
      <w:start w:val="1"/>
      <w:numFmt w:val="bullet"/>
      <w:lvlText w:val="■"/>
      <w:lvlJc w:val="left"/>
      <w:pPr>
        <w:ind w:left="2160" w:hanging="360"/>
      </w:pPr>
    </w:lvl>
    <w:lvl w:ilvl="3" w:tplc="AB8A50FE">
      <w:start w:val="1"/>
      <w:numFmt w:val="bullet"/>
      <w:lvlText w:val="●"/>
      <w:lvlJc w:val="left"/>
      <w:pPr>
        <w:ind w:left="2880" w:hanging="360"/>
      </w:pPr>
    </w:lvl>
    <w:lvl w:ilvl="4" w:tplc="919EE2DE">
      <w:start w:val="1"/>
      <w:numFmt w:val="bullet"/>
      <w:lvlText w:val="○"/>
      <w:lvlJc w:val="left"/>
      <w:pPr>
        <w:ind w:left="3600" w:hanging="360"/>
      </w:pPr>
    </w:lvl>
    <w:lvl w:ilvl="5" w:tplc="F782E6E2">
      <w:start w:val="1"/>
      <w:numFmt w:val="bullet"/>
      <w:lvlText w:val="■"/>
      <w:lvlJc w:val="left"/>
      <w:pPr>
        <w:ind w:left="4320" w:hanging="360"/>
      </w:pPr>
    </w:lvl>
    <w:lvl w:ilvl="6" w:tplc="F2B46EEE">
      <w:start w:val="1"/>
      <w:numFmt w:val="bullet"/>
      <w:lvlText w:val="●"/>
      <w:lvlJc w:val="left"/>
      <w:pPr>
        <w:ind w:left="5040" w:hanging="360"/>
      </w:pPr>
    </w:lvl>
    <w:lvl w:ilvl="7" w:tplc="FFA27C58">
      <w:start w:val="1"/>
      <w:numFmt w:val="bullet"/>
      <w:lvlText w:val="●"/>
      <w:lvlJc w:val="left"/>
      <w:pPr>
        <w:ind w:left="5760" w:hanging="360"/>
      </w:pPr>
    </w:lvl>
    <w:lvl w:ilvl="8" w:tplc="E3608856">
      <w:start w:val="1"/>
      <w:numFmt w:val="bullet"/>
      <w:lvlText w:val="●"/>
      <w:lvlJc w:val="left"/>
      <w:pPr>
        <w:ind w:left="6480" w:hanging="360"/>
      </w:pPr>
    </w:lvl>
  </w:abstractNum>
  <w:num w:numId="1" w16cid:durableId="2067483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688"/>
    <w:rsid w:val="00171204"/>
    <w:rsid w:val="001F70D1"/>
    <w:rsid w:val="00323688"/>
    <w:rsid w:val="003A5D80"/>
    <w:rsid w:val="00514AEC"/>
    <w:rsid w:val="009D62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AC77"/>
  <w15:docId w15:val="{1155AF18-B6C7-414C-9E10-14FE2E6B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1631</Words>
  <Characters>8973</Characters>
  <Application>Microsoft Office Word</Application>
  <DocSecurity>0</DocSecurity>
  <Lines>74</Lines>
  <Paragraphs>21</Paragraphs>
  <ScaleCrop>false</ScaleCrop>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 BOLADO SILVA</cp:lastModifiedBy>
  <cp:revision>5</cp:revision>
  <dcterms:created xsi:type="dcterms:W3CDTF">2026-06-12T20:50:00Z</dcterms:created>
  <dcterms:modified xsi:type="dcterms:W3CDTF">2026-06-12T22:03:00Z</dcterms:modified>
</cp:coreProperties>
</file>