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b/>
          <w:bCs/>
          <w:sz w:val="24"/>
          <w:szCs w:val="24"/>
        </w:rPr>
        <w:t xml:space="preserve">CORPORACIÓN UNIVERSITARIA MINUTO DE DIOS – UNIMINUTO</w:t>
      </w:r>
    </w:p>
    <w:p>
      <w:pPr>
        <w:spacing w:before="120"/>
        <w:jc w:val="center"/>
      </w:pPr>
      <w:r>
        <w:rPr>
          <w:sz w:val="22"/>
          <w:szCs w:val="22"/>
        </w:rPr>
        <w:t xml:space="preserve">Especialización en Desarrollo de Software</w:t>
      </w:r>
    </w:p>
    <w:p/>
    <w:p/>
    <w:p/>
    <w:p>
      <w:pPr>
        <w:jc w:val="center"/>
      </w:pPr>
      <w:r>
        <w:rPr>
          <w:b/>
          <w:bCs/>
          <w:sz w:val="30"/>
          <w:szCs w:val="30"/>
        </w:rPr>
        <w:t xml:space="preserve">MODELO DE SOLUCIÓN — MEDICITAS</w:t>
      </w:r>
    </w:p>
    <w:p>
      <w:pPr>
        <w:spacing w:before="160"/>
        <w:jc w:val="center"/>
      </w:pPr>
      <w:r>
        <w:rPr>
          <w:b/>
          <w:bCs/>
          <w:sz w:val="24"/>
          <w:szCs w:val="24"/>
        </w:rPr>
        <w:t xml:space="preserve">Evaluación de la calidad del software mediante métricas, verificación y auditoría</w:t>
      </w:r>
    </w:p>
    <w:p>
      <w:pPr>
        <w:spacing w:before="240"/>
        <w:jc w:val="center"/>
      </w:pPr>
      <w:r>
        <w:rPr>
          <w:i/>
          <w:iCs/>
          <w:sz w:val="22"/>
          <w:szCs w:val="22"/>
        </w:rPr>
        <w:t xml:space="preserve">Documento modelo para uso docente en clase</w:t>
      </w:r>
    </w:p>
    <w:p>
      <w:pPr>
        <w:spacing w:before="120"/>
        <w:jc w:val="center"/>
      </w:pPr>
      <w:r>
        <w:rPr>
          <w:i/>
          <w:iCs/>
          <w:sz w:val="20"/>
          <w:szCs w:val="20"/>
        </w:rPr>
        <w:t xml:space="preserve">(caso académico — sección independiente para socializar en clase)</w:t>
      </w:r>
    </w:p>
    <w:p/>
    <w:p/>
    <w:p/>
    <w:p/>
    <w:p/>
    <w:p>
      <w:pPr>
        <w:jc w:val="center"/>
      </w:pPr>
      <w:r>
        <w:rPr>
          <w:sz w:val="22"/>
          <w:szCs w:val="22"/>
        </w:rPr>
        <w:t xml:space="preserve">Curso: Estándares y Métricas de Calidad en el Desarrollo de Software</w:t>
      </w:r>
    </w:p>
    <w:p>
      <w:pPr>
        <w:spacing w:before="100"/>
        <w:jc w:val="center"/>
      </w:pPr>
      <w:r>
        <w:rPr>
          <w:sz w:val="22"/>
          <w:szCs w:val="22"/>
        </w:rPr>
        <w:t xml:space="preserve">Semana 2 — Aseguramiento de la calidad del software: validación, verificación, revisiones y auditorías</w:t>
      </w:r>
    </w:p>
    <w:p/>
    <w:p/>
    <w:p/>
    <w:p/>
    <w:p>
      <w:pPr>
        <w:jc w:val="center"/>
      </w:pPr>
      <w:r>
        <w:rPr>
          <w:sz w:val="22"/>
          <w:szCs w:val="22"/>
        </w:rPr>
        <w:t xml:space="preserve">Docente: Cesar Alfonso Bolado Silva</w:t>
      </w:r>
    </w:p>
    <w:p>
      <w:pPr>
        <w:spacing w:before="100"/>
        <w:jc w:val="center"/>
      </w:pPr>
      <w:r>
        <w:rPr>
          <w:sz w:val="22"/>
          <w:szCs w:val="22"/>
        </w:rPr>
        <w:t xml:space="preserve">Fecha: 23 de julio de 2026</w:t>
      </w:r>
    </w:p>
    <w:p>
      <w:r>
        <w:br w:type="page"/>
      </w:r>
    </w:p>
    <w:p>
      <w:pPr>
        <w:pStyle w:val="Heading1"/>
        <w:spacing w:after="160" w:before="360"/>
      </w:pPr>
      <w:r>
        <w:t xml:space="preserve">Nota para uso en clase</w:t>
      </w:r>
    </w:p>
    <w:p>
      <w:pPr>
        <w:spacing w:after="160" w:line="300"/>
        <w:jc w:val="both"/>
      </w:pPr>
      <w:r>
        <w:rPr>
          <w:sz w:val="21"/>
          <w:szCs w:val="21"/>
        </w:rPr>
        <w:t xml:space="preserve">Este documento desarrolla, de forma completa, el modelo de solución de la actividad de la semana 2 sobre el escenario académico MediCitas (sistema de información de una IPS, en preparación de su versión 3.2, con módulo de telemedicina y nuevo esquema de autenticación SSO), incluido en el archivo de apoyo de la actividad. Aplica sobre ese escenario la matriz de verificación y validación, la lista de control de revisiones técnicas y el formato base de auditoría que la guía de la actividad exige diligenciar.</w:t>
      </w:r>
    </w:p>
    <w:p>
      <w:pPr>
        <w:spacing w:after="160" w:line="300"/>
        <w:jc w:val="both"/>
      </w:pPr>
      <w:r>
        <w:rPr>
          <w:sz w:val="21"/>
          <w:szCs w:val="21"/>
        </w:rPr>
        <w:t xml:space="preserve">Este documento es la primera de dos piezas pensadas para socializarse por separado en clase: la segunda desarrolla la misma metodología sobre un caso real (un sistema de gestión de PQR en producción), para mostrar que el marco de aseguramiento de calidad aplica igual sobre una aplicación formal que sobre una herramienta ofimática que procesa información crítica.</w:t>
      </w:r>
    </w:p>
    <w:p>
      <w:pPr>
        <w:pStyle w:val="Heading1"/>
        <w:spacing w:after="160" w:before="360"/>
      </w:pPr>
      <w:r>
        <w:t xml:space="preserve">MediCitas — Escenario académico</w:t>
      </w:r>
    </w:p>
    <w:p>
      <w:pPr>
        <w:pStyle w:val="Heading2"/>
        <w:spacing w:after="120" w:before="260"/>
      </w:pPr>
      <w:r>
        <w:t xml:space="preserve">1.1 Resumen del escenario</w:t>
      </w:r>
    </w:p>
    <w:p>
      <w:pPr>
        <w:spacing w:after="160" w:line="300"/>
        <w:jc w:val="both"/>
      </w:pPr>
      <w:r>
        <w:rPr>
          <w:sz w:val="21"/>
          <w:szCs w:val="21"/>
        </w:rPr>
        <w:t xml:space="preserve">MediCitas es el sistema de información de la IPS Salud Total, utilizado por una red de 12 clínicas ambulatorias en Bogotá y municipios cercanos, para la gestión de citas, historias clínicas electrónicas (HCE), órdenes médicas, facturación electrónica integrada con la DIAN y recordatorios por SMS/WhatsApp. Se encuentra en preparación la versión 3.2, que introduce un módulo de telemedicina y un nuevo esquema de autenticación por inicio de sesión único (SSO). El equipo de desarrollo trabaja bajo Scrum, sin un área de aseguramiento de calidad independiente, y la gerencia fijó una fecha contractual de liberación en tres semanas, con el alcance ya congelado (change freeze), en medio de presión comercial por adelantarse a la competencia.</w:t>
      </w:r>
    </w:p>
    <w:p>
      <w:pPr>
        <w:spacing w:after="160" w:line="300"/>
        <w:jc w:val="both"/>
      </w:pPr>
      <w:r>
        <w:rPr>
          <w:sz w:val="21"/>
          <w:szCs w:val="21"/>
        </w:rPr>
        <w:t xml:space="preserve">Las funcionalidades críticas son: autenticación y SSO, agendamiento de citas, HCE, órdenes y recetas electrónicas, facturación con integración a la DIAN, telemedicina, notificaciones y reportes gerenciales. Entre las restricciones aplicables están la Ley 1581 de 2012 y el Decreto 1377 de 2013 (datos personales), la Resolución 1995 de 1999 (historia clínica), las Resoluciones 2654 y 3100 de 2019 (telesalud), el estándar PCI-DSS (pagos), una disponibilidad mínima del 99.5 % y la integración batch nocturna con el sistema legado AS/400.</w:t>
      </w:r>
    </w:p>
    <w:p>
      <w:pPr>
        <w:pStyle w:val="Heading2"/>
        <w:spacing w:after="120" w:before="260"/>
      </w:pPr>
      <w:r>
        <w:t xml:space="preserve">1.2 Identificación y justificación de hallazgos de seguridad</w:t>
      </w:r>
    </w:p>
    <w:p>
      <w:pPr>
        <w:spacing w:after="160" w:line="300"/>
        <w:jc w:val="both"/>
      </w:pPr>
      <w:r>
        <w:rPr>
          <w:sz w:val="21"/>
          <w:szCs w:val="21"/>
        </w:rPr>
        <w:t xml:space="preserve">A partir de la bitácora de incidencias, la lista de control de cambios y los resultados de pruebas preliminares provistos en el archivo de apoyo, se identifican los siguientes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182"/>
        <w:gridCol w:w="1217"/>
        <w:gridCol w:w="3089"/>
        <w:gridCol w:w="1404"/>
      </w:tblGrid>
      <w:tr>
        <w:trPr>
          <w:tblHeader/>
        </w:trPr>
        <w:tc>
          <w:tcPr>
            <w:tcW w:type="dxa" w:w="46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N°</w:t>
            </w:r>
          </w:p>
        </w:tc>
        <w:tc>
          <w:tcPr>
            <w:tcW w:type="dxa" w:w="3182"/>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Hallazgo</w:t>
            </w:r>
          </w:p>
        </w:tc>
        <w:tc>
          <w:tcPr>
            <w:tcW w:type="dxa" w:w="1217"/>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Evidencia</w:t>
            </w:r>
          </w:p>
        </w:tc>
        <w:tc>
          <w:tcPr>
            <w:tcW w:type="dxa" w:w="3089"/>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Impacto</w:t>
            </w:r>
          </w:p>
        </w:tc>
        <w:tc>
          <w:tcPr>
            <w:tcW w:type="dxa" w:w="1404"/>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Severidad</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Un médico accedió a historias clínicas de pacientes no asignados manipulando el identificador en la URL (falla de control de acceso, tipo IDOR).</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INC-101</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Acceso no autorizado a datos clínicos de terceros; incumple la Resolución 1995 de 1999 y la Ley 1581 de 2012.</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2</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La cuenta administrativa "admin_ti" es compartida por 4 personas y sus contraseñas no expiran.</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INC-102</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 hay atribución individual de acciones administrativas; dificulta la trazabilidad y amplía la superficie de ataque.</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3</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canal de video quedó configurado sin cifrado (HTTP) al pasar de pruebas a producción, sin revisión registrada del cambio.</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INC-103 / CR-202</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Exposición de videoconsultas médicas (dato sensible de salud) en tránsito; incumple RF-060 y la Resolución 2654 de 2019.</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4</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Los logs de la pasarela de pagos registran el número completo de la tarjeta sin enmascarar.</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INC-104</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Incumplimiento directo de PCI-DSS; riesgo de fraude financiero y de sanción regulatoria.</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log de auditoría de la historia clínica solo registra escrituras; no registra quién consulta (lee) una HCE.</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INC-105 / RF-045</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Imposibilita detectar accesos indebidos de solo lectura, incluido un caso como el del hallazgo 1.</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proceso batch nocturno de integración con AS/400 falló 3 veces en 4 semanas sin generar alerta automática.</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INC-106</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Riesgo financiero y operativo por desincronización de facturación, sin detección oportuna.</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Media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7</w:t>
            </w:r>
          </w:p>
        </w:tc>
        <w:tc>
          <w:tcPr>
            <w:tcW w:type="dxa" w:w="318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 se ejecutó la prueba de carga de 100 usuarios concurrentes sobre el módulo de agendamiento.</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INC-107 / RF-031</w:t>
            </w:r>
          </w:p>
        </w:tc>
        <w:tc>
          <w:tcPr>
            <w:tcW w:type="dxa" w:w="308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Riesgo de degradación o caída del servicio de agendamiento en el lanzamiento, agravado por la fecha fija de liberación.</w:t>
            </w:r>
          </w:p>
        </w:tc>
        <w:tc>
          <w:tcPr>
            <w:tcW w:type="dxa" w:w="140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Media</w:t>
            </w:r>
          </w:p>
        </w:tc>
      </w:tr>
    </w:tbl>
    <w:p>
      <w:pPr>
        <w:pStyle w:val="Heading2"/>
        <w:spacing w:after="120" w:before="260"/>
      </w:pPr>
      <w:r>
        <w:t xml:space="preserve">1.3 Actividades de verificación y validación</w:t>
      </w:r>
    </w:p>
    <w:p>
      <w:pPr>
        <w:spacing w:after="160" w:line="300"/>
        <w:jc w:val="both"/>
      </w:pPr>
      <w:r>
        <w:rPr>
          <w:sz w:val="21"/>
          <w:szCs w:val="21"/>
        </w:rPr>
        <w:t xml:space="preserve">La verificación responde a "¿se construyó correctamente?" (revisión de código, configuración, inspección); la validación responde a "¿se construyó lo que el usuario necesita?" (pruebas orientadas al usuario). Ambas se requieren y no son intercambiables: un componente puede estar bien construido (verificado) y aun así no resolver la necesidad real, o viceversa.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778"/>
        <w:gridCol w:w="1030"/>
        <w:gridCol w:w="2059"/>
        <w:gridCol w:w="1217"/>
        <w:gridCol w:w="1498"/>
        <w:gridCol w:w="1310"/>
      </w:tblGrid>
      <w:tr>
        <w:trPr>
          <w:tblHeader/>
        </w:trPr>
        <w:tc>
          <w:tcPr>
            <w:tcW w:type="dxa" w:w="46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ID</w:t>
            </w:r>
          </w:p>
        </w:tc>
        <w:tc>
          <w:tcPr>
            <w:tcW w:type="dxa" w:w="177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Requisito / funcionalidad</w:t>
            </w:r>
          </w:p>
        </w:tc>
        <w:tc>
          <w:tcPr>
            <w:tcW w:type="dxa" w:w="103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Tipo</w:t>
            </w:r>
          </w:p>
        </w:tc>
        <w:tc>
          <w:tcPr>
            <w:tcW w:type="dxa" w:w="2059"/>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Técnica</w:t>
            </w:r>
          </w:p>
        </w:tc>
        <w:tc>
          <w:tcPr>
            <w:tcW w:type="dxa" w:w="1217"/>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Responsable</w:t>
            </w:r>
          </w:p>
        </w:tc>
        <w:tc>
          <w:tcPr>
            <w:tcW w:type="dxa" w:w="149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Criterio de aceptación</w:t>
            </w:r>
          </w:p>
        </w:tc>
        <w:tc>
          <w:tcPr>
            <w:tcW w:type="dxa" w:w="131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Evidencia esperada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Ej.</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RF-014 — Autenticación 2FA</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Verificación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Revisión de código + inspección de configuración</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Líder técnico</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2FA disponible y exigible para roles críticos</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Acta de revisión, configuración exportada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RF-022 — Cifrado en reposo de la HCE (AES-256)</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Verificación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Revisión de configuración de base de datos e inspección de política de cifrado</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DBA / Líder técnico</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100 % de los campos de HCE cifrados en reposo con AES-256</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Reporte de configuración de cifrado, política documentada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2</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RF-031 — Rendimiento del agendamiento bajo carga</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Validación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Prueba de carga con 100 usuarios concurrentes</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Equipo de pruebas</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Tiempo de respuesta &lt; 2 s en el percentil 95</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Informe de prueba de carga con métricas de tiempo de respuesta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3</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RF-045 — Trazabilidad de accesos a la HCE (lectura y escritura)</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Verificación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Revisión del código de logging e inspección de logs</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Líder técnico / Auditor</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Todo acceso de lectura y escritura queda registrado de forma inmutable</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Extracto de logs, acta de revisión de código</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4</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RF-052 — Cumplimiento PCI-DSS en pagos</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Verificación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Auditoría de cumplimiento PCI-DSS + revisión de logs de la pasarela</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Auditor externo / Oficial de datos</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Ningún log contiene el número completo de tarjeta</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Informe de auditoría PCI-DSS, muestra de logs enmascarados</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RF-060 — Cifrado extremo a extremo del canal de video</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Verificación + Validación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Revisión de configuración del servidor (verificación) y prueba de interceptación de tráfico (validación)</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Equipo de seguridad</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100 % de las sesiones cifradas, incluso en producción</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Reporte de análisis de tráfico, configuración exportada</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Control de acceso por rol a la HCE (relacionado con INC-101)</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Validación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Prueba de penetración orientada a IDOR</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Equipo de seguridad</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Un usuario no accede a una HCE fuera de su asignación, ni manipulando la URL</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Informe de pentesting, evidencia de intentos bloqueados</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7</w:t>
            </w:r>
          </w:p>
        </w:tc>
        <w:tc>
          <w:tcPr>
            <w:tcW w:type="dxa" w:w="177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Gestión de cambios (CR-202 y CR-205 sin revisión registrada)</w:t>
            </w:r>
          </w:p>
        </w:tc>
        <w:tc>
          <w:tcPr>
            <w:tcW w:type="dxa" w:w="1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Verificación</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Auditoría del proceso de control de cambios</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Líder técnico / Auditor</w:t>
            </w:r>
          </w:p>
        </w:tc>
        <w:tc>
          <w:tcPr>
            <w:tcW w:type="dxa" w:w="149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100 % de los cambios en producción con revisión y aprobación registrada</w:t>
            </w:r>
          </w:p>
        </w:tc>
        <w:tc>
          <w:tcPr>
            <w:tcW w:type="dxa" w:w="131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Bitácora de control de cambios, actas de revisión</w:t>
            </w:r>
          </w:p>
        </w:tc>
      </w:tr>
    </w:tbl>
    <w:p>
      <w:pPr>
        <w:pStyle w:val="Heading2"/>
        <w:spacing w:after="120" w:before="260"/>
      </w:pPr>
      <w:r>
        <w:t xml:space="preserve">1.4 Lista de control de revisiones técnicas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118"/>
        <w:gridCol w:w="936"/>
        <w:gridCol w:w="3744"/>
      </w:tblGrid>
      <w:tr>
        <w:trPr>
          <w:tblHeader/>
        </w:trPr>
        <w:tc>
          <w:tcPr>
            <w:tcW w:type="dxa" w:w="562"/>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N°</w:t>
            </w:r>
          </w:p>
        </w:tc>
        <w:tc>
          <w:tcPr>
            <w:tcW w:type="dxa" w:w="411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Ítem de revisión</w:t>
            </w:r>
          </w:p>
        </w:tc>
        <w:tc>
          <w:tcPr>
            <w:tcW w:type="dxa" w:w="93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Cumple</w:t>
            </w:r>
          </w:p>
        </w:tc>
        <w:tc>
          <w:tcPr>
            <w:tcW w:type="dxa" w:w="3744"/>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Observaciones / evidencia</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código fuente cumple con los estándares de codificación definidos por el equipo.</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N.A.</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escenario no aporta evidencia sobre estándares de codificación.</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2</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Existe trazabilidad entre los requisitos y los casos de prueba.</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RF-031 no se probó bajo carga (INC-107); RF-022 y RF-052 están "pendientes de verificación".</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3</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Todos los cambios fueron documentados y aprobados antes de su despliegue a producción.</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CR-202 y CR-205 se desplegaron sin revisor registrado.</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4</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Los mecanismos de autenticación y autorización protegen adecuadamente los recursos críticos.</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INC-101 (acceso sin control por rol a HCE); INC-102 (cuenta administrativa compartida).</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La información sensible (datos clínicos, financieros) se almacena y transmite cifrada.</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RF-022 pendiente; INC-103 (canal sin cifrar); INC-104 (PAN sin enmascarar en logs).</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Existen registros de auditoría (logs) para accesos y modificaciones a información crítica.</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INC-105; RF-045 solo registra escrituras, no lecturas.</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7</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Se ejecutaron pruebas de seguridad (pentesting) antes de la liberación.</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Tabla de pruebas preliminares: pentesting de HCE "no ejecutada".</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8</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Se ejecutaron pruebas de carga/rendimiento sobre los módulos críticos.</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Agendamiento (INC-107) y telemedicina: prueba de carga no ejecutada.</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9</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manejo de datos personales cumple con la Ley 1581 de 2012 y su reglamentación.</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Múltiples brechas de datos personales y clínicos (hallazgos 1, 4, 5).</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10</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manejo de la historia clínica cumple con la Resolución 1995 de 1999.</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Trazabilidad de accesos incompleta (solo escrituras).</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11</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El módulo de telemedicina cumple con las disposiciones de la Resolución 2654 de 2019.</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Canal de video sin cifrar en producción (INC-103).</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12</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Existen alertas automáticas ante fallos de procesos críticos (p. ej., el batch de facturación).</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INC-106: 3 fallos en 4 semanas sin alerta automática.</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13</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La documentación técnica y de usuario está actualizada para la versión a liberar.</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N.A.</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Sin evidencia disponible en el escenario.</w:t>
            </w:r>
          </w:p>
        </w:tc>
      </w:tr>
      <w:tr>
        <w:tc>
          <w:tcPr>
            <w:tcW w:type="dxa" w:w="562"/>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14</w:t>
            </w:r>
          </w:p>
        </w:tc>
        <w:tc>
          <w:tcPr>
            <w:tcW w:type="dxa" w:w="411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Los riesgos técnicos y regulatorios identificados fueron mitigados antes de la liberación.</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w:t>
            </w:r>
          </w:p>
        </w:tc>
        <w:tc>
          <w:tcPr>
            <w:tcW w:type="dxa" w:w="3744"/>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La mayoría de las incidencias abiertas siguen sin cierre a la fecha de las evidencias.</w:t>
            </w:r>
          </w:p>
        </w:tc>
      </w:tr>
    </w:tbl>
    <w:p>
      <w:pPr>
        <w:pStyle w:val="Heading2"/>
        <w:spacing w:after="120" w:before="260"/>
      </w:pPr>
      <w:r>
        <w:t xml:space="preserve">1.5 Plan de auditoría</w:t>
      </w:r>
    </w:p>
    <w:p>
      <w:pPr>
        <w:pStyle w:val="Heading3"/>
        <w:spacing w:after="100" w:before="200"/>
      </w:pPr>
      <w:r>
        <w:t xml:space="preserve">1.5.1 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Campo</w:t>
            </w:r>
          </w:p>
        </w:tc>
        <w:tc>
          <w:tcPr>
            <w:tcW w:type="dxa" w:w="6365"/>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Contenido</w:t>
            </w:r>
          </w:p>
        </w:tc>
      </w:tr>
      <w:tr>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Objetivo de la auditoría</w:t>
            </w:r>
          </w:p>
        </w:tc>
        <w:tc>
          <w:tcPr>
            <w:tcW w:type="dxa" w:w="636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Determinar si la versión 3.2 de MediCitas cumple los requisitos de seguridad, desempeño y cumplimiento regulatorio necesarios para su liberación, identificando brechas críticas antes de la fecha contractual de lanzamiento.</w:t>
            </w:r>
          </w:p>
        </w:tc>
      </w:tr>
      <w:tr>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Alcance</w:t>
            </w:r>
          </w:p>
        </w:tc>
        <w:tc>
          <w:tcPr>
            <w:tcW w:type="dxa" w:w="636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Módulos de autenticación/SSO, historia clínica electrónica, telemedicina, facturación y pagos de la versión 3.2 en preparación; incluye la revisión de la bitácora de incidencias, el control de cambios y los resultados de pruebas preliminares de las últimas semanas.</w:t>
            </w:r>
          </w:p>
        </w:tc>
      </w:tr>
      <w:tr>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Criterios de auditoría (normas/estándares de referencia)</w:t>
            </w:r>
          </w:p>
        </w:tc>
        <w:tc>
          <w:tcPr>
            <w:tcW w:type="dxa" w:w="636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ISO/IEC 25010 (seguridad, fiabilidad, eficiencia de desempeño); Ley 1581 de 2012 y Decreto 1377 de 2013; Resolución 1995 de 1999; Resoluciones 2654 y 3100 de 2019; PCI-DSS.</w:t>
            </w:r>
          </w:p>
        </w:tc>
      </w:tr>
      <w:tr>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Equipo auditor</w:t>
            </w:r>
          </w:p>
        </w:tc>
        <w:tc>
          <w:tcPr>
            <w:tcW w:type="dxa" w:w="636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Especialista en aseguramiento de calidad de software (líder), un profesional de seguridad de la información y un delegado de la oficina de protección de datos.</w:t>
            </w:r>
          </w:p>
        </w:tc>
      </w:tr>
      <w:tr>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Fecha de ejecución</w:t>
            </w:r>
          </w:p>
        </w:tc>
        <w:tc>
          <w:tcPr>
            <w:tcW w:type="dxa" w:w="636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 menos dos semanas antes de la fecha contractual de liberación, dejando margen para remediar hallazgos críticos.</w:t>
            </w:r>
          </w:p>
        </w:tc>
      </w:tr>
      <w:tr>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Evidencias a recolectar</w:t>
            </w:r>
          </w:p>
        </w:tc>
        <w:tc>
          <w:tcPr>
            <w:tcW w:type="dxa" w:w="636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Bitácora de incidencias, lista de control de cambios, resultados de pruebas preliminares, logs de acceso a la HCE, configuración del servidor de video, logs de la pasarela de pagos.</w:t>
            </w:r>
          </w:p>
        </w:tc>
      </w:tr>
    </w:tbl>
    <w:p>
      <w:pPr>
        <w:pStyle w:val="Heading3"/>
        <w:spacing w:after="100" w:before="200"/>
      </w:pPr>
      <w:r>
        <w:t xml:space="preserve">1.5.2 Hallazgos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059"/>
        <w:gridCol w:w="1685"/>
        <w:gridCol w:w="1217"/>
        <w:gridCol w:w="936"/>
        <w:gridCol w:w="2995"/>
      </w:tblGrid>
      <w:tr>
        <w:trPr>
          <w:tblHeader/>
        </w:trPr>
        <w:tc>
          <w:tcPr>
            <w:tcW w:type="dxa" w:w="46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N°</w:t>
            </w:r>
          </w:p>
        </w:tc>
        <w:tc>
          <w:tcPr>
            <w:tcW w:type="dxa" w:w="2059"/>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Hallazgo</w:t>
            </w:r>
          </w:p>
        </w:tc>
        <w:tc>
          <w:tcPr>
            <w:tcW w:type="dxa" w:w="1685"/>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Criterio incumplido</w:t>
            </w:r>
          </w:p>
        </w:tc>
        <w:tc>
          <w:tcPr>
            <w:tcW w:type="dxa" w:w="1217"/>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Evidencia</w:t>
            </w:r>
          </w:p>
        </w:tc>
        <w:tc>
          <w:tcPr>
            <w:tcW w:type="dxa" w:w="93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Severidad</w:t>
            </w:r>
          </w:p>
        </w:tc>
        <w:tc>
          <w:tcPr>
            <w:tcW w:type="dxa" w:w="2995"/>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Recomendación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Acceso a HCE sin restricción efectiva por rol.</w:t>
            </w:r>
          </w:p>
        </w:tc>
        <w:tc>
          <w:tcPr>
            <w:tcW w:type="dxa" w:w="168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RF-045 / Resolución 1995 de 1999</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INC-101</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Implementar y verificar control de acceso por rol a nivel de backend; ejecutar pentesting de IDOR antes de liberar.</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2</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Registro de datos completos de tarjeta sin enmascarar.</w:t>
            </w:r>
          </w:p>
        </w:tc>
        <w:tc>
          <w:tcPr>
            <w:tcW w:type="dxa" w:w="168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PCI-DSS</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INC-104</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Enmascarar o eliminar el PAN de los logs; auditoría de cumplimiento PCI-DSS previa a la liberación.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3</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Canal de video sin cifrar en producción.</w:t>
            </w:r>
          </w:p>
        </w:tc>
        <w:tc>
          <w:tcPr>
            <w:tcW w:type="dxa" w:w="168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RF-060 / Resolución 2654 de 2019</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INC-103, CR-202</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Revertir a configuración cifrada; exigir revisión y aprobación de todo cambio de entorno antes de producción.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4</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Trazabilidad incompleta de accesos a la HCE (solo escrituras).</w:t>
            </w:r>
          </w:p>
        </w:tc>
        <w:tc>
          <w:tcPr>
            <w:tcW w:type="dxa" w:w="168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RF-045</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Especificación de requisitos</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Alta</w:t>
            </w:r>
          </w:p>
        </w:tc>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Implementar registro inmutable de lecturas y escrituras antes de la liberación.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Cambios desplegados sin revisión registrada.</w:t>
            </w:r>
          </w:p>
        </w:tc>
        <w:tc>
          <w:tcPr>
            <w:tcW w:type="dxa" w:w="168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Proceso de control de cambios</w:t>
            </w:r>
          </w:p>
        </w:tc>
        <w:tc>
          <w:tcPr>
            <w:tcW w:type="dxa" w:w="1217"/>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CR-202, CR-205</w:t>
            </w:r>
          </w:p>
        </w:tc>
        <w:tc>
          <w:tcPr>
            <w:tcW w:type="dxa" w:w="93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Media-Alta</w:t>
            </w:r>
          </w:p>
        </w:tc>
        <w:tc>
          <w:tcPr>
            <w:tcW w:type="dxa" w:w="2995"/>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Congelar despliegues sin aprobación registrada; auditar retroactivamente los cambios ya desplegados.</w:t>
            </w:r>
          </w:p>
        </w:tc>
      </w:tr>
    </w:tbl>
    <w:p>
      <w:pPr>
        <w:pStyle w:val="Heading3"/>
        <w:spacing w:after="100" w:before="200"/>
      </w:pPr>
      <w:r>
        <w:t xml:space="preserve">1.5.3 Conclusión general</w:t>
      </w:r>
    </w:p>
    <w:p>
      <w:pPr>
        <w:spacing w:after="160" w:line="300"/>
        <w:jc w:val="both"/>
      </w:pPr>
      <w:r>
        <w:rPr>
          <w:sz w:val="21"/>
          <w:szCs w:val="21"/>
        </w:rPr>
        <w:t xml:space="preserve">Dado el número y la severidad de los hallazgos —varios con incumplimiento normativo directo (Ley 1581, PCI-DSS, Resolución 2654)—, la versión 3.2 de MediCitas no reúne las condiciones mínimas de calidad y cumplimiento para liberarse en la fecha contractualmente fijada. Se recomienda no liberar los módulos de telemedicina y de pagos hasta remediar los hallazgos de severidad alta, y evaluar con la gerencia una liberación parcial (excluyendo telemedicina) que no comprometa la seguridad de la información clínica y financiera de los pacientes.</w:t>
      </w:r>
    </w:p>
    <w:p>
      <w:pPr>
        <w:pStyle w:val="Heading3"/>
        <w:spacing w:after="100" w:before="200"/>
      </w:pPr>
      <w:r>
        <w:t xml:space="preserve">1.5.4 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Auditor</w:t>
            </w:r>
          </w:p>
        </w:tc>
        <w:tc>
          <w:tcPr>
            <w:tcW w:type="dxa" w:w="468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Fecha</w:t>
            </w:r>
          </w:p>
        </w:tc>
      </w:tr>
      <w:tr>
        <w:tc>
          <w:tcPr>
            <w:tcW w:type="dxa" w:w="46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[Equipo de Aseguramiento de Calidad]</w:t>
            </w:r>
          </w:p>
        </w:tc>
        <w:tc>
          <w:tcPr>
            <w:tcW w:type="dxa" w:w="46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[Fecha de ejecución de la auditoría]</w:t>
            </w:r>
          </w:p>
        </w:tc>
      </w:tr>
    </w:tbl>
    <w:p>
      <w:pPr>
        <w:pStyle w:val="Heading2"/>
        <w:spacing w:after="120" w:before="260"/>
      </w:pPr>
      <w:r>
        <w:t xml:space="preserve">1.6 Estándar aplicado: ISO/IEC 25010</w:t>
      </w:r>
    </w:p>
    <w:p>
      <w:pPr>
        <w:spacing w:after="160" w:line="300"/>
        <w:jc w:val="both"/>
      </w:pPr>
      <w:r>
        <w:rPr>
          <w:sz w:val="21"/>
          <w:szCs w:val="21"/>
        </w:rPr>
        <w:t xml:space="preserve">Se selecciona ISO/IEC 25010:2011 porque define ocho características de calidad del producto de software directamente aplicables al riesgo del negocio en un sistema de salud (seguridad, fiabilidad y eficiencia de desempeño), y permite asociar cada hallazgo a una característica medible en lugar de a una impresión general de "buena" o "mala"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276"/>
        <w:gridCol w:w="2808"/>
      </w:tblGrid>
      <w:tr>
        <w:trPr>
          <w:tblHeader/>
        </w:trPr>
        <w:tc>
          <w:tcPr>
            <w:tcW w:type="dxa" w:w="327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Característica ISO/IEC 25010</w:t>
            </w:r>
          </w:p>
        </w:tc>
        <w:tc>
          <w:tcPr>
            <w:tcW w:type="dxa" w:w="327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Estado en MediCitas</w:t>
            </w:r>
          </w:p>
        </w:tc>
        <w:tc>
          <w:tcPr>
            <w:tcW w:type="dxa" w:w="280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Hallazgos asociados</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Seguridad (confidencialidad, integridad, no repudio, responsabilidad)</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Deficiente</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1, 2, 3, 4, 5</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Fiabilidad (tolerancia a fallos, capacidad de recuperación)</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Deficiente</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Eficiencia de desempeño (comportamiento temporal, capacidad)</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 verificada</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7</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Adecuación funcional</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Parcial (defectos menores en agendamiento y facturación)</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Compatibilidad (integración AS/400, PayGateCol)</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Con fallas intermitentes</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Mantenibilidad (proceso de control de cambios)</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Deficiente</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 (auditoría)</w:t>
            </w:r>
          </w:p>
        </w:tc>
      </w:tr>
      <w:tr>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Usabilidad / Portabilidad</w:t>
            </w:r>
          </w:p>
        </w:tc>
        <w:tc>
          <w:tcPr>
            <w:tcW w:type="dxa" w:w="3276"/>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 evaluadas — sin evidencia suficiente en el escenario</w:t>
            </w:r>
          </w:p>
        </w:tc>
        <w:tc>
          <w:tcPr>
            <w:tcW w:type="dxa" w:w="280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w:t>
            </w:r>
          </w:p>
        </w:tc>
      </w:tr>
    </w:tbl>
    <w:p>
      <w:pPr>
        <w:pStyle w:val="Heading2"/>
        <w:spacing w:after="120" w:before="260"/>
      </w:pPr>
      <w:r>
        <w:t xml:space="preserve">1.7 Métricas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059"/>
        <w:gridCol w:w="2340"/>
        <w:gridCol w:w="2340"/>
        <w:gridCol w:w="2153"/>
      </w:tblGrid>
      <w:tr>
        <w:trPr>
          <w:tblHeader/>
        </w:trPr>
        <w:tc>
          <w:tcPr>
            <w:tcW w:type="dxa" w:w="468"/>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N°</w:t>
            </w:r>
          </w:p>
        </w:tc>
        <w:tc>
          <w:tcPr>
            <w:tcW w:type="dxa" w:w="2059"/>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Métrica</w:t>
            </w:r>
          </w:p>
        </w:tc>
        <w:tc>
          <w:tcPr>
            <w:tcW w:type="dxa" w:w="234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Fórmula / forma de medición</w:t>
            </w:r>
          </w:p>
        </w:tc>
        <w:tc>
          <w:tcPr>
            <w:tcW w:type="dxa" w:w="234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Valor observado</w:t>
            </w:r>
          </w:p>
        </w:tc>
        <w:tc>
          <w:tcPr>
            <w:tcW w:type="dxa" w:w="2153"/>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vAlign w:val="center"/>
          </w:tcPr>
          <w:p>
            <w:r>
              <w:rPr>
                <w:b/>
                <w:bCs/>
                <w:i w:val="false"/>
                <w:iCs w:val="false"/>
                <w:sz w:val="19"/>
                <w:szCs w:val="19"/>
              </w:rPr>
              <w:t xml:space="preserve">Criterio de aceptación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de requisitos no funcionales críticos verificados</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(RF verificados / RF no funcionales totales) × 100</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0 % (0 de 5: RF-022, 031, 045, 052, 060 pendientes/no probados)</w:t>
            </w:r>
          </w:p>
        </w:tc>
        <w:tc>
          <w:tcPr>
            <w:tcW w:type="dxa" w:w="2153"/>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90 % antes del cierre definitivo del alcance</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2</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de pruebas de seguridad ejecutadas sobre módulos críticos</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(pruebas de seguridad ejecutadas / planificadas) × 100</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33 % (1 de 3: pentesting HCE, cifrado de canal, datos de tarjeta)</w:t>
            </w:r>
          </w:p>
        </w:tc>
        <w:tc>
          <w:tcPr>
            <w:tcW w:type="dxa" w:w="2153"/>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100 % ejecutadas antes de la liberación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3</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de cambios con revisión y aprobación registrada</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(cambios revisados / cambios totales) × 100</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60 % (3 de 5: CR-201, 203, 204 con revisor; CR-202 y 205 no)</w:t>
            </w:r>
          </w:p>
        </w:tc>
        <w:tc>
          <w:tcPr>
            <w:tcW w:type="dxa" w:w="2153"/>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100 %</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4</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Densidad de hallazgos de severidad alta por funcionalidad crítica</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hallazgos altos / funcionalidades críticas</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0.63 (5 de 8 funcionalidades)</w:t>
            </w:r>
          </w:p>
        </w:tc>
        <w:tc>
          <w:tcPr>
            <w:tcW w:type="dxa" w:w="2153"/>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0.1 antes de liberar</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de incidencias de severidad alta abiertas al cierre de pruebas</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(incidencias altas abiertas / incidencias altas totales) × 100</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57 % (4 de 7 incidencias registradas)</w:t>
            </w:r>
          </w:p>
        </w:tc>
        <w:tc>
          <w:tcPr>
            <w:tcW w:type="dxa" w:w="2153"/>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0 % al momento de la liberación</w:t>
            </w:r>
          </w:p>
        </w:tc>
      </w:tr>
      <w:tr>
        <w:tc>
          <w:tcPr>
            <w:tcW w:type="dxa" w:w="468"/>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6</w:t>
            </w:r>
          </w:p>
        </w:tc>
        <w:tc>
          <w:tcPr>
            <w:tcW w:type="dxa" w:w="2059"/>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Disponibilidad medida vs. objetivo contractual</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tiempo activo / tiempo total en horario de atención</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No medida en el escenario (dato faltante — hallazgo adicional)</w:t>
            </w:r>
          </w:p>
        </w:tc>
        <w:tc>
          <w:tcPr>
            <w:tcW w:type="dxa" w:w="2153"/>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r>
              <w:rPr>
                <w:b w:val="false"/>
                <w:bCs w:val="false"/>
                <w:i w:val="false"/>
                <w:iCs w:val="false"/>
                <w:sz w:val="19"/>
                <w:szCs w:val="19"/>
              </w:rPr>
              <w:t xml:space="preserve">≥ 99.5 % en horario de atención (7 a. m.–9 p. m.)</w:t>
            </w:r>
          </w:p>
        </w:tc>
      </w:tr>
    </w:tbl>
    <w:p>
      <w:pPr>
        <w:pStyle w:val="Heading2"/>
        <w:spacing w:after="120" w:before="260"/>
      </w:pPr>
      <w:r>
        <w:t xml:space="preserve">1.8 Conclusiones y recomendaciones priorizadas</w:t>
      </w:r>
    </w:p>
    <w:p>
      <w:pPr>
        <w:spacing w:after="160" w:line="300"/>
        <w:jc w:val="both"/>
      </w:pPr>
      <w:r>
        <w:rPr>
          <w:sz w:val="21"/>
          <w:szCs w:val="21"/>
        </w:rPr>
        <w:t xml:space="preserve">1. (Crítico, antes de liberar) Corregir el control de acceso a la HCE y ejecutar pentesting de IDOR.</w:t>
      </w:r>
    </w:p>
    <w:p>
      <w:pPr>
        <w:spacing w:after="160" w:line="300"/>
        <w:jc w:val="both"/>
      </w:pPr>
      <w:r>
        <w:rPr>
          <w:sz w:val="21"/>
          <w:szCs w:val="21"/>
        </w:rPr>
        <w:t xml:space="preserve">2. (Crítico) Enmascarar los datos de tarjeta en logs y certificar el cumplimiento PCI-DSS antes de habilitar pagos.</w:t>
      </w:r>
    </w:p>
    <w:p>
      <w:pPr>
        <w:spacing w:after="160" w:line="300"/>
        <w:jc w:val="both"/>
      </w:pPr>
      <w:r>
        <w:rPr>
          <w:sz w:val="21"/>
          <w:szCs w:val="21"/>
        </w:rPr>
        <w:t xml:space="preserve">3. (Crítico) Cifrar el canal de video de telemedicina; no liberar ese módulo hasta confirmarlo.</w:t>
      </w:r>
    </w:p>
    <w:p>
      <w:pPr>
        <w:spacing w:after="160" w:line="300"/>
        <w:jc w:val="both"/>
      </w:pPr>
      <w:r>
        <w:rPr>
          <w:sz w:val="21"/>
          <w:szCs w:val="21"/>
        </w:rPr>
        <w:t xml:space="preserve">4. (Alto) Completar el registro de auditoría de lecturas en la HCE.</w:t>
      </w:r>
    </w:p>
    <w:p>
      <w:pPr>
        <w:spacing w:after="160" w:line="300"/>
        <w:jc w:val="both"/>
      </w:pPr>
      <w:r>
        <w:rPr>
          <w:sz w:val="21"/>
          <w:szCs w:val="21"/>
        </w:rPr>
        <w:t xml:space="preserve">5. (Alto) Formalizar el proceso de control de cambios y auditar retroactivamente CR-202 y CR-205.</w:t>
      </w:r>
    </w:p>
    <w:p>
      <w:pPr>
        <w:spacing w:after="160" w:line="300"/>
        <w:jc w:val="both"/>
      </w:pPr>
      <w:r>
        <w:rPr>
          <w:sz w:val="21"/>
          <w:szCs w:val="21"/>
        </w:rPr>
        <w:t xml:space="preserve">6. (Medio) Ejecutar la prueba de carga de agendamiento y configurar alertas automáticas para el batch de facturación.</w:t>
      </w:r>
    </w:p>
    <w:p>
      <w:pPr>
        <w:spacing w:after="160" w:line="300"/>
        <w:jc w:val="both"/>
      </w:pPr>
      <w:r>
        <w:rPr>
          <w:sz w:val="21"/>
          <w:szCs w:val="21"/>
        </w:rPr>
        <w:t xml:space="preserve">Recomendación general: dada la acumulación de hallazgos altos sin remediar y la presión comercial por la fecha fija, se recomienda desacoplar la liberación de telemedicina y pagos del resto de la versión 3.2, permitiendo lanzar los módulos ya estables mientras esos dos completan su ciclo de verificación.</w:t>
      </w:r>
    </w:p>
    <w:p>
      <w:pPr>
        <w:pStyle w:val="Heading1"/>
        <w:spacing w:after="160" w:before="360"/>
      </w:pPr>
      <w:r>
        <w:t xml:space="preserve">Referencias</w:t>
      </w:r>
    </w:p>
    <w:p>
      <w:pPr>
        <w:spacing w:after="160" w:line="300"/>
        <w:jc w:val="both"/>
      </w:pPr>
      <w:r>
        <w:rPr>
          <w:sz w:val="21"/>
          <w:szCs w:val="21"/>
        </w:rPr>
        <w:t xml:space="preserve">Chavarría, A., Oré, S., &amp; Pastor, C. (2016). Aseguramiento de la calidad en el proceso de desarrollo de software utilizando CMMI, TSP y PSP. Revista Ibérica de Sistemas e Tecnologias de Informação, (20), 62-77.</w:t>
      </w:r>
    </w:p>
    <w:p>
      <w:pPr>
        <w:spacing w:after="160" w:line="300"/>
        <w:jc w:val="both"/>
      </w:pPr>
      <w:r>
        <w:rPr>
          <w:sz w:val="21"/>
          <w:szCs w:val="21"/>
        </w:rPr>
        <w:t xml:space="preserve">Congreso de la República de Colombia. (2012). Ley 1581 de 2012, por la cual se dictan disposiciones generales para la protección de datos personales.</w:t>
      </w:r>
    </w:p>
    <w:p>
      <w:pPr>
        <w:spacing w:after="160" w:line="300"/>
        <w:jc w:val="both"/>
      </w:pPr>
      <w:r>
        <w:rPr>
          <w:sz w:val="21"/>
          <w:szCs w:val="21"/>
        </w:rPr>
        <w:t xml:space="preserve">International Organization for Standardization. (2011). ISO/IEC 25010:2011 — Systems and software engineering — Systems and software Quality Requirements and Evaluation (SQuaRE) — System and software quality models. ISO.</w:t>
      </w:r>
    </w:p>
    <w:p>
      <w:pPr>
        <w:spacing w:after="160" w:line="300"/>
        <w:jc w:val="both"/>
      </w:pPr>
      <w:r>
        <w:rPr>
          <w:sz w:val="21"/>
          <w:szCs w:val="21"/>
        </w:rPr>
        <w:t xml:space="preserve">Ministerio de Salud de Colombia. (1999). Resolución 1995 de 1999, por la cual se establecen normas para el manejo de la historia clínica.</w:t>
      </w:r>
    </w:p>
    <w:p>
      <w:pPr>
        <w:spacing w:after="160" w:line="300"/>
        <w:jc w:val="both"/>
      </w:pPr>
      <w:r>
        <w:rPr>
          <w:sz w:val="21"/>
          <w:szCs w:val="21"/>
        </w:rPr>
        <w:t xml:space="preserve">Ministerio de Salud y Protección Social de Colombia. (2019). Resolución 2654 de 2019, por la cual se establecen disposiciones para la telesalud.</w:t>
      </w:r>
    </w:p>
    <w:p>
      <w:pPr>
        <w:spacing w:after="160" w:line="300"/>
        <w:jc w:val="both"/>
      </w:pPr>
      <w:r>
        <w:rPr>
          <w:sz w:val="21"/>
          <w:szCs w:val="21"/>
        </w:rPr>
        <w:t xml:space="preserve">Ministerio de Salud y Protección Social de Colombia. (2019). Resolución 3100 de 2019, por la cual se definen los procedimientos y condiciones de inscripción de los prestadores de servicios de salud.</w:t>
      </w:r>
    </w:p>
    <w:p>
      <w:pPr>
        <w:spacing w:after="160" w:line="300"/>
        <w:jc w:val="both"/>
      </w:pPr>
      <w:r>
        <w:rPr>
          <w:sz w:val="21"/>
          <w:szCs w:val="21"/>
        </w:rPr>
        <w:t xml:space="preserve">Paredes, L., Benavides, L., &amp; Sánchez, N. (2017). Guía de recomendación para la selección de un modelo de calidad para la mejora de procesos de software (SPI). Revista Ciencias Estratégicas.</w:t>
      </w:r>
    </w:p>
    <w:p>
      <w:pPr>
        <w:spacing w:after="160" w:line="300"/>
        <w:jc w:val="both"/>
      </w:pPr>
      <w:r>
        <w:rPr>
          <w:sz w:val="21"/>
          <w:szCs w:val="21"/>
        </w:rPr>
        <w:t xml:space="preserve">PCI Security Standards Council. (2022). Payment Card Industry Data Security Standard (PCI DSS).</w:t>
      </w:r>
    </w:p>
    <w:p>
      <w:pPr>
        <w:spacing w:after="160" w:line="300"/>
        <w:jc w:val="both"/>
      </w:pPr>
      <w:r>
        <w:rPr>
          <w:sz w:val="21"/>
          <w:szCs w:val="21"/>
        </w:rPr>
        <w:t xml:space="preserve">Presidencia de la República de Colombia. (2013). Decreto 1377 de 2013, por el cual se reglamenta parcialmente la Ley 1581 de 2012.</w:t>
      </w:r>
    </w:p>
    <w:p>
      <w:pPr>
        <w:spacing w:after="160" w:line="300"/>
        <w:jc w:val="both"/>
      </w:pPr>
      <w:r>
        <w:rPr>
          <w:sz w:val="21"/>
          <w:szCs w:val="21"/>
        </w:rPr>
        <w:t xml:space="preserve">Urrea-Contreras, S., Flores-Ríos, B., Astorga-Vargas, M., Ibarra-Esquer, J., González-Navarro, F. F., Velázquez-Solís, P., &amp; Ardila, C. A. (2020). Propuesta de un marco de trabajo para la identificación y selección de algoritmos y herramientas de minería de procesos orientado a las organizaciones de desarrollo de software. Revista Ibérica de Sistemas e Tecnologias de Informação, (25), 348-363.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2026-07-24T00:00:54.985Z</dcterms:created>
  <dcterms:modified xsi:type="dcterms:W3CDTF">2026-07-24T00:00:54.986Z</dcterms:modified>
</cp:coreProperties>
</file>

<file path=docProps/custom.xml><?xml version="1.0" encoding="utf-8"?>
<Properties xmlns="http://schemas.openxmlformats.org/officeDocument/2006/custom-properties" xmlns:vt="http://schemas.openxmlformats.org/officeDocument/2006/docPropsVTypes"/>
</file>