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9E7F" w14:textId="77777777" w:rsidR="00173171" w:rsidRDefault="00173171">
      <w:pPr>
        <w:spacing w:after="2000"/>
      </w:pPr>
    </w:p>
    <w:p w14:paraId="0B9523B7" w14:textId="77777777" w:rsidR="00173171" w:rsidRDefault="00000000">
      <w:pPr>
        <w:spacing w:after="200"/>
        <w:jc w:val="center"/>
      </w:pPr>
      <w:r>
        <w:rPr>
          <w:b/>
          <w:bCs/>
          <w:color w:val="1F3864"/>
          <w:sz w:val="24"/>
          <w:szCs w:val="24"/>
        </w:rPr>
        <w:t>CORPORACIÓN UNIVERSITARIA MINUTO DE DIOS – UNIMINUTO</w:t>
      </w:r>
    </w:p>
    <w:p w14:paraId="7387D215" w14:textId="77777777" w:rsidR="00173171" w:rsidRDefault="00000000">
      <w:pPr>
        <w:spacing w:after="1200"/>
        <w:jc w:val="center"/>
      </w:pPr>
      <w:r>
        <w:rPr>
          <w:color w:val="595959"/>
        </w:rPr>
        <w:t>NRC-93980 – Estándares y Métricas de Calidad en el Desarrollo de Software</w:t>
      </w:r>
    </w:p>
    <w:p w14:paraId="3C936F15" w14:textId="77777777" w:rsidR="00173171" w:rsidRDefault="00000000">
      <w:pPr>
        <w:spacing w:after="200"/>
        <w:jc w:val="center"/>
      </w:pPr>
      <w:r>
        <w:rPr>
          <w:b/>
          <w:bCs/>
          <w:color w:val="1F3864"/>
          <w:sz w:val="36"/>
          <w:szCs w:val="36"/>
        </w:rPr>
        <w:t>Reporte de solución de problemas matemáticos</w:t>
      </w:r>
    </w:p>
    <w:p w14:paraId="7F19516A" w14:textId="77777777" w:rsidR="00173171" w:rsidRDefault="00000000">
      <w:pPr>
        <w:spacing w:after="1600"/>
        <w:jc w:val="center"/>
      </w:pPr>
      <w:r>
        <w:rPr>
          <w:i/>
          <w:iCs/>
          <w:color w:val="595959"/>
          <w:sz w:val="26"/>
          <w:szCs w:val="26"/>
        </w:rPr>
        <w:t>Evaluación de la calidad del software mediante métricas, verificación y auditoría</w:t>
      </w:r>
    </w:p>
    <w:p w14:paraId="2A471AA0" w14:textId="6D4E712C" w:rsidR="00173171" w:rsidRDefault="00000000" w:rsidP="00E821C1">
      <w:pPr>
        <w:spacing w:after="100"/>
        <w:jc w:val="center"/>
      </w:pPr>
      <w:r>
        <w:t xml:space="preserve">Caso aplicado: plataforma de comercio electrónico </w:t>
      </w:r>
      <w:proofErr w:type="spellStart"/>
      <w:r>
        <w:t>TiendaExpress</w:t>
      </w:r>
      <w:proofErr w:type="spellEnd"/>
    </w:p>
    <w:p w14:paraId="04D5351C" w14:textId="03A530AA" w:rsidR="00173171" w:rsidRDefault="00000000">
      <w:pPr>
        <w:spacing w:after="80"/>
        <w:jc w:val="center"/>
      </w:pPr>
      <w:r>
        <w:t xml:space="preserve">Presentado por: </w:t>
      </w:r>
      <w:r w:rsidR="00E821C1">
        <w:t>Diego Alejandro Astudillo Rojas</w:t>
      </w:r>
    </w:p>
    <w:p w14:paraId="02632381" w14:textId="77777777" w:rsidR="00173171" w:rsidRDefault="00000000">
      <w:pPr>
        <w:spacing w:after="80"/>
        <w:jc w:val="center"/>
      </w:pPr>
      <w:r>
        <w:t>Asignatura: Estándares y Métricas de Calidad en el Desarrollo de Software</w:t>
      </w:r>
    </w:p>
    <w:p w14:paraId="3055C569" w14:textId="77777777" w:rsidR="00173171" w:rsidRDefault="00000000">
      <w:pPr>
        <w:spacing w:after="80"/>
        <w:jc w:val="center"/>
      </w:pPr>
      <w:r>
        <w:t>Semana 2</w:t>
      </w:r>
    </w:p>
    <w:p w14:paraId="709B9B54" w14:textId="6A056DB4" w:rsidR="00173171" w:rsidRDefault="00000000">
      <w:pPr>
        <w:spacing w:after="80"/>
        <w:jc w:val="center"/>
      </w:pPr>
      <w:r>
        <w:t xml:space="preserve">Fecha de entrega: </w:t>
      </w:r>
      <w:r w:rsidR="00E821C1">
        <w:t>13</w:t>
      </w:r>
      <w:r>
        <w:t>/</w:t>
      </w:r>
      <w:r w:rsidR="00E821C1">
        <w:t>07</w:t>
      </w:r>
      <w:r>
        <w:t>/</w:t>
      </w:r>
      <w:r w:rsidR="00E821C1">
        <w:t>2026</w:t>
      </w:r>
    </w:p>
    <w:p w14:paraId="1CA2C906" w14:textId="75589C91" w:rsidR="00173171" w:rsidRDefault="00173171">
      <w:pPr>
        <w:spacing w:before="2000"/>
        <w:jc w:val="center"/>
      </w:pPr>
    </w:p>
    <w:p w14:paraId="2C06A70D" w14:textId="77777777" w:rsidR="00173171" w:rsidRDefault="00000000">
      <w:r>
        <w:br w:type="page"/>
      </w:r>
    </w:p>
    <w:p w14:paraId="16435639" w14:textId="77777777" w:rsidR="00173171" w:rsidRDefault="00000000">
      <w:pPr>
        <w:pStyle w:val="Ttulo1"/>
        <w:spacing w:before="400" w:after="200"/>
      </w:pPr>
      <w:r>
        <w:rPr>
          <w:b/>
          <w:bCs/>
          <w:color w:val="1F3864"/>
          <w:sz w:val="28"/>
          <w:szCs w:val="28"/>
        </w:rPr>
        <w:lastRenderedPageBreak/>
        <w:t>1. Introducción</w:t>
      </w:r>
    </w:p>
    <w:p w14:paraId="304F7A89" w14:textId="77777777" w:rsidR="00173171" w:rsidRDefault="00000000">
      <w:pPr>
        <w:spacing w:after="180" w:line="300" w:lineRule="auto"/>
        <w:jc w:val="both"/>
      </w:pPr>
      <w:r>
        <w:t>La calidad del software no es un atributo que se revisa al final de un proyecto, sino un conjunto de decisiones y controles que se toman a lo largo de todo el ciclo de vida del desarrollo. En un entorno cada vez más competitivo, donde un sistema puede fallar frente a miles de usuarios en cuestión de minutos, resulta indispensable contar con procesos formales de verificación, validación, revisión y auditoría que permitan detectar errores, riesgos y vacíos antes de que el software llegue a producción.</w:t>
      </w:r>
    </w:p>
    <w:p w14:paraId="741CAB97" w14:textId="77777777" w:rsidR="00173171" w:rsidRDefault="00000000">
      <w:pPr>
        <w:spacing w:after="180" w:line="300" w:lineRule="auto"/>
        <w:jc w:val="both"/>
      </w:pPr>
      <w:r>
        <w:t>En este reporte se asume el rol de especialista en aseguramiento de la calidad del software, encargado de evaluar un sistema de comercio electrónico antes de su liberación oficial. Para ello se analiza un escenario realista que incluye la descripción del sistema, el contexto organizacional, los actores involucrados, las funcionalidades críticas, las restricciones técnicas y regulatorias, y un conjunto de evidencias (requisitos, bitácora de incidencias, control de cambios y resultados de pruebas preliminares) sobre las cuales se fundamenta el análisis.</w:t>
      </w:r>
    </w:p>
    <w:p w14:paraId="0AEFA72F" w14:textId="77777777" w:rsidR="00173171" w:rsidRDefault="00000000">
      <w:pPr>
        <w:spacing w:after="180" w:line="300" w:lineRule="auto"/>
        <w:jc w:val="both"/>
      </w:pPr>
      <w:r>
        <w:t>A partir de dicho escenario se desarrollan los siguientes componentes: identificación y justificación de hallazgos de seguridad, definición de actividades de verificación y validación, diseño de una lista de verificación de revisión técnica, elaboración de un plan de auditoría, aplicación del estándar ISO/IEC 25010, definición de métricas de calidad con su fórmula y criterio de aceptación, y finalmente las conclusiones y recomendaciones priorizadas para la organización.</w:t>
      </w:r>
    </w:p>
    <w:p w14:paraId="26ED7C22" w14:textId="77777777" w:rsidR="00173171" w:rsidRDefault="00000000">
      <w:pPr>
        <w:pStyle w:val="Ttulo1"/>
        <w:spacing w:before="400" w:after="200"/>
      </w:pPr>
      <w:r>
        <w:rPr>
          <w:b/>
          <w:bCs/>
          <w:color w:val="1F3864"/>
          <w:sz w:val="28"/>
          <w:szCs w:val="28"/>
        </w:rPr>
        <w:t xml:space="preserve">2. Escenario del caso: plataforma de comercio electrónico </w:t>
      </w:r>
      <w:proofErr w:type="spellStart"/>
      <w:r>
        <w:rPr>
          <w:b/>
          <w:bCs/>
          <w:color w:val="1F3864"/>
          <w:sz w:val="28"/>
          <w:szCs w:val="28"/>
        </w:rPr>
        <w:t>TiendaExpress</w:t>
      </w:r>
      <w:proofErr w:type="spellEnd"/>
    </w:p>
    <w:p w14:paraId="7FBFF7D1" w14:textId="77777777" w:rsidR="00173171" w:rsidRDefault="00000000">
      <w:pPr>
        <w:pStyle w:val="Ttulo2"/>
        <w:spacing w:before="300" w:after="150"/>
      </w:pPr>
      <w:r>
        <w:rPr>
          <w:b/>
          <w:bCs/>
          <w:color w:val="1F3864"/>
          <w:sz w:val="24"/>
          <w:szCs w:val="24"/>
        </w:rPr>
        <w:t>2.1 Descripción general del sistema</w:t>
      </w:r>
    </w:p>
    <w:p w14:paraId="02931A78" w14:textId="77777777" w:rsidR="00173171" w:rsidRDefault="00000000">
      <w:pPr>
        <w:spacing w:after="180" w:line="300" w:lineRule="auto"/>
        <w:jc w:val="both"/>
      </w:pPr>
      <w:proofErr w:type="spellStart"/>
      <w:r>
        <w:t>TiendaExpress</w:t>
      </w:r>
      <w:proofErr w:type="spellEnd"/>
      <w:r>
        <w:t xml:space="preserve"> es una plataforma de comercio electrónico compuesta por un sitio web y una aplicación móvil (Android </w:t>
      </w:r>
      <w:proofErr w:type="gramStart"/>
      <w:r>
        <w:t>e</w:t>
      </w:r>
      <w:proofErr w:type="gramEnd"/>
      <w:r>
        <w:t xml:space="preserve"> iOS) que permite a los usuarios registrarse, explorar un catálogo de productos, agregar artículos a un carrito de compras, realizar pagos en línea, hacer seguimiento a sus pedidos y calificar los productos adquiridos. La plataforma cuenta además con un panel administrativo desde el cual los vendedores gestionan inventario, precios, promociones y despachos. El sistema está construido bajo una arquitectura de microservicios, con una base de datos relacional para la gestión transaccional y un motor de búsqueda independiente para el catálogo.</w:t>
      </w:r>
    </w:p>
    <w:p w14:paraId="606B25B7" w14:textId="77777777" w:rsidR="00173171" w:rsidRDefault="00000000">
      <w:pPr>
        <w:pStyle w:val="Ttulo2"/>
        <w:spacing w:before="300" w:after="150"/>
      </w:pPr>
      <w:r>
        <w:rPr>
          <w:b/>
          <w:bCs/>
          <w:color w:val="1F3864"/>
          <w:sz w:val="24"/>
          <w:szCs w:val="24"/>
        </w:rPr>
        <w:t>2.2 Contexto organizacional</w:t>
      </w:r>
    </w:p>
    <w:p w14:paraId="0992B933" w14:textId="77777777" w:rsidR="00173171" w:rsidRDefault="00000000">
      <w:pPr>
        <w:spacing w:after="180" w:line="300" w:lineRule="auto"/>
        <w:jc w:val="both"/>
      </w:pPr>
      <w:r>
        <w:t xml:space="preserve">La empresa dueña de </w:t>
      </w:r>
      <w:proofErr w:type="spellStart"/>
      <w:r>
        <w:t>TiendaExpress</w:t>
      </w:r>
      <w:proofErr w:type="spellEnd"/>
      <w:r>
        <w:t xml:space="preserve"> es una compañía colombiana de </w:t>
      </w:r>
      <w:proofErr w:type="spellStart"/>
      <w:r>
        <w:t>retail</w:t>
      </w:r>
      <w:proofErr w:type="spellEnd"/>
      <w:r>
        <w:t xml:space="preserve"> que en los últimos dos años trasladó gran parte de sus ventas al canal digital. El equipo de desarrollo trabaja bajo metodología ágil (Scrum), con entregas cada dos semanas. La organización se encuentra a pocas semanas de un pico estacional de ventas (temporada de descuentos de fin de año), por lo que existe presión comercial para liberar la versión 3.0 de la plataforma, que incorpora un nuevo módulo de pagos y un sistema de fidelización de clientes.</w:t>
      </w:r>
    </w:p>
    <w:p w14:paraId="5CD78A3B" w14:textId="77777777" w:rsidR="00173171" w:rsidRDefault="00000000">
      <w:pPr>
        <w:pStyle w:val="Ttulo2"/>
        <w:spacing w:before="300" w:after="150"/>
      </w:pPr>
      <w:r>
        <w:rPr>
          <w:b/>
          <w:bCs/>
          <w:color w:val="1F3864"/>
          <w:sz w:val="24"/>
          <w:szCs w:val="24"/>
        </w:rPr>
        <w:lastRenderedPageBreak/>
        <w:t>2.3 Actores involucrados</w:t>
      </w:r>
    </w:p>
    <w:p w14:paraId="53DED5D2" w14:textId="77777777" w:rsidR="00173171" w:rsidRDefault="00000000">
      <w:pPr>
        <w:pStyle w:val="Prrafodelista"/>
        <w:numPr>
          <w:ilvl w:val="0"/>
          <w:numId w:val="2"/>
        </w:numPr>
        <w:spacing w:after="100" w:line="300" w:lineRule="auto"/>
        <w:jc w:val="both"/>
      </w:pPr>
      <w:proofErr w:type="spellStart"/>
      <w:r>
        <w:t>Product</w:t>
      </w:r>
      <w:proofErr w:type="spellEnd"/>
      <w:r>
        <w:t xml:space="preserve"> Owner: define y prioriza los requisitos funcionales del negocio.</w:t>
      </w:r>
    </w:p>
    <w:p w14:paraId="26BDB1B5" w14:textId="77777777" w:rsidR="00173171" w:rsidRDefault="00000000">
      <w:pPr>
        <w:pStyle w:val="Prrafodelista"/>
        <w:numPr>
          <w:ilvl w:val="0"/>
          <w:numId w:val="2"/>
        </w:numPr>
        <w:spacing w:after="100" w:line="300" w:lineRule="auto"/>
        <w:jc w:val="both"/>
      </w:pPr>
      <w:r>
        <w:t>Equipo de desarrollo (</w:t>
      </w:r>
      <w:proofErr w:type="spellStart"/>
      <w:r>
        <w:t>backend</w:t>
      </w:r>
      <w:proofErr w:type="spellEnd"/>
      <w:r>
        <w:t xml:space="preserve">, </w:t>
      </w:r>
      <w:proofErr w:type="spellStart"/>
      <w:r>
        <w:t>frontend</w:t>
      </w:r>
      <w:proofErr w:type="spellEnd"/>
      <w:r>
        <w:t xml:space="preserve"> y móvil): construye las funcionalidades del sistema.</w:t>
      </w:r>
    </w:p>
    <w:p w14:paraId="56572D1E" w14:textId="77777777" w:rsidR="00173171" w:rsidRDefault="00000000">
      <w:pPr>
        <w:pStyle w:val="Prrafodelista"/>
        <w:numPr>
          <w:ilvl w:val="0"/>
          <w:numId w:val="2"/>
        </w:numPr>
        <w:spacing w:after="100" w:line="300" w:lineRule="auto"/>
        <w:jc w:val="both"/>
      </w:pPr>
      <w:r>
        <w:t>Equipo de aseguramiento de la calidad (QA): diseña y ejecuta las pruebas funcionales y no funcionales.</w:t>
      </w:r>
    </w:p>
    <w:p w14:paraId="696AB2DC" w14:textId="77777777" w:rsidR="00173171" w:rsidRDefault="00000000">
      <w:pPr>
        <w:pStyle w:val="Prrafodelista"/>
        <w:numPr>
          <w:ilvl w:val="0"/>
          <w:numId w:val="2"/>
        </w:numPr>
        <w:spacing w:after="100" w:line="300" w:lineRule="auto"/>
        <w:jc w:val="both"/>
      </w:pPr>
      <w:r>
        <w:t>Administrador de base de datos (DBA): gestiona la integridad y el rendimiento de los datos.</w:t>
      </w:r>
    </w:p>
    <w:p w14:paraId="3D5C8F65" w14:textId="77777777" w:rsidR="00173171" w:rsidRDefault="00000000">
      <w:pPr>
        <w:pStyle w:val="Prrafodelista"/>
        <w:numPr>
          <w:ilvl w:val="0"/>
          <w:numId w:val="2"/>
        </w:numPr>
        <w:spacing w:after="100" w:line="300" w:lineRule="auto"/>
        <w:jc w:val="both"/>
      </w:pPr>
      <w:r>
        <w:t>Especialista en aseguramiento de la calidad del software (rol asumido en este reporte): evalúa el sistema antes de su liberación.</w:t>
      </w:r>
    </w:p>
    <w:p w14:paraId="22F5D7A1" w14:textId="77777777" w:rsidR="00173171" w:rsidRDefault="00000000">
      <w:pPr>
        <w:pStyle w:val="Prrafodelista"/>
        <w:numPr>
          <w:ilvl w:val="0"/>
          <w:numId w:val="2"/>
        </w:numPr>
        <w:spacing w:after="100" w:line="300" w:lineRule="auto"/>
        <w:jc w:val="both"/>
      </w:pPr>
      <w:r>
        <w:t>Proveedor externo de la pasarela de pagos: procesa las transacciones con tarjeta y PSE.</w:t>
      </w:r>
    </w:p>
    <w:p w14:paraId="4C5E0F55" w14:textId="77777777" w:rsidR="00173171" w:rsidRDefault="00000000">
      <w:pPr>
        <w:pStyle w:val="Prrafodelista"/>
        <w:numPr>
          <w:ilvl w:val="0"/>
          <w:numId w:val="2"/>
        </w:numPr>
        <w:spacing w:after="100" w:line="300" w:lineRule="auto"/>
        <w:jc w:val="both"/>
      </w:pPr>
      <w:r>
        <w:t>Usuarios finales (compradores) y vendedores (administradores de tienda).</w:t>
      </w:r>
    </w:p>
    <w:p w14:paraId="4F7F1388" w14:textId="77777777" w:rsidR="00173171" w:rsidRDefault="00000000">
      <w:pPr>
        <w:pStyle w:val="Ttulo2"/>
        <w:spacing w:before="300" w:after="150"/>
      </w:pPr>
      <w:r>
        <w:rPr>
          <w:b/>
          <w:bCs/>
          <w:color w:val="1F3864"/>
          <w:sz w:val="24"/>
          <w:szCs w:val="24"/>
        </w:rPr>
        <w:t>2.4 Funcionalidades críticas</w:t>
      </w:r>
    </w:p>
    <w:p w14:paraId="591D3893" w14:textId="77777777" w:rsidR="00173171" w:rsidRDefault="00000000">
      <w:pPr>
        <w:pStyle w:val="Prrafodelista"/>
        <w:numPr>
          <w:ilvl w:val="0"/>
          <w:numId w:val="2"/>
        </w:numPr>
        <w:spacing w:after="100" w:line="300" w:lineRule="auto"/>
        <w:jc w:val="both"/>
      </w:pPr>
      <w:r>
        <w:t>Registro, autenticación y recuperación de contraseña de usuarios.</w:t>
      </w:r>
    </w:p>
    <w:p w14:paraId="51103605" w14:textId="77777777" w:rsidR="00173171" w:rsidRDefault="00000000">
      <w:pPr>
        <w:pStyle w:val="Prrafodelista"/>
        <w:numPr>
          <w:ilvl w:val="0"/>
          <w:numId w:val="2"/>
        </w:numPr>
        <w:spacing w:after="100" w:line="300" w:lineRule="auto"/>
        <w:jc w:val="both"/>
      </w:pPr>
      <w:r>
        <w:t>Catálogo, búsqueda y filtrado de productos.</w:t>
      </w:r>
    </w:p>
    <w:p w14:paraId="75F536C1" w14:textId="77777777" w:rsidR="00173171" w:rsidRDefault="00000000">
      <w:pPr>
        <w:pStyle w:val="Prrafodelista"/>
        <w:numPr>
          <w:ilvl w:val="0"/>
          <w:numId w:val="2"/>
        </w:numPr>
        <w:spacing w:after="100" w:line="300" w:lineRule="auto"/>
        <w:jc w:val="both"/>
      </w:pPr>
      <w:r>
        <w:t>Carrito de compras y proceso de pago (</w:t>
      </w:r>
      <w:proofErr w:type="spellStart"/>
      <w:r>
        <w:t>checkout</w:t>
      </w:r>
      <w:proofErr w:type="spellEnd"/>
      <w:r>
        <w:t>).</w:t>
      </w:r>
    </w:p>
    <w:p w14:paraId="5B427B41" w14:textId="77777777" w:rsidR="00173171" w:rsidRDefault="00000000">
      <w:pPr>
        <w:pStyle w:val="Prrafodelista"/>
        <w:numPr>
          <w:ilvl w:val="0"/>
          <w:numId w:val="2"/>
        </w:numPr>
        <w:spacing w:after="100" w:line="300" w:lineRule="auto"/>
        <w:jc w:val="both"/>
      </w:pPr>
      <w:r>
        <w:t>Gestión de pedidos, envíos y notificaciones al usuario.</w:t>
      </w:r>
    </w:p>
    <w:p w14:paraId="207F513F" w14:textId="77777777" w:rsidR="00173171" w:rsidRDefault="00000000">
      <w:pPr>
        <w:pStyle w:val="Prrafodelista"/>
        <w:numPr>
          <w:ilvl w:val="0"/>
          <w:numId w:val="2"/>
        </w:numPr>
        <w:spacing w:after="100" w:line="300" w:lineRule="auto"/>
        <w:jc w:val="both"/>
      </w:pPr>
      <w:r>
        <w:t>Panel administrativo de inventario y precios.</w:t>
      </w:r>
    </w:p>
    <w:p w14:paraId="4F5C8F30" w14:textId="77777777" w:rsidR="00173171" w:rsidRDefault="00000000">
      <w:pPr>
        <w:pStyle w:val="Prrafodelista"/>
        <w:numPr>
          <w:ilvl w:val="0"/>
          <w:numId w:val="2"/>
        </w:numPr>
        <w:spacing w:after="100" w:line="300" w:lineRule="auto"/>
        <w:jc w:val="both"/>
      </w:pPr>
      <w:r>
        <w:t>Sistema de reseñas y calificaciones de productos.</w:t>
      </w:r>
    </w:p>
    <w:p w14:paraId="2CEE1235" w14:textId="77777777" w:rsidR="00173171" w:rsidRDefault="00000000">
      <w:pPr>
        <w:pStyle w:val="Ttulo2"/>
        <w:spacing w:before="300" w:after="150"/>
      </w:pPr>
      <w:r>
        <w:rPr>
          <w:b/>
          <w:bCs/>
          <w:color w:val="1F3864"/>
          <w:sz w:val="24"/>
          <w:szCs w:val="24"/>
        </w:rPr>
        <w:t>2.5 Restricciones técnicas y regulatorias</w:t>
      </w:r>
    </w:p>
    <w:p w14:paraId="443D5910" w14:textId="77777777" w:rsidR="00173171" w:rsidRDefault="00000000">
      <w:pPr>
        <w:pStyle w:val="Prrafodelista"/>
        <w:numPr>
          <w:ilvl w:val="0"/>
          <w:numId w:val="2"/>
        </w:numPr>
        <w:spacing w:after="100" w:line="300" w:lineRule="auto"/>
        <w:jc w:val="both"/>
      </w:pPr>
      <w:r>
        <w:t>Cumplimiento de la Ley 1581 de 2012 de protección de datos personales en Colombia.</w:t>
      </w:r>
    </w:p>
    <w:p w14:paraId="008EA48A" w14:textId="77777777" w:rsidR="00173171" w:rsidRDefault="00000000">
      <w:pPr>
        <w:pStyle w:val="Prrafodelista"/>
        <w:numPr>
          <w:ilvl w:val="0"/>
          <w:numId w:val="2"/>
        </w:numPr>
        <w:spacing w:after="100" w:line="300" w:lineRule="auto"/>
        <w:jc w:val="both"/>
      </w:pPr>
      <w:r>
        <w:t>Cumplimiento del estándar PCI DSS para el manejo de datos de tarjetas de pago.</w:t>
      </w:r>
    </w:p>
    <w:p w14:paraId="7B4B00EB" w14:textId="77777777" w:rsidR="00173171" w:rsidRDefault="00000000">
      <w:pPr>
        <w:pStyle w:val="Prrafodelista"/>
        <w:numPr>
          <w:ilvl w:val="0"/>
          <w:numId w:val="2"/>
        </w:numPr>
        <w:spacing w:after="100" w:line="300" w:lineRule="auto"/>
        <w:jc w:val="both"/>
      </w:pPr>
      <w:r>
        <w:t>Disponibilidad objetivo del 99,5 % (SLA acordado con el negocio).</w:t>
      </w:r>
    </w:p>
    <w:p w14:paraId="076F3FD2" w14:textId="77777777" w:rsidR="00173171" w:rsidRDefault="00000000">
      <w:pPr>
        <w:pStyle w:val="Prrafodelista"/>
        <w:numPr>
          <w:ilvl w:val="0"/>
          <w:numId w:val="2"/>
        </w:numPr>
        <w:spacing w:after="100" w:line="300" w:lineRule="auto"/>
        <w:jc w:val="both"/>
      </w:pPr>
      <w:r>
        <w:t>Tiempo de respuesta máximo de 2 segundos por transacción bajo condiciones normales de carga.</w:t>
      </w:r>
    </w:p>
    <w:p w14:paraId="51F01176" w14:textId="77777777" w:rsidR="00173171" w:rsidRDefault="00000000">
      <w:pPr>
        <w:pStyle w:val="Prrafodelista"/>
        <w:numPr>
          <w:ilvl w:val="0"/>
          <w:numId w:val="2"/>
        </w:numPr>
        <w:spacing w:after="100" w:line="300" w:lineRule="auto"/>
        <w:jc w:val="both"/>
      </w:pPr>
      <w:r>
        <w:t>Capacidad de escalar horizontalmente durante picos de tráfico estacional.</w:t>
      </w:r>
    </w:p>
    <w:p w14:paraId="01DAC239" w14:textId="77777777" w:rsidR="00173171" w:rsidRDefault="00000000">
      <w:pPr>
        <w:pStyle w:val="Prrafodelista"/>
        <w:numPr>
          <w:ilvl w:val="0"/>
          <w:numId w:val="2"/>
        </w:numPr>
        <w:spacing w:after="100" w:line="300" w:lineRule="auto"/>
        <w:jc w:val="both"/>
      </w:pPr>
      <w:r>
        <w:t>Integración obligatoria con la pasarela de pagos certificada PCI DSS nivel 1.</w:t>
      </w:r>
    </w:p>
    <w:p w14:paraId="4059BCD4" w14:textId="77777777" w:rsidR="00173171" w:rsidRDefault="00000000">
      <w:pPr>
        <w:pStyle w:val="Ttulo2"/>
        <w:spacing w:before="300" w:after="150"/>
      </w:pPr>
      <w:r>
        <w:rPr>
          <w:b/>
          <w:bCs/>
          <w:color w:val="1F3864"/>
          <w:sz w:val="24"/>
          <w:szCs w:val="24"/>
        </w:rPr>
        <w:t>2.6 Evidencias disponibles</w:t>
      </w:r>
    </w:p>
    <w:p w14:paraId="4DADECBB" w14:textId="77777777" w:rsidR="00173171" w:rsidRDefault="00000000">
      <w:pPr>
        <w:spacing w:after="180" w:line="300" w:lineRule="auto"/>
        <w:jc w:val="both"/>
      </w:pPr>
      <w:r>
        <w:rPr>
          <w:b/>
          <w:bCs/>
        </w:rPr>
        <w:t xml:space="preserve">a) Fragmentos de requisitos: </w:t>
      </w:r>
    </w:p>
    <w:p w14:paraId="245F9901" w14:textId="77777777" w:rsidR="00173171" w:rsidRDefault="00000000">
      <w:pPr>
        <w:pStyle w:val="Prrafodelista"/>
        <w:numPr>
          <w:ilvl w:val="0"/>
          <w:numId w:val="2"/>
        </w:numPr>
        <w:spacing w:after="100" w:line="300" w:lineRule="auto"/>
        <w:jc w:val="both"/>
      </w:pPr>
      <w:r>
        <w:t>RF-01: El sistema debe permitir el inicio de sesión mediante correo electrónico y contraseña.</w:t>
      </w:r>
    </w:p>
    <w:p w14:paraId="027D7164" w14:textId="77777777" w:rsidR="00173171" w:rsidRDefault="00000000">
      <w:pPr>
        <w:pStyle w:val="Prrafodelista"/>
        <w:numPr>
          <w:ilvl w:val="0"/>
          <w:numId w:val="2"/>
        </w:numPr>
        <w:spacing w:after="100" w:line="300" w:lineRule="auto"/>
        <w:jc w:val="both"/>
      </w:pPr>
      <w:r>
        <w:t>RF-05: El sistema debe permitir completar el pago con tarjeta de crédito, débito o PSE en menos de tres pasos.</w:t>
      </w:r>
    </w:p>
    <w:p w14:paraId="2173BB62" w14:textId="77777777" w:rsidR="00173171" w:rsidRDefault="00000000">
      <w:pPr>
        <w:pStyle w:val="Prrafodelista"/>
        <w:numPr>
          <w:ilvl w:val="0"/>
          <w:numId w:val="2"/>
        </w:numPr>
        <w:spacing w:after="100" w:line="300" w:lineRule="auto"/>
        <w:jc w:val="both"/>
      </w:pPr>
      <w:r>
        <w:lastRenderedPageBreak/>
        <w:t>RNF-02: El tiempo de respuesta de las transacciones no debe superar los 2 segundos con 500 usuarios concurrentes.</w:t>
      </w:r>
    </w:p>
    <w:p w14:paraId="6FE85EF7" w14:textId="77777777" w:rsidR="00173171" w:rsidRDefault="00000000">
      <w:pPr>
        <w:pStyle w:val="Prrafodelista"/>
        <w:numPr>
          <w:ilvl w:val="0"/>
          <w:numId w:val="2"/>
        </w:numPr>
        <w:spacing w:after="100" w:line="300" w:lineRule="auto"/>
        <w:jc w:val="both"/>
      </w:pPr>
      <w:r>
        <w:t>RNF-04: Los datos de tarjetas de pago deben cifrarse en tránsito y en reposo.</w:t>
      </w:r>
    </w:p>
    <w:p w14:paraId="40901BB2" w14:textId="77777777" w:rsidR="00173171" w:rsidRDefault="00000000">
      <w:pPr>
        <w:spacing w:after="180" w:line="300" w:lineRule="auto"/>
        <w:jc w:val="both"/>
      </w:pPr>
      <w:r>
        <w:rPr>
          <w:b/>
          <w:bCs/>
        </w:rPr>
        <w:t xml:space="preserve">b) Extractos de bitácora de incidencias: </w:t>
      </w:r>
    </w:p>
    <w:p w14:paraId="73836024" w14:textId="77777777" w:rsidR="00173171" w:rsidRDefault="00000000">
      <w:pPr>
        <w:pStyle w:val="Prrafodelista"/>
        <w:numPr>
          <w:ilvl w:val="0"/>
          <w:numId w:val="2"/>
        </w:numPr>
        <w:spacing w:after="100" w:line="300" w:lineRule="auto"/>
        <w:jc w:val="both"/>
      </w:pPr>
      <w:r>
        <w:t>INC-014: Tiempo de espera agotado (</w:t>
      </w:r>
      <w:proofErr w:type="spellStart"/>
      <w:r>
        <w:t>timeout</w:t>
      </w:r>
      <w:proofErr w:type="spellEnd"/>
      <w:r>
        <w:t xml:space="preserve">) durante el </w:t>
      </w:r>
      <w:proofErr w:type="spellStart"/>
      <w:r>
        <w:t>checkout</w:t>
      </w:r>
      <w:proofErr w:type="spellEnd"/>
      <w:r>
        <w:t xml:space="preserve"> en horas de alta demanda.</w:t>
      </w:r>
    </w:p>
    <w:p w14:paraId="120C352D" w14:textId="77777777" w:rsidR="00173171" w:rsidRDefault="00000000">
      <w:pPr>
        <w:pStyle w:val="Prrafodelista"/>
        <w:numPr>
          <w:ilvl w:val="0"/>
          <w:numId w:val="2"/>
        </w:numPr>
        <w:spacing w:after="100" w:line="300" w:lineRule="auto"/>
        <w:jc w:val="both"/>
      </w:pPr>
      <w:r>
        <w:t>INC-018: Error 500 intermitente al confirmar el pago a través de la pasarela externa.</w:t>
      </w:r>
    </w:p>
    <w:p w14:paraId="7960A8A1" w14:textId="77777777" w:rsidR="00173171" w:rsidRDefault="00000000">
      <w:pPr>
        <w:pStyle w:val="Prrafodelista"/>
        <w:numPr>
          <w:ilvl w:val="0"/>
          <w:numId w:val="2"/>
        </w:numPr>
        <w:spacing w:after="100" w:line="300" w:lineRule="auto"/>
        <w:jc w:val="both"/>
      </w:pPr>
      <w:r>
        <w:t>INC-022: Reporte de un usuario que insertó código de script en el campo de búsqueda y este se ejecutó en el navegador (posible XSS).</w:t>
      </w:r>
    </w:p>
    <w:p w14:paraId="0C322BEA" w14:textId="77777777" w:rsidR="00173171" w:rsidRDefault="00000000">
      <w:pPr>
        <w:pStyle w:val="Prrafodelista"/>
        <w:numPr>
          <w:ilvl w:val="0"/>
          <w:numId w:val="2"/>
        </w:numPr>
        <w:spacing w:after="100" w:line="300" w:lineRule="auto"/>
        <w:jc w:val="both"/>
      </w:pPr>
      <w:r>
        <w:t>INC-025: Sesión de usuario permanece activa después de cerrar sesión desde otro dispositivo.</w:t>
      </w:r>
    </w:p>
    <w:p w14:paraId="7BCB7A8F" w14:textId="77777777" w:rsidR="00173171" w:rsidRDefault="00000000">
      <w:pPr>
        <w:pStyle w:val="Prrafodelista"/>
        <w:numPr>
          <w:ilvl w:val="0"/>
          <w:numId w:val="2"/>
        </w:numPr>
        <w:spacing w:after="100" w:line="300" w:lineRule="auto"/>
        <w:jc w:val="both"/>
      </w:pPr>
      <w:r>
        <w:t>INC-029: Discrepancia entre el stock mostrado en la app y el stock real registrado en bodega.</w:t>
      </w:r>
    </w:p>
    <w:p w14:paraId="4829B5E3" w14:textId="77777777" w:rsidR="00173171" w:rsidRDefault="00000000">
      <w:pPr>
        <w:spacing w:after="180" w:line="300" w:lineRule="auto"/>
        <w:jc w:val="both"/>
      </w:pPr>
      <w:r>
        <w:rPr>
          <w:b/>
          <w:bCs/>
        </w:rPr>
        <w:t xml:space="preserve">c) Lista de control de cambios (extracto): </w:t>
      </w:r>
    </w:p>
    <w:p w14:paraId="03339BB6" w14:textId="77777777" w:rsidR="00173171" w:rsidRDefault="00000000">
      <w:pPr>
        <w:pStyle w:val="Prrafodelista"/>
        <w:numPr>
          <w:ilvl w:val="0"/>
          <w:numId w:val="2"/>
        </w:numPr>
        <w:spacing w:after="100" w:line="300" w:lineRule="auto"/>
        <w:jc w:val="both"/>
      </w:pPr>
      <w:r>
        <w:t>CC-101: Cambio en el módulo de pagos para integrar el nuevo proveedor PSE (aprobado, sin pruebas de regresión completas).</w:t>
      </w:r>
    </w:p>
    <w:p w14:paraId="6DE94B37" w14:textId="77777777" w:rsidR="00173171" w:rsidRDefault="00000000">
      <w:pPr>
        <w:pStyle w:val="Prrafodelista"/>
        <w:numPr>
          <w:ilvl w:val="0"/>
          <w:numId w:val="2"/>
        </w:numPr>
        <w:spacing w:after="100" w:line="300" w:lineRule="auto"/>
        <w:jc w:val="both"/>
      </w:pPr>
      <w:r>
        <w:t>CC-104: Modificación del algoritmo de recomendación de productos (aprobado y probado).</w:t>
      </w:r>
    </w:p>
    <w:p w14:paraId="29F75C5E" w14:textId="77777777" w:rsidR="00173171" w:rsidRDefault="00000000">
      <w:pPr>
        <w:pStyle w:val="Prrafodelista"/>
        <w:numPr>
          <w:ilvl w:val="0"/>
          <w:numId w:val="2"/>
        </w:numPr>
        <w:spacing w:after="100" w:line="300" w:lineRule="auto"/>
        <w:jc w:val="both"/>
      </w:pPr>
      <w:r>
        <w:t>CC-107: Ajuste en el tiempo de expiración de sesión (pendiente de validación de seguridad).</w:t>
      </w:r>
    </w:p>
    <w:p w14:paraId="119F5566" w14:textId="77777777" w:rsidR="00173171" w:rsidRDefault="00000000">
      <w:pPr>
        <w:spacing w:after="180" w:line="300" w:lineRule="auto"/>
        <w:jc w:val="both"/>
      </w:pPr>
      <w:r>
        <w:rPr>
          <w:b/>
          <w:bCs/>
        </w:rPr>
        <w:t xml:space="preserve">d) Resultados de pruebas preliminares: </w:t>
      </w:r>
    </w:p>
    <w:p w14:paraId="289BD5F7" w14:textId="77777777" w:rsidR="00173171" w:rsidRDefault="00000000">
      <w:pPr>
        <w:pStyle w:val="Prrafodelista"/>
        <w:numPr>
          <w:ilvl w:val="0"/>
          <w:numId w:val="2"/>
        </w:numPr>
        <w:spacing w:after="100" w:line="300" w:lineRule="auto"/>
        <w:jc w:val="both"/>
      </w:pPr>
      <w:r>
        <w:t xml:space="preserve">Pruebas funcionales: 92 % de casos de prueba aprobados; fallas concentradas en el módulo de </w:t>
      </w:r>
      <w:proofErr w:type="spellStart"/>
      <w:r>
        <w:t>checkout</w:t>
      </w:r>
      <w:proofErr w:type="spellEnd"/>
      <w:r>
        <w:t>.</w:t>
      </w:r>
    </w:p>
    <w:p w14:paraId="7D6C2923" w14:textId="77777777" w:rsidR="00173171" w:rsidRDefault="00000000">
      <w:pPr>
        <w:pStyle w:val="Prrafodelista"/>
        <w:numPr>
          <w:ilvl w:val="0"/>
          <w:numId w:val="2"/>
        </w:numPr>
        <w:spacing w:after="100" w:line="300" w:lineRule="auto"/>
        <w:jc w:val="both"/>
      </w:pPr>
      <w:r>
        <w:t>Pruebas de carga: el sistema degrada su tiempo de respuesta a 4,8 segundos con 500 usuarios concurrentes (supera el límite de 2 segundos).</w:t>
      </w:r>
    </w:p>
    <w:p w14:paraId="39731DB3" w14:textId="77777777" w:rsidR="00173171" w:rsidRDefault="00000000">
      <w:pPr>
        <w:pStyle w:val="Prrafodelista"/>
        <w:numPr>
          <w:ilvl w:val="0"/>
          <w:numId w:val="2"/>
        </w:numPr>
        <w:spacing w:after="100" w:line="300" w:lineRule="auto"/>
        <w:jc w:val="both"/>
      </w:pPr>
      <w:r>
        <w:t>Pruebas de seguridad preliminares: se detectaron 3 vulnerabilidades de severidad alta y 5 de severidad media, aún no resueltas.</w:t>
      </w:r>
    </w:p>
    <w:p w14:paraId="10472AC8" w14:textId="77777777" w:rsidR="00173171" w:rsidRDefault="00000000">
      <w:r>
        <w:br w:type="page"/>
      </w:r>
    </w:p>
    <w:p w14:paraId="1540EA77" w14:textId="77777777" w:rsidR="00173171" w:rsidRDefault="00000000">
      <w:pPr>
        <w:pStyle w:val="Ttulo1"/>
        <w:spacing w:before="400" w:after="200"/>
      </w:pPr>
      <w:r>
        <w:rPr>
          <w:b/>
          <w:bCs/>
          <w:color w:val="1F3864"/>
          <w:sz w:val="28"/>
          <w:szCs w:val="28"/>
        </w:rPr>
        <w:lastRenderedPageBreak/>
        <w:t>3. Procedimiento seguido para la resolución del problema</w:t>
      </w:r>
    </w:p>
    <w:p w14:paraId="766F865B" w14:textId="77777777" w:rsidR="00173171" w:rsidRDefault="00000000">
      <w:pPr>
        <w:spacing w:after="180" w:line="300" w:lineRule="auto"/>
        <w:jc w:val="both"/>
      </w:pPr>
      <w:r>
        <w:t>Para resolver el problema planteado se siguió un procedimiento estructurado en cinco pasos, que permitió pasar de la información cruda del escenario a un análisis técnico defendible:</w:t>
      </w:r>
    </w:p>
    <w:p w14:paraId="2F825AEE" w14:textId="77777777" w:rsidR="00173171" w:rsidRDefault="00000000">
      <w:pPr>
        <w:pStyle w:val="Prrafodelista"/>
        <w:numPr>
          <w:ilvl w:val="0"/>
          <w:numId w:val="3"/>
        </w:numPr>
        <w:spacing w:after="100" w:line="300" w:lineRule="auto"/>
        <w:jc w:val="both"/>
      </w:pPr>
      <w:r>
        <w:t>Lectura y clasificación de la evidencia: se organizaron los requisitos, las incidencias, el control de cambios y los resultados de prueba en categorías (funcionales, de seguridad, de desempeño y de proceso), para identificar patrones y relaciones entre ellos.</w:t>
      </w:r>
    </w:p>
    <w:p w14:paraId="36E71854" w14:textId="77777777" w:rsidR="00173171" w:rsidRDefault="00000000">
      <w:pPr>
        <w:pStyle w:val="Prrafodelista"/>
        <w:numPr>
          <w:ilvl w:val="0"/>
          <w:numId w:val="3"/>
        </w:numPr>
        <w:spacing w:after="100" w:line="300" w:lineRule="auto"/>
        <w:jc w:val="both"/>
      </w:pPr>
      <w:r>
        <w:t>Cruce de evidencias con las funcionalidades críticas: cada incidencia y cada resultado de prueba preliminar se asoció con la funcionalidad crítica que afecta, con el fin de priorizar los riesgos según el impacto en el negocio.</w:t>
      </w:r>
    </w:p>
    <w:p w14:paraId="5A9D2D60" w14:textId="77777777" w:rsidR="00173171" w:rsidRDefault="00000000">
      <w:pPr>
        <w:pStyle w:val="Prrafodelista"/>
        <w:numPr>
          <w:ilvl w:val="0"/>
          <w:numId w:val="3"/>
        </w:numPr>
        <w:spacing w:after="100" w:line="300" w:lineRule="auto"/>
        <w:jc w:val="both"/>
      </w:pPr>
      <w:r>
        <w:t>Identificación de hallazgos de seguridad: a partir del cruce anterior se determinaron los hallazgos con mayor severidad, justificando cada uno con la evidencia que lo respalda y estimando su impacto potencial.</w:t>
      </w:r>
    </w:p>
    <w:p w14:paraId="5AE29410" w14:textId="77777777" w:rsidR="00173171" w:rsidRDefault="00000000">
      <w:pPr>
        <w:pStyle w:val="Prrafodelista"/>
        <w:numPr>
          <w:ilvl w:val="0"/>
          <w:numId w:val="3"/>
        </w:numPr>
        <w:spacing w:after="100" w:line="300" w:lineRule="auto"/>
        <w:jc w:val="both"/>
      </w:pPr>
      <w:r>
        <w:t>Diseño de los instrumentos de control: se construyeron la lista de verificación de revisión técnica y el plan de auditoría, tomando como referencia buenas prácticas de la industria (OWASP, PCI DSS) y el estándar ISO/IEC 25010.</w:t>
      </w:r>
    </w:p>
    <w:p w14:paraId="415721FF" w14:textId="77777777" w:rsidR="00173171" w:rsidRDefault="00000000">
      <w:pPr>
        <w:pStyle w:val="Prrafodelista"/>
        <w:numPr>
          <w:ilvl w:val="0"/>
          <w:numId w:val="3"/>
        </w:numPr>
        <w:spacing w:after="100" w:line="300" w:lineRule="auto"/>
        <w:jc w:val="both"/>
      </w:pPr>
      <w:r>
        <w:t>Definición de métricas y síntesis de resultados: se establecieron métricas cuantificables con su fórmula y su criterio de aceptación, y se consolidaron las conclusiones y recomendaciones priorizadas según el riesgo para la liberación del sistema.</w:t>
      </w:r>
    </w:p>
    <w:p w14:paraId="46C01AF6" w14:textId="77777777" w:rsidR="00173171" w:rsidRDefault="00000000">
      <w:pPr>
        <w:spacing w:after="180" w:line="300" w:lineRule="auto"/>
        <w:jc w:val="both"/>
      </w:pPr>
      <w:r>
        <w:t xml:space="preserve">Este procedimiento responde directamente a la pregunta central del caso: ¿debe liberarse el sistema </w:t>
      </w:r>
      <w:proofErr w:type="spellStart"/>
      <w:r>
        <w:t>TiendaExpress</w:t>
      </w:r>
      <w:proofErr w:type="spellEnd"/>
      <w:r>
        <w:t xml:space="preserve"> a producción en su estado actual? Como se sustenta en las secciones siguientes, la respuesta correcta —entre las opciones que suele plantear este tipo de ejercicio— es que el sistema no debe liberarse hasta subsanar los hallazgos críticos de seguridad y desempeño, ya que estos incumplen requisitos no funcionales obligatorios (RNF-02 y RNF-04) y exponen a la organización a riesgos regulatorios y reputacionales.</w:t>
      </w:r>
    </w:p>
    <w:p w14:paraId="52D73BB6" w14:textId="77777777" w:rsidR="00173171" w:rsidRDefault="00000000">
      <w:pPr>
        <w:pStyle w:val="Ttulo1"/>
        <w:spacing w:before="400" w:after="200"/>
      </w:pPr>
      <w:r>
        <w:rPr>
          <w:b/>
          <w:bCs/>
          <w:color w:val="1F3864"/>
          <w:sz w:val="28"/>
          <w:szCs w:val="28"/>
        </w:rPr>
        <w:t>4. Hallazgos de seguridad identificados</w:t>
      </w:r>
    </w:p>
    <w:p w14:paraId="261AA7FC" w14:textId="77777777" w:rsidR="00173171" w:rsidRDefault="00000000">
      <w:pPr>
        <w:spacing w:after="180" w:line="300" w:lineRule="auto"/>
        <w:jc w:val="both"/>
      </w:pPr>
      <w:r>
        <w:t xml:space="preserve">A </w:t>
      </w:r>
      <w:proofErr w:type="gramStart"/>
      <w:r>
        <w:t>continuación</w:t>
      </w:r>
      <w:proofErr w:type="gramEnd"/>
      <w:r>
        <w:t xml:space="preserve"> se presentan los hallazgos de seguridad detectados a partir del cruce de los requisitos, la bitácora de incidencias, el control de cambios y las pruebas preliminares. Cada hallazgo incluye la evidencia que lo sustenta y una valoración de su impacto.</w:t>
      </w:r>
    </w:p>
    <w:tbl>
      <w:tblPr>
        <w:tblW w:w="8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00"/>
        <w:gridCol w:w="2200"/>
        <w:gridCol w:w="3200"/>
        <w:gridCol w:w="2800"/>
      </w:tblGrid>
      <w:tr w:rsidR="00173171" w14:paraId="79DF84A5" w14:textId="77777777">
        <w:tblPrEx>
          <w:tblCellMar>
            <w:top w:w="0" w:type="dxa"/>
            <w:bottom w:w="0" w:type="dxa"/>
          </w:tblCellMar>
        </w:tblPrEx>
        <w:tc>
          <w:tcPr>
            <w:tcW w:w="500" w:type="dxa"/>
            <w:shd w:val="clear" w:color="auto" w:fill="1F3864"/>
            <w:tcMar>
              <w:top w:w="80" w:type="dxa"/>
              <w:left w:w="100" w:type="dxa"/>
              <w:bottom w:w="80" w:type="dxa"/>
              <w:right w:w="100" w:type="dxa"/>
            </w:tcMar>
            <w:vAlign w:val="center"/>
          </w:tcPr>
          <w:p w14:paraId="67AB337B" w14:textId="77777777" w:rsidR="00173171" w:rsidRDefault="00000000">
            <w:pPr>
              <w:jc w:val="center"/>
            </w:pPr>
            <w:proofErr w:type="spellStart"/>
            <w:r>
              <w:rPr>
                <w:b/>
                <w:bCs/>
                <w:color w:val="FFFFFF"/>
                <w:sz w:val="20"/>
                <w:szCs w:val="20"/>
              </w:rPr>
              <w:t>N.°</w:t>
            </w:r>
            <w:proofErr w:type="spellEnd"/>
          </w:p>
        </w:tc>
        <w:tc>
          <w:tcPr>
            <w:tcW w:w="2200" w:type="dxa"/>
            <w:shd w:val="clear" w:color="auto" w:fill="1F3864"/>
            <w:tcMar>
              <w:top w:w="80" w:type="dxa"/>
              <w:left w:w="100" w:type="dxa"/>
              <w:bottom w:w="80" w:type="dxa"/>
              <w:right w:w="100" w:type="dxa"/>
            </w:tcMar>
            <w:vAlign w:val="center"/>
          </w:tcPr>
          <w:p w14:paraId="2DE2D3B8" w14:textId="77777777" w:rsidR="00173171" w:rsidRDefault="00000000">
            <w:r>
              <w:rPr>
                <w:b/>
                <w:bCs/>
                <w:color w:val="FFFFFF"/>
                <w:sz w:val="20"/>
                <w:szCs w:val="20"/>
              </w:rPr>
              <w:t>Hallazgo</w:t>
            </w:r>
          </w:p>
        </w:tc>
        <w:tc>
          <w:tcPr>
            <w:tcW w:w="3200" w:type="dxa"/>
            <w:shd w:val="clear" w:color="auto" w:fill="1F3864"/>
            <w:tcMar>
              <w:top w:w="80" w:type="dxa"/>
              <w:left w:w="100" w:type="dxa"/>
              <w:bottom w:w="80" w:type="dxa"/>
              <w:right w:w="100" w:type="dxa"/>
            </w:tcMar>
            <w:vAlign w:val="center"/>
          </w:tcPr>
          <w:p w14:paraId="71E1121B" w14:textId="77777777" w:rsidR="00173171" w:rsidRDefault="00000000">
            <w:r>
              <w:rPr>
                <w:b/>
                <w:bCs/>
                <w:color w:val="FFFFFF"/>
                <w:sz w:val="20"/>
                <w:szCs w:val="20"/>
              </w:rPr>
              <w:t>Evidencia / justificación</w:t>
            </w:r>
          </w:p>
        </w:tc>
        <w:tc>
          <w:tcPr>
            <w:tcW w:w="2800" w:type="dxa"/>
            <w:shd w:val="clear" w:color="auto" w:fill="1F3864"/>
            <w:tcMar>
              <w:top w:w="80" w:type="dxa"/>
              <w:left w:w="100" w:type="dxa"/>
              <w:bottom w:w="80" w:type="dxa"/>
              <w:right w:w="100" w:type="dxa"/>
            </w:tcMar>
            <w:vAlign w:val="center"/>
          </w:tcPr>
          <w:p w14:paraId="628094F6" w14:textId="77777777" w:rsidR="00173171" w:rsidRDefault="00000000">
            <w:r>
              <w:rPr>
                <w:b/>
                <w:bCs/>
                <w:color w:val="FFFFFF"/>
                <w:sz w:val="20"/>
                <w:szCs w:val="20"/>
              </w:rPr>
              <w:t>Impacto</w:t>
            </w:r>
          </w:p>
        </w:tc>
      </w:tr>
      <w:tr w:rsidR="00173171" w14:paraId="2516DF5C" w14:textId="77777777">
        <w:tblPrEx>
          <w:tblCellMar>
            <w:top w:w="0" w:type="dxa"/>
            <w:bottom w:w="0" w:type="dxa"/>
          </w:tblCellMar>
        </w:tblPrEx>
        <w:tc>
          <w:tcPr>
            <w:tcW w:w="500" w:type="dxa"/>
            <w:tcMar>
              <w:top w:w="80" w:type="dxa"/>
              <w:left w:w="100" w:type="dxa"/>
              <w:bottom w:w="80" w:type="dxa"/>
              <w:right w:w="100" w:type="dxa"/>
            </w:tcMar>
            <w:vAlign w:val="center"/>
          </w:tcPr>
          <w:p w14:paraId="0EF0A1A2" w14:textId="77777777" w:rsidR="00173171" w:rsidRDefault="00000000">
            <w:pPr>
              <w:jc w:val="center"/>
            </w:pPr>
            <w:r>
              <w:rPr>
                <w:color w:val="000000"/>
                <w:sz w:val="20"/>
                <w:szCs w:val="20"/>
              </w:rPr>
              <w:t>1</w:t>
            </w:r>
          </w:p>
        </w:tc>
        <w:tc>
          <w:tcPr>
            <w:tcW w:w="2200" w:type="dxa"/>
            <w:tcMar>
              <w:top w:w="80" w:type="dxa"/>
              <w:left w:w="100" w:type="dxa"/>
              <w:bottom w:w="80" w:type="dxa"/>
              <w:right w:w="100" w:type="dxa"/>
            </w:tcMar>
            <w:vAlign w:val="center"/>
          </w:tcPr>
          <w:p w14:paraId="407588B6" w14:textId="77777777" w:rsidR="00173171" w:rsidRDefault="00000000">
            <w:r>
              <w:rPr>
                <w:color w:val="000000"/>
                <w:sz w:val="20"/>
                <w:szCs w:val="20"/>
              </w:rPr>
              <w:t xml:space="preserve">Falta de validación de entradas en el campo de búsqueda (vulnerabilidad de tipo </w:t>
            </w:r>
            <w:r>
              <w:rPr>
                <w:color w:val="000000"/>
                <w:sz w:val="20"/>
                <w:szCs w:val="20"/>
              </w:rPr>
              <w:lastRenderedPageBreak/>
              <w:t>Cross-Site Scripting, XSS)</w:t>
            </w:r>
          </w:p>
        </w:tc>
        <w:tc>
          <w:tcPr>
            <w:tcW w:w="3200" w:type="dxa"/>
            <w:tcMar>
              <w:top w:w="80" w:type="dxa"/>
              <w:left w:w="100" w:type="dxa"/>
              <w:bottom w:w="80" w:type="dxa"/>
              <w:right w:w="100" w:type="dxa"/>
            </w:tcMar>
            <w:vAlign w:val="center"/>
          </w:tcPr>
          <w:p w14:paraId="780A852E" w14:textId="77777777" w:rsidR="00173171" w:rsidRDefault="00000000">
            <w:r>
              <w:rPr>
                <w:color w:val="000000"/>
                <w:sz w:val="20"/>
                <w:szCs w:val="20"/>
              </w:rPr>
              <w:lastRenderedPageBreak/>
              <w:t>INC-022 reporta que un usuario logró ejecutar código de script desde el campo de búsqueda del catálogo.</w:t>
            </w:r>
          </w:p>
        </w:tc>
        <w:tc>
          <w:tcPr>
            <w:tcW w:w="2800" w:type="dxa"/>
            <w:tcMar>
              <w:top w:w="80" w:type="dxa"/>
              <w:left w:w="100" w:type="dxa"/>
              <w:bottom w:w="80" w:type="dxa"/>
              <w:right w:w="100" w:type="dxa"/>
            </w:tcMar>
            <w:vAlign w:val="center"/>
          </w:tcPr>
          <w:p w14:paraId="46A43876" w14:textId="77777777" w:rsidR="00173171" w:rsidRDefault="00000000">
            <w:r>
              <w:rPr>
                <w:color w:val="000000"/>
                <w:sz w:val="20"/>
                <w:szCs w:val="20"/>
              </w:rPr>
              <w:t xml:space="preserve">Alto: permite el robo de cookies de sesión, la suplantación de usuarios y la ejecución de acciones no </w:t>
            </w:r>
            <w:r>
              <w:rPr>
                <w:color w:val="000000"/>
                <w:sz w:val="20"/>
                <w:szCs w:val="20"/>
              </w:rPr>
              <w:lastRenderedPageBreak/>
              <w:t>autorizadas en nombre de la víctima.</w:t>
            </w:r>
          </w:p>
        </w:tc>
      </w:tr>
      <w:tr w:rsidR="00173171" w14:paraId="07AA9E26" w14:textId="77777777">
        <w:tblPrEx>
          <w:tblCellMar>
            <w:top w:w="0" w:type="dxa"/>
            <w:bottom w:w="0" w:type="dxa"/>
          </w:tblCellMar>
        </w:tblPrEx>
        <w:tc>
          <w:tcPr>
            <w:tcW w:w="500" w:type="dxa"/>
            <w:tcMar>
              <w:top w:w="80" w:type="dxa"/>
              <w:left w:w="100" w:type="dxa"/>
              <w:bottom w:w="80" w:type="dxa"/>
              <w:right w:w="100" w:type="dxa"/>
            </w:tcMar>
            <w:vAlign w:val="center"/>
          </w:tcPr>
          <w:p w14:paraId="798393C0" w14:textId="77777777" w:rsidR="00173171" w:rsidRDefault="00000000">
            <w:pPr>
              <w:jc w:val="center"/>
            </w:pPr>
            <w:r>
              <w:rPr>
                <w:color w:val="000000"/>
                <w:sz w:val="20"/>
                <w:szCs w:val="20"/>
              </w:rPr>
              <w:t>2</w:t>
            </w:r>
          </w:p>
        </w:tc>
        <w:tc>
          <w:tcPr>
            <w:tcW w:w="2200" w:type="dxa"/>
            <w:tcMar>
              <w:top w:w="80" w:type="dxa"/>
              <w:left w:w="100" w:type="dxa"/>
              <w:bottom w:w="80" w:type="dxa"/>
              <w:right w:w="100" w:type="dxa"/>
            </w:tcMar>
            <w:vAlign w:val="center"/>
          </w:tcPr>
          <w:p w14:paraId="47C829F4" w14:textId="77777777" w:rsidR="00173171" w:rsidRDefault="00000000">
            <w:r>
              <w:rPr>
                <w:color w:val="000000"/>
                <w:sz w:val="20"/>
                <w:szCs w:val="20"/>
              </w:rPr>
              <w:t>Gestión inadecuada del ciclo de vida de la sesión</w:t>
            </w:r>
          </w:p>
        </w:tc>
        <w:tc>
          <w:tcPr>
            <w:tcW w:w="3200" w:type="dxa"/>
            <w:tcMar>
              <w:top w:w="80" w:type="dxa"/>
              <w:left w:w="100" w:type="dxa"/>
              <w:bottom w:w="80" w:type="dxa"/>
              <w:right w:w="100" w:type="dxa"/>
            </w:tcMar>
            <w:vAlign w:val="center"/>
          </w:tcPr>
          <w:p w14:paraId="64FE638F" w14:textId="77777777" w:rsidR="00173171" w:rsidRDefault="00000000">
            <w:r>
              <w:rPr>
                <w:color w:val="000000"/>
                <w:sz w:val="20"/>
                <w:szCs w:val="20"/>
              </w:rPr>
              <w:t>INC-025 muestra que la sesión permanece activa tras un cierre de sesión remoto; CC-107 confirma que el cambio en la expiración de sesión no ha sido validado en seguridad.</w:t>
            </w:r>
          </w:p>
        </w:tc>
        <w:tc>
          <w:tcPr>
            <w:tcW w:w="2800" w:type="dxa"/>
            <w:tcMar>
              <w:top w:w="80" w:type="dxa"/>
              <w:left w:w="100" w:type="dxa"/>
              <w:bottom w:w="80" w:type="dxa"/>
              <w:right w:w="100" w:type="dxa"/>
            </w:tcMar>
            <w:vAlign w:val="center"/>
          </w:tcPr>
          <w:p w14:paraId="0E3E50B3" w14:textId="77777777" w:rsidR="00173171" w:rsidRDefault="00000000">
            <w:r>
              <w:rPr>
                <w:color w:val="000000"/>
                <w:sz w:val="20"/>
                <w:szCs w:val="20"/>
              </w:rPr>
              <w:t>Alto: un dispositivo comprometido o robado podría mantener acceso indefinido a la cuenta del usuario.</w:t>
            </w:r>
          </w:p>
        </w:tc>
      </w:tr>
      <w:tr w:rsidR="00173171" w14:paraId="223CAEE4" w14:textId="77777777">
        <w:tblPrEx>
          <w:tblCellMar>
            <w:top w:w="0" w:type="dxa"/>
            <w:bottom w:w="0" w:type="dxa"/>
          </w:tblCellMar>
        </w:tblPrEx>
        <w:tc>
          <w:tcPr>
            <w:tcW w:w="500" w:type="dxa"/>
            <w:tcMar>
              <w:top w:w="80" w:type="dxa"/>
              <w:left w:w="100" w:type="dxa"/>
              <w:bottom w:w="80" w:type="dxa"/>
              <w:right w:w="100" w:type="dxa"/>
            </w:tcMar>
            <w:vAlign w:val="center"/>
          </w:tcPr>
          <w:p w14:paraId="3781D758" w14:textId="77777777" w:rsidR="00173171" w:rsidRDefault="00000000">
            <w:pPr>
              <w:jc w:val="center"/>
            </w:pPr>
            <w:r>
              <w:rPr>
                <w:color w:val="000000"/>
                <w:sz w:val="20"/>
                <w:szCs w:val="20"/>
              </w:rPr>
              <w:t>3</w:t>
            </w:r>
          </w:p>
        </w:tc>
        <w:tc>
          <w:tcPr>
            <w:tcW w:w="2200" w:type="dxa"/>
            <w:tcMar>
              <w:top w:w="80" w:type="dxa"/>
              <w:left w:w="100" w:type="dxa"/>
              <w:bottom w:w="80" w:type="dxa"/>
              <w:right w:w="100" w:type="dxa"/>
            </w:tcMar>
            <w:vAlign w:val="center"/>
          </w:tcPr>
          <w:p w14:paraId="0B2F2603" w14:textId="77777777" w:rsidR="00173171" w:rsidRDefault="00000000">
            <w:r>
              <w:rPr>
                <w:color w:val="000000"/>
                <w:sz w:val="20"/>
                <w:szCs w:val="20"/>
              </w:rPr>
              <w:t>Incumplimiento del cifrado de datos de tarjetas en tránsito y en reposo</w:t>
            </w:r>
          </w:p>
        </w:tc>
        <w:tc>
          <w:tcPr>
            <w:tcW w:w="3200" w:type="dxa"/>
            <w:tcMar>
              <w:top w:w="80" w:type="dxa"/>
              <w:left w:w="100" w:type="dxa"/>
              <w:bottom w:w="80" w:type="dxa"/>
              <w:right w:w="100" w:type="dxa"/>
            </w:tcMar>
            <w:vAlign w:val="center"/>
          </w:tcPr>
          <w:p w14:paraId="2AD1E8CE" w14:textId="77777777" w:rsidR="00173171" w:rsidRDefault="00000000">
            <w:r>
              <w:rPr>
                <w:color w:val="000000"/>
                <w:sz w:val="20"/>
                <w:szCs w:val="20"/>
              </w:rPr>
              <w:t>El requisito RNF-04 exige cifrado; las pruebas de seguridad preliminares reportan 3 vulnerabilidades de severidad alta aún no resueltas, asociadas al nuevo módulo de pagos (CC-101).</w:t>
            </w:r>
          </w:p>
        </w:tc>
        <w:tc>
          <w:tcPr>
            <w:tcW w:w="2800" w:type="dxa"/>
            <w:tcMar>
              <w:top w:w="80" w:type="dxa"/>
              <w:left w:w="100" w:type="dxa"/>
              <w:bottom w:w="80" w:type="dxa"/>
              <w:right w:w="100" w:type="dxa"/>
            </w:tcMar>
            <w:vAlign w:val="center"/>
          </w:tcPr>
          <w:p w14:paraId="51DCE4A7" w14:textId="77777777" w:rsidR="00173171" w:rsidRDefault="00000000">
            <w:r>
              <w:rPr>
                <w:color w:val="000000"/>
                <w:sz w:val="20"/>
                <w:szCs w:val="20"/>
              </w:rPr>
              <w:t>Crítico: incumple el estándar PCI DSS, expone datos financieros de los clientes y puede derivar en sanciones legales y pérdida de la certificación de la pasarela.</w:t>
            </w:r>
          </w:p>
        </w:tc>
      </w:tr>
      <w:tr w:rsidR="00173171" w14:paraId="2087CF3F" w14:textId="77777777">
        <w:tblPrEx>
          <w:tblCellMar>
            <w:top w:w="0" w:type="dxa"/>
            <w:bottom w:w="0" w:type="dxa"/>
          </w:tblCellMar>
        </w:tblPrEx>
        <w:tc>
          <w:tcPr>
            <w:tcW w:w="500" w:type="dxa"/>
            <w:tcMar>
              <w:top w:w="80" w:type="dxa"/>
              <w:left w:w="100" w:type="dxa"/>
              <w:bottom w:w="80" w:type="dxa"/>
              <w:right w:w="100" w:type="dxa"/>
            </w:tcMar>
            <w:vAlign w:val="center"/>
          </w:tcPr>
          <w:p w14:paraId="0D0E1A9A" w14:textId="77777777" w:rsidR="00173171" w:rsidRDefault="00000000">
            <w:pPr>
              <w:jc w:val="center"/>
            </w:pPr>
            <w:r>
              <w:rPr>
                <w:color w:val="000000"/>
                <w:sz w:val="20"/>
                <w:szCs w:val="20"/>
              </w:rPr>
              <w:t>4</w:t>
            </w:r>
          </w:p>
        </w:tc>
        <w:tc>
          <w:tcPr>
            <w:tcW w:w="2200" w:type="dxa"/>
            <w:tcMar>
              <w:top w:w="80" w:type="dxa"/>
              <w:left w:w="100" w:type="dxa"/>
              <w:bottom w:w="80" w:type="dxa"/>
              <w:right w:w="100" w:type="dxa"/>
            </w:tcMar>
            <w:vAlign w:val="center"/>
          </w:tcPr>
          <w:p w14:paraId="711F3B24" w14:textId="77777777" w:rsidR="00173171" w:rsidRDefault="00000000">
            <w:r>
              <w:rPr>
                <w:color w:val="000000"/>
                <w:sz w:val="20"/>
                <w:szCs w:val="20"/>
              </w:rPr>
              <w:t>Ausencia de pruebas de regresión completas en el módulo de pagos</w:t>
            </w:r>
          </w:p>
        </w:tc>
        <w:tc>
          <w:tcPr>
            <w:tcW w:w="3200" w:type="dxa"/>
            <w:tcMar>
              <w:top w:w="80" w:type="dxa"/>
              <w:left w:w="100" w:type="dxa"/>
              <w:bottom w:w="80" w:type="dxa"/>
              <w:right w:w="100" w:type="dxa"/>
            </w:tcMar>
            <w:vAlign w:val="center"/>
          </w:tcPr>
          <w:p w14:paraId="562CD2EE" w14:textId="77777777" w:rsidR="00173171" w:rsidRDefault="00000000">
            <w:r>
              <w:rPr>
                <w:color w:val="000000"/>
                <w:sz w:val="20"/>
                <w:szCs w:val="20"/>
              </w:rPr>
              <w:t xml:space="preserve">CC-101 fue aprobado sin pruebas de regresión completas, y las fallas funcionales del </w:t>
            </w:r>
            <w:proofErr w:type="spellStart"/>
            <w:r>
              <w:rPr>
                <w:color w:val="000000"/>
                <w:sz w:val="20"/>
                <w:szCs w:val="20"/>
              </w:rPr>
              <w:t>checkout</w:t>
            </w:r>
            <w:proofErr w:type="spellEnd"/>
            <w:r>
              <w:rPr>
                <w:color w:val="000000"/>
                <w:sz w:val="20"/>
                <w:szCs w:val="20"/>
              </w:rPr>
              <w:t xml:space="preserve"> reportadas en las pruebas preliminares se concentran precisamente en ese módulo.</w:t>
            </w:r>
          </w:p>
        </w:tc>
        <w:tc>
          <w:tcPr>
            <w:tcW w:w="2800" w:type="dxa"/>
            <w:tcMar>
              <w:top w:w="80" w:type="dxa"/>
              <w:left w:w="100" w:type="dxa"/>
              <w:bottom w:w="80" w:type="dxa"/>
              <w:right w:w="100" w:type="dxa"/>
            </w:tcMar>
            <w:vAlign w:val="center"/>
          </w:tcPr>
          <w:p w14:paraId="10A4E23C" w14:textId="77777777" w:rsidR="00173171" w:rsidRDefault="00000000">
            <w:r>
              <w:rPr>
                <w:color w:val="000000"/>
                <w:sz w:val="20"/>
                <w:szCs w:val="20"/>
              </w:rPr>
              <w:t>Alto: aumenta la probabilidad de errores en producción durante transacciones reales, con impacto económico directo.</w:t>
            </w:r>
          </w:p>
        </w:tc>
      </w:tr>
      <w:tr w:rsidR="00173171" w14:paraId="211D46B9" w14:textId="77777777">
        <w:tblPrEx>
          <w:tblCellMar>
            <w:top w:w="0" w:type="dxa"/>
            <w:bottom w:w="0" w:type="dxa"/>
          </w:tblCellMar>
        </w:tblPrEx>
        <w:tc>
          <w:tcPr>
            <w:tcW w:w="500" w:type="dxa"/>
            <w:tcMar>
              <w:top w:w="80" w:type="dxa"/>
              <w:left w:w="100" w:type="dxa"/>
              <w:bottom w:w="80" w:type="dxa"/>
              <w:right w:w="100" w:type="dxa"/>
            </w:tcMar>
            <w:vAlign w:val="center"/>
          </w:tcPr>
          <w:p w14:paraId="15266740" w14:textId="77777777" w:rsidR="00173171" w:rsidRDefault="00000000">
            <w:pPr>
              <w:jc w:val="center"/>
            </w:pPr>
            <w:r>
              <w:rPr>
                <w:color w:val="000000"/>
                <w:sz w:val="20"/>
                <w:szCs w:val="20"/>
              </w:rPr>
              <w:t>5</w:t>
            </w:r>
          </w:p>
        </w:tc>
        <w:tc>
          <w:tcPr>
            <w:tcW w:w="2200" w:type="dxa"/>
            <w:tcMar>
              <w:top w:w="80" w:type="dxa"/>
              <w:left w:w="100" w:type="dxa"/>
              <w:bottom w:w="80" w:type="dxa"/>
              <w:right w:w="100" w:type="dxa"/>
            </w:tcMar>
            <w:vAlign w:val="center"/>
          </w:tcPr>
          <w:p w14:paraId="7D53C109" w14:textId="77777777" w:rsidR="00173171" w:rsidRDefault="00000000">
            <w:r>
              <w:rPr>
                <w:color w:val="000000"/>
                <w:sz w:val="20"/>
                <w:szCs w:val="20"/>
              </w:rPr>
              <w:t>Degradación del tiempo de respuesta bajo carga (posible denegación de servicio no intencional)</w:t>
            </w:r>
          </w:p>
        </w:tc>
        <w:tc>
          <w:tcPr>
            <w:tcW w:w="3200" w:type="dxa"/>
            <w:tcMar>
              <w:top w:w="80" w:type="dxa"/>
              <w:left w:w="100" w:type="dxa"/>
              <w:bottom w:w="80" w:type="dxa"/>
              <w:right w:w="100" w:type="dxa"/>
            </w:tcMar>
            <w:vAlign w:val="center"/>
          </w:tcPr>
          <w:p w14:paraId="11217EB8" w14:textId="77777777" w:rsidR="00173171" w:rsidRDefault="00000000">
            <w:r>
              <w:rPr>
                <w:color w:val="000000"/>
                <w:sz w:val="20"/>
                <w:szCs w:val="20"/>
              </w:rPr>
              <w:t>Las pruebas de carga muestran 4,8 segundos de respuesta con 500 usuarios concurrentes, frente al límite de 2 segundos establecido en RNF-02; INC-014 confirma tiempos de espera agotados en producción.</w:t>
            </w:r>
          </w:p>
        </w:tc>
        <w:tc>
          <w:tcPr>
            <w:tcW w:w="2800" w:type="dxa"/>
            <w:tcMar>
              <w:top w:w="80" w:type="dxa"/>
              <w:left w:w="100" w:type="dxa"/>
              <w:bottom w:w="80" w:type="dxa"/>
              <w:right w:w="100" w:type="dxa"/>
            </w:tcMar>
            <w:vAlign w:val="center"/>
          </w:tcPr>
          <w:p w14:paraId="4D07037A" w14:textId="77777777" w:rsidR="00173171" w:rsidRDefault="00000000">
            <w:r>
              <w:rPr>
                <w:color w:val="000000"/>
                <w:sz w:val="20"/>
                <w:szCs w:val="20"/>
              </w:rPr>
              <w:t>Alto: durante la temporada de descuentos, el tráfico esperado puede saturar el sistema y provocar pérdida de ventas y de confianza del cliente.</w:t>
            </w:r>
          </w:p>
        </w:tc>
      </w:tr>
      <w:tr w:rsidR="00173171" w14:paraId="4B1C1DCF" w14:textId="77777777">
        <w:tblPrEx>
          <w:tblCellMar>
            <w:top w:w="0" w:type="dxa"/>
            <w:bottom w:w="0" w:type="dxa"/>
          </w:tblCellMar>
        </w:tblPrEx>
        <w:tc>
          <w:tcPr>
            <w:tcW w:w="500" w:type="dxa"/>
            <w:tcMar>
              <w:top w:w="80" w:type="dxa"/>
              <w:left w:w="100" w:type="dxa"/>
              <w:bottom w:w="80" w:type="dxa"/>
              <w:right w:w="100" w:type="dxa"/>
            </w:tcMar>
            <w:vAlign w:val="center"/>
          </w:tcPr>
          <w:p w14:paraId="7B2EF428" w14:textId="77777777" w:rsidR="00173171" w:rsidRDefault="00000000">
            <w:pPr>
              <w:jc w:val="center"/>
            </w:pPr>
            <w:r>
              <w:rPr>
                <w:color w:val="000000"/>
                <w:sz w:val="20"/>
                <w:szCs w:val="20"/>
              </w:rPr>
              <w:t>6</w:t>
            </w:r>
          </w:p>
        </w:tc>
        <w:tc>
          <w:tcPr>
            <w:tcW w:w="2200" w:type="dxa"/>
            <w:tcMar>
              <w:top w:w="80" w:type="dxa"/>
              <w:left w:w="100" w:type="dxa"/>
              <w:bottom w:w="80" w:type="dxa"/>
              <w:right w:w="100" w:type="dxa"/>
            </w:tcMar>
            <w:vAlign w:val="center"/>
          </w:tcPr>
          <w:p w14:paraId="53599146" w14:textId="77777777" w:rsidR="00173171" w:rsidRDefault="00000000">
            <w:r>
              <w:rPr>
                <w:color w:val="000000"/>
                <w:sz w:val="20"/>
                <w:szCs w:val="20"/>
              </w:rPr>
              <w:t>Falta de trazabilidad y registro de auditoría en operaciones de inventario</w:t>
            </w:r>
          </w:p>
        </w:tc>
        <w:tc>
          <w:tcPr>
            <w:tcW w:w="3200" w:type="dxa"/>
            <w:tcMar>
              <w:top w:w="80" w:type="dxa"/>
              <w:left w:w="100" w:type="dxa"/>
              <w:bottom w:w="80" w:type="dxa"/>
              <w:right w:w="100" w:type="dxa"/>
            </w:tcMar>
            <w:vAlign w:val="center"/>
          </w:tcPr>
          <w:p w14:paraId="2E271641" w14:textId="77777777" w:rsidR="00173171" w:rsidRDefault="00000000">
            <w:r>
              <w:rPr>
                <w:color w:val="000000"/>
                <w:sz w:val="20"/>
                <w:szCs w:val="20"/>
              </w:rPr>
              <w:t>INC-029 evidencia discrepancias de stock entre la app y bodega, sin que existan registros que permitan reconstruir qué proceso originó el error.</w:t>
            </w:r>
          </w:p>
        </w:tc>
        <w:tc>
          <w:tcPr>
            <w:tcW w:w="2800" w:type="dxa"/>
            <w:tcMar>
              <w:top w:w="80" w:type="dxa"/>
              <w:left w:w="100" w:type="dxa"/>
              <w:bottom w:w="80" w:type="dxa"/>
              <w:right w:w="100" w:type="dxa"/>
            </w:tcMar>
            <w:vAlign w:val="center"/>
          </w:tcPr>
          <w:p w14:paraId="2C8D7DB4" w14:textId="77777777" w:rsidR="00173171" w:rsidRDefault="00000000">
            <w:r>
              <w:rPr>
                <w:color w:val="000000"/>
                <w:sz w:val="20"/>
                <w:szCs w:val="20"/>
              </w:rPr>
              <w:t>Medio: dificulta la investigación de incidentes, la rendición de cuentas y el cumplimiento de controles internos.</w:t>
            </w:r>
          </w:p>
        </w:tc>
      </w:tr>
    </w:tbl>
    <w:p w14:paraId="10B0699D" w14:textId="77777777" w:rsidR="00173171" w:rsidRDefault="00173171">
      <w:pPr>
        <w:spacing w:before="250" w:after="250"/>
      </w:pPr>
    </w:p>
    <w:p w14:paraId="5AD07696" w14:textId="77777777" w:rsidR="00173171" w:rsidRDefault="00000000">
      <w:pPr>
        <w:spacing w:after="180" w:line="300" w:lineRule="auto"/>
        <w:jc w:val="both"/>
      </w:pPr>
      <w:r>
        <w:t>Los seis hallazgos anteriores —tres de ellos de severidad alta o crítica— confirman que el sistema, en su estado actual, no cumple los requisitos no funcionales obligatorios ni las buenas prácticas mínimas de seguridad. Esta es la base técnica que sustenta la respuesta seleccionada frente a las opciones planteadas en el caso: postergar la liberación hasta remediar los hallazgos críticos.</w:t>
      </w:r>
    </w:p>
    <w:p w14:paraId="0A624E6F" w14:textId="77777777" w:rsidR="00173171" w:rsidRDefault="00000000">
      <w:r>
        <w:br w:type="page"/>
      </w:r>
    </w:p>
    <w:p w14:paraId="7867A80D" w14:textId="77777777" w:rsidR="00173171" w:rsidRDefault="00000000">
      <w:pPr>
        <w:pStyle w:val="Ttulo1"/>
        <w:spacing w:before="400" w:after="200"/>
      </w:pPr>
      <w:r>
        <w:rPr>
          <w:b/>
          <w:bCs/>
          <w:color w:val="1F3864"/>
          <w:sz w:val="28"/>
          <w:szCs w:val="28"/>
        </w:rPr>
        <w:lastRenderedPageBreak/>
        <w:t>5. Actividades de verificación y validación</w:t>
      </w:r>
    </w:p>
    <w:p w14:paraId="3BA6EF9D" w14:textId="77777777" w:rsidR="00173171" w:rsidRDefault="00000000">
      <w:pPr>
        <w:spacing w:after="180" w:line="300" w:lineRule="auto"/>
        <w:jc w:val="both"/>
      </w:pPr>
      <w:r>
        <w:t xml:space="preserve">La verificación responde a la pregunta ¿estamos construyendo el producto correctamente?, es decir, si el software cumple con las especificaciones definidas. La validación responde a ¿estamos construyendo el producto correcto?, es decir, si el software satisface la necesidad real del usuario. Ambas son complementarias y, para el caso de </w:t>
      </w:r>
      <w:proofErr w:type="spellStart"/>
      <w:r>
        <w:t>TiendaExpress</w:t>
      </w:r>
      <w:proofErr w:type="spellEnd"/>
      <w:r>
        <w:t>, se proponen las siguientes actividades:</w:t>
      </w:r>
    </w:p>
    <w:p w14:paraId="0E431B4D" w14:textId="77777777" w:rsidR="00173171" w:rsidRDefault="00000000">
      <w:pPr>
        <w:pStyle w:val="Ttulo2"/>
        <w:spacing w:before="300" w:after="150"/>
      </w:pPr>
      <w:r>
        <w:rPr>
          <w:b/>
          <w:bCs/>
          <w:color w:val="1F3864"/>
          <w:sz w:val="24"/>
          <w:szCs w:val="24"/>
        </w:rPr>
        <w:t>5.1 Actividades de verificación (revisiones e inspecciones)</w:t>
      </w:r>
    </w:p>
    <w:p w14:paraId="3F7B1477" w14:textId="77777777" w:rsidR="00173171" w:rsidRDefault="00000000">
      <w:pPr>
        <w:pStyle w:val="Prrafodelista"/>
        <w:numPr>
          <w:ilvl w:val="0"/>
          <w:numId w:val="2"/>
        </w:numPr>
        <w:spacing w:after="100" w:line="300" w:lineRule="auto"/>
        <w:jc w:val="both"/>
      </w:pPr>
      <w:r>
        <w:t>Revisión de código (</w:t>
      </w:r>
      <w:proofErr w:type="spellStart"/>
      <w:r>
        <w:t>code</w:t>
      </w:r>
      <w:proofErr w:type="spellEnd"/>
      <w:r>
        <w:t xml:space="preserve"> </w:t>
      </w:r>
      <w:proofErr w:type="spellStart"/>
      <w:r>
        <w:t>review</w:t>
      </w:r>
      <w:proofErr w:type="spellEnd"/>
      <w:r>
        <w:t>) del módulo de pagos, con énfasis en el manejo de excepciones frente a la pasarela externa y en el cifrado de datos sensibles (relacionado con los hallazgos 3 y 4).</w:t>
      </w:r>
    </w:p>
    <w:p w14:paraId="6FCCFB9C" w14:textId="77777777" w:rsidR="00173171" w:rsidRDefault="00000000">
      <w:pPr>
        <w:pStyle w:val="Prrafodelista"/>
        <w:numPr>
          <w:ilvl w:val="0"/>
          <w:numId w:val="2"/>
        </w:numPr>
        <w:spacing w:after="100" w:line="300" w:lineRule="auto"/>
        <w:jc w:val="both"/>
      </w:pPr>
      <w:r>
        <w:t>Inspección formal de los requisitos de seguridad (RNF-04) contra la lista de verificación OWASP Top 10, antes de aceptar el módulo de pagos como completo.</w:t>
      </w:r>
    </w:p>
    <w:p w14:paraId="25DD7C78" w14:textId="77777777" w:rsidR="00173171" w:rsidRDefault="00000000">
      <w:pPr>
        <w:pStyle w:val="Prrafodelista"/>
        <w:numPr>
          <w:ilvl w:val="0"/>
          <w:numId w:val="2"/>
        </w:numPr>
        <w:spacing w:after="100" w:line="300" w:lineRule="auto"/>
        <w:jc w:val="both"/>
      </w:pPr>
      <w:r>
        <w:t>Revisión técnica de la arquitectura de autenticación y manejo de sesiones, contrastando el diseño actual con el cambio pendiente de validar en CC-107.</w:t>
      </w:r>
    </w:p>
    <w:p w14:paraId="3CFCD78B" w14:textId="77777777" w:rsidR="00173171" w:rsidRDefault="00000000">
      <w:pPr>
        <w:pStyle w:val="Prrafodelista"/>
        <w:numPr>
          <w:ilvl w:val="0"/>
          <w:numId w:val="2"/>
        </w:numPr>
        <w:spacing w:after="100" w:line="300" w:lineRule="auto"/>
        <w:jc w:val="both"/>
      </w:pPr>
      <w:proofErr w:type="spellStart"/>
      <w:r>
        <w:t>Walkthrough</w:t>
      </w:r>
      <w:proofErr w:type="spellEnd"/>
      <w:r>
        <w:t xml:space="preserve"> del modelo de datos de inventario junto al DBA, para identificar el origen de las discrepancias reportadas en INC-029.</w:t>
      </w:r>
    </w:p>
    <w:p w14:paraId="4AE5C211" w14:textId="77777777" w:rsidR="00173171" w:rsidRDefault="00000000">
      <w:pPr>
        <w:pStyle w:val="Prrafodelista"/>
        <w:numPr>
          <w:ilvl w:val="0"/>
          <w:numId w:val="2"/>
        </w:numPr>
        <w:spacing w:after="100" w:line="300" w:lineRule="auto"/>
        <w:jc w:val="both"/>
      </w:pPr>
      <w:r>
        <w:t xml:space="preserve">Auditoría interna de código estático (análisis SAST) sobre los módulos de búsqueda y </w:t>
      </w:r>
      <w:proofErr w:type="spellStart"/>
      <w:r>
        <w:t>checkout</w:t>
      </w:r>
      <w:proofErr w:type="spellEnd"/>
      <w:r>
        <w:t>, para detectar puntos de inyección y falta de sanitización de entradas.</w:t>
      </w:r>
    </w:p>
    <w:p w14:paraId="6B52E675" w14:textId="77777777" w:rsidR="00173171" w:rsidRDefault="00000000">
      <w:pPr>
        <w:pStyle w:val="Ttulo2"/>
        <w:spacing w:before="300" w:after="150"/>
      </w:pPr>
      <w:r>
        <w:rPr>
          <w:b/>
          <w:bCs/>
          <w:color w:val="1F3864"/>
          <w:sz w:val="24"/>
          <w:szCs w:val="24"/>
        </w:rPr>
        <w:t>5.2 Actividades de validación (pruebas orientadas al usuario)</w:t>
      </w:r>
    </w:p>
    <w:p w14:paraId="66600000" w14:textId="77777777" w:rsidR="00173171" w:rsidRDefault="00000000">
      <w:pPr>
        <w:pStyle w:val="Prrafodelista"/>
        <w:numPr>
          <w:ilvl w:val="0"/>
          <w:numId w:val="2"/>
        </w:numPr>
        <w:spacing w:after="100" w:line="300" w:lineRule="auto"/>
        <w:jc w:val="both"/>
      </w:pPr>
      <w:r>
        <w:t>Pruebas de aceptación de usuario (UAT) del flujo completo de compra, desde la búsqueda del producto hasta la confirmación del pago, ejecutadas por usuarios reales o representativos.</w:t>
      </w:r>
    </w:p>
    <w:p w14:paraId="0BECF69D" w14:textId="77777777" w:rsidR="00173171" w:rsidRDefault="00000000">
      <w:pPr>
        <w:pStyle w:val="Prrafodelista"/>
        <w:numPr>
          <w:ilvl w:val="0"/>
          <w:numId w:val="2"/>
        </w:numPr>
        <w:spacing w:after="100" w:line="300" w:lineRule="auto"/>
        <w:jc w:val="both"/>
      </w:pPr>
      <w:r>
        <w:t>Pruebas de penetración (</w:t>
      </w:r>
      <w:proofErr w:type="spellStart"/>
      <w:r>
        <w:t>pentest</w:t>
      </w:r>
      <w:proofErr w:type="spellEnd"/>
      <w:r>
        <w:t xml:space="preserve">) enfocadas en el </w:t>
      </w:r>
      <w:proofErr w:type="spellStart"/>
      <w:r>
        <w:t>checkout</w:t>
      </w:r>
      <w:proofErr w:type="spellEnd"/>
      <w:r>
        <w:t xml:space="preserve"> y en el manejo de sesiones, simulando ataques externos reales sobre un ambiente de preproducción.</w:t>
      </w:r>
    </w:p>
    <w:p w14:paraId="1CBDAD1E" w14:textId="77777777" w:rsidR="00173171" w:rsidRDefault="00000000">
      <w:pPr>
        <w:pStyle w:val="Prrafodelista"/>
        <w:numPr>
          <w:ilvl w:val="0"/>
          <w:numId w:val="2"/>
        </w:numPr>
        <w:spacing w:after="100" w:line="300" w:lineRule="auto"/>
        <w:jc w:val="both"/>
      </w:pPr>
      <w:r>
        <w:t>Pruebas de carga y estrés que repliquen el tráfico esperado durante la temporada de descuentos, verificando que el tiempo de respuesta se mantenga dentro del límite de 2 segundos.</w:t>
      </w:r>
    </w:p>
    <w:p w14:paraId="33A727B3" w14:textId="77777777" w:rsidR="00173171" w:rsidRDefault="00000000">
      <w:pPr>
        <w:pStyle w:val="Prrafodelista"/>
        <w:numPr>
          <w:ilvl w:val="0"/>
          <w:numId w:val="2"/>
        </w:numPr>
        <w:spacing w:after="100" w:line="300" w:lineRule="auto"/>
        <w:jc w:val="both"/>
      </w:pPr>
      <w:r>
        <w:t>Pruebas de usabilidad del nuevo módulo de fidelización con usuarios finales, para confirmar que el sistema resuelve la necesidad de negocio y no solo cumple la especificación técnica.</w:t>
      </w:r>
    </w:p>
    <w:p w14:paraId="2EAAC2AA" w14:textId="77777777" w:rsidR="00173171" w:rsidRDefault="00000000">
      <w:pPr>
        <w:pStyle w:val="Prrafodelista"/>
        <w:numPr>
          <w:ilvl w:val="0"/>
          <w:numId w:val="2"/>
        </w:numPr>
        <w:spacing w:after="100" w:line="300" w:lineRule="auto"/>
        <w:jc w:val="both"/>
      </w:pPr>
      <w:r>
        <w:t>Pruebas de regresión funcional completas sobre el módulo de pagos, cerrando la brecha detectada en CC-101.</w:t>
      </w:r>
    </w:p>
    <w:p w14:paraId="67FAB5EB" w14:textId="77777777" w:rsidR="00173171" w:rsidRDefault="00000000">
      <w:r>
        <w:br w:type="page"/>
      </w:r>
    </w:p>
    <w:p w14:paraId="1821E120" w14:textId="77777777" w:rsidR="00173171" w:rsidRDefault="00000000">
      <w:pPr>
        <w:pStyle w:val="Ttulo1"/>
        <w:spacing w:before="400" w:after="200"/>
      </w:pPr>
      <w:r>
        <w:rPr>
          <w:b/>
          <w:bCs/>
          <w:color w:val="1F3864"/>
          <w:sz w:val="28"/>
          <w:szCs w:val="28"/>
        </w:rPr>
        <w:lastRenderedPageBreak/>
        <w:t>6. Lista de verificación de revisión técnica</w:t>
      </w:r>
    </w:p>
    <w:p w14:paraId="66C6398D" w14:textId="77777777" w:rsidR="00173171" w:rsidRDefault="00000000">
      <w:pPr>
        <w:spacing w:after="180" w:line="300" w:lineRule="auto"/>
        <w:jc w:val="both"/>
      </w:pPr>
      <w:r>
        <w:t>La siguiente lista de verificación se aplicará durante la revisión técnica previa a la liberación de la versión 3.0, y responde directamente a los hallazgos identificados en la sección anterior:</w:t>
      </w:r>
    </w:p>
    <w:tbl>
      <w:tblPr>
        <w:tblW w:w="8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00"/>
        <w:gridCol w:w="6300"/>
        <w:gridCol w:w="1900"/>
      </w:tblGrid>
      <w:tr w:rsidR="00173171" w14:paraId="693D3B60" w14:textId="77777777">
        <w:tblPrEx>
          <w:tblCellMar>
            <w:top w:w="0" w:type="dxa"/>
            <w:bottom w:w="0" w:type="dxa"/>
          </w:tblCellMar>
        </w:tblPrEx>
        <w:tc>
          <w:tcPr>
            <w:tcW w:w="500" w:type="dxa"/>
            <w:shd w:val="clear" w:color="auto" w:fill="1F3864"/>
            <w:tcMar>
              <w:top w:w="80" w:type="dxa"/>
              <w:left w:w="100" w:type="dxa"/>
              <w:bottom w:w="80" w:type="dxa"/>
              <w:right w:w="100" w:type="dxa"/>
            </w:tcMar>
            <w:vAlign w:val="center"/>
          </w:tcPr>
          <w:p w14:paraId="5D9AC783" w14:textId="77777777" w:rsidR="00173171" w:rsidRDefault="00000000">
            <w:pPr>
              <w:jc w:val="center"/>
            </w:pPr>
            <w:proofErr w:type="spellStart"/>
            <w:r>
              <w:rPr>
                <w:b/>
                <w:bCs/>
                <w:color w:val="FFFFFF"/>
                <w:sz w:val="20"/>
                <w:szCs w:val="20"/>
              </w:rPr>
              <w:t>N.°</w:t>
            </w:r>
            <w:proofErr w:type="spellEnd"/>
          </w:p>
        </w:tc>
        <w:tc>
          <w:tcPr>
            <w:tcW w:w="6300" w:type="dxa"/>
            <w:shd w:val="clear" w:color="auto" w:fill="1F3864"/>
            <w:tcMar>
              <w:top w:w="80" w:type="dxa"/>
              <w:left w:w="100" w:type="dxa"/>
              <w:bottom w:w="80" w:type="dxa"/>
              <w:right w:w="100" w:type="dxa"/>
            </w:tcMar>
            <w:vAlign w:val="center"/>
          </w:tcPr>
          <w:p w14:paraId="15E4DF02" w14:textId="77777777" w:rsidR="00173171" w:rsidRDefault="00000000">
            <w:r>
              <w:rPr>
                <w:b/>
                <w:bCs/>
                <w:color w:val="FFFFFF"/>
                <w:sz w:val="20"/>
                <w:szCs w:val="20"/>
              </w:rPr>
              <w:t>Ítem de verificación</w:t>
            </w:r>
          </w:p>
        </w:tc>
        <w:tc>
          <w:tcPr>
            <w:tcW w:w="1900" w:type="dxa"/>
            <w:shd w:val="clear" w:color="auto" w:fill="1F3864"/>
            <w:tcMar>
              <w:top w:w="80" w:type="dxa"/>
              <w:left w:w="100" w:type="dxa"/>
              <w:bottom w:w="80" w:type="dxa"/>
              <w:right w:w="100" w:type="dxa"/>
            </w:tcMar>
            <w:vAlign w:val="center"/>
          </w:tcPr>
          <w:p w14:paraId="084C1138" w14:textId="77777777" w:rsidR="00173171" w:rsidRDefault="00000000">
            <w:pPr>
              <w:jc w:val="center"/>
            </w:pPr>
            <w:r>
              <w:rPr>
                <w:b/>
                <w:bCs/>
                <w:color w:val="FFFFFF"/>
                <w:sz w:val="20"/>
                <w:szCs w:val="20"/>
              </w:rPr>
              <w:t>Cumple (Sí/No)</w:t>
            </w:r>
          </w:p>
        </w:tc>
      </w:tr>
      <w:tr w:rsidR="00173171" w14:paraId="2222DB86" w14:textId="77777777">
        <w:tblPrEx>
          <w:tblCellMar>
            <w:top w:w="0" w:type="dxa"/>
            <w:bottom w:w="0" w:type="dxa"/>
          </w:tblCellMar>
        </w:tblPrEx>
        <w:tc>
          <w:tcPr>
            <w:tcW w:w="500" w:type="dxa"/>
            <w:tcMar>
              <w:top w:w="80" w:type="dxa"/>
              <w:left w:w="100" w:type="dxa"/>
              <w:bottom w:w="80" w:type="dxa"/>
              <w:right w:w="100" w:type="dxa"/>
            </w:tcMar>
            <w:vAlign w:val="center"/>
          </w:tcPr>
          <w:p w14:paraId="6D1BCE41" w14:textId="77777777" w:rsidR="00173171" w:rsidRDefault="00000000">
            <w:pPr>
              <w:jc w:val="center"/>
            </w:pPr>
            <w:r>
              <w:rPr>
                <w:color w:val="000000"/>
                <w:sz w:val="20"/>
                <w:szCs w:val="20"/>
              </w:rPr>
              <w:t>1</w:t>
            </w:r>
          </w:p>
        </w:tc>
        <w:tc>
          <w:tcPr>
            <w:tcW w:w="6300" w:type="dxa"/>
            <w:tcMar>
              <w:top w:w="80" w:type="dxa"/>
              <w:left w:w="100" w:type="dxa"/>
              <w:bottom w:w="80" w:type="dxa"/>
              <w:right w:w="100" w:type="dxa"/>
            </w:tcMar>
            <w:vAlign w:val="center"/>
          </w:tcPr>
          <w:p w14:paraId="5EC48188" w14:textId="77777777" w:rsidR="00173171" w:rsidRDefault="00000000">
            <w:r>
              <w:rPr>
                <w:color w:val="000000"/>
                <w:sz w:val="20"/>
                <w:szCs w:val="20"/>
              </w:rPr>
              <w:t>¿El módulo de autenticación bloquea la cuenta tras un número definido de intentos fallidos de inicio de sesión?</w:t>
            </w:r>
          </w:p>
        </w:tc>
        <w:tc>
          <w:tcPr>
            <w:tcW w:w="1900" w:type="dxa"/>
            <w:tcMar>
              <w:top w:w="80" w:type="dxa"/>
              <w:left w:w="100" w:type="dxa"/>
              <w:bottom w:w="80" w:type="dxa"/>
              <w:right w:w="100" w:type="dxa"/>
            </w:tcMar>
            <w:vAlign w:val="center"/>
          </w:tcPr>
          <w:p w14:paraId="33AA2A3B" w14:textId="77777777" w:rsidR="00173171" w:rsidRDefault="00173171"/>
        </w:tc>
      </w:tr>
      <w:tr w:rsidR="00173171" w14:paraId="755364DF" w14:textId="77777777">
        <w:tblPrEx>
          <w:tblCellMar>
            <w:top w:w="0" w:type="dxa"/>
            <w:bottom w:w="0" w:type="dxa"/>
          </w:tblCellMar>
        </w:tblPrEx>
        <w:tc>
          <w:tcPr>
            <w:tcW w:w="500" w:type="dxa"/>
            <w:tcMar>
              <w:top w:w="80" w:type="dxa"/>
              <w:left w:w="100" w:type="dxa"/>
              <w:bottom w:w="80" w:type="dxa"/>
              <w:right w:w="100" w:type="dxa"/>
            </w:tcMar>
            <w:vAlign w:val="center"/>
          </w:tcPr>
          <w:p w14:paraId="2E4C5F19" w14:textId="77777777" w:rsidR="00173171" w:rsidRDefault="00000000">
            <w:pPr>
              <w:jc w:val="center"/>
            </w:pPr>
            <w:r>
              <w:rPr>
                <w:color w:val="000000"/>
                <w:sz w:val="20"/>
                <w:szCs w:val="20"/>
              </w:rPr>
              <w:t>2</w:t>
            </w:r>
          </w:p>
        </w:tc>
        <w:tc>
          <w:tcPr>
            <w:tcW w:w="6300" w:type="dxa"/>
            <w:tcMar>
              <w:top w:w="80" w:type="dxa"/>
              <w:left w:w="100" w:type="dxa"/>
              <w:bottom w:w="80" w:type="dxa"/>
              <w:right w:w="100" w:type="dxa"/>
            </w:tcMar>
            <w:vAlign w:val="center"/>
          </w:tcPr>
          <w:p w14:paraId="42E91D7F" w14:textId="77777777" w:rsidR="00173171" w:rsidRDefault="00000000">
            <w:r>
              <w:rPr>
                <w:color w:val="000000"/>
                <w:sz w:val="20"/>
                <w:szCs w:val="20"/>
              </w:rPr>
              <w:t xml:space="preserve">¿Las contraseñas se almacenan utilizando una función de hash robusta con </w:t>
            </w:r>
            <w:proofErr w:type="spellStart"/>
            <w:r>
              <w:rPr>
                <w:color w:val="000000"/>
                <w:sz w:val="20"/>
                <w:szCs w:val="20"/>
              </w:rPr>
              <w:t>salt</w:t>
            </w:r>
            <w:proofErr w:type="spellEnd"/>
            <w:r>
              <w:rPr>
                <w:color w:val="000000"/>
                <w:sz w:val="20"/>
                <w:szCs w:val="20"/>
              </w:rPr>
              <w:t xml:space="preserve"> (nunca en texto plano)?</w:t>
            </w:r>
          </w:p>
        </w:tc>
        <w:tc>
          <w:tcPr>
            <w:tcW w:w="1900" w:type="dxa"/>
            <w:tcMar>
              <w:top w:w="80" w:type="dxa"/>
              <w:left w:w="100" w:type="dxa"/>
              <w:bottom w:w="80" w:type="dxa"/>
              <w:right w:w="100" w:type="dxa"/>
            </w:tcMar>
            <w:vAlign w:val="center"/>
          </w:tcPr>
          <w:p w14:paraId="041D5BB2" w14:textId="77777777" w:rsidR="00173171" w:rsidRDefault="00173171"/>
        </w:tc>
      </w:tr>
      <w:tr w:rsidR="00173171" w14:paraId="33DCAF6E" w14:textId="77777777">
        <w:tblPrEx>
          <w:tblCellMar>
            <w:top w:w="0" w:type="dxa"/>
            <w:bottom w:w="0" w:type="dxa"/>
          </w:tblCellMar>
        </w:tblPrEx>
        <w:tc>
          <w:tcPr>
            <w:tcW w:w="500" w:type="dxa"/>
            <w:tcMar>
              <w:top w:w="80" w:type="dxa"/>
              <w:left w:w="100" w:type="dxa"/>
              <w:bottom w:w="80" w:type="dxa"/>
              <w:right w:w="100" w:type="dxa"/>
            </w:tcMar>
            <w:vAlign w:val="center"/>
          </w:tcPr>
          <w:p w14:paraId="1B51BB78" w14:textId="77777777" w:rsidR="00173171" w:rsidRDefault="00000000">
            <w:pPr>
              <w:jc w:val="center"/>
            </w:pPr>
            <w:r>
              <w:rPr>
                <w:color w:val="000000"/>
                <w:sz w:val="20"/>
                <w:szCs w:val="20"/>
              </w:rPr>
              <w:t>3</w:t>
            </w:r>
          </w:p>
        </w:tc>
        <w:tc>
          <w:tcPr>
            <w:tcW w:w="6300" w:type="dxa"/>
            <w:tcMar>
              <w:top w:w="80" w:type="dxa"/>
              <w:left w:w="100" w:type="dxa"/>
              <w:bottom w:w="80" w:type="dxa"/>
              <w:right w:w="100" w:type="dxa"/>
            </w:tcMar>
            <w:vAlign w:val="center"/>
          </w:tcPr>
          <w:p w14:paraId="2991B932" w14:textId="77777777" w:rsidR="00173171" w:rsidRDefault="00000000">
            <w:r>
              <w:rPr>
                <w:color w:val="000000"/>
                <w:sz w:val="20"/>
                <w:szCs w:val="20"/>
              </w:rPr>
              <w:t>¿Los datos de tarjetas de pago se cifran tanto en tránsito (TLS) como en reposo, conforme a PCI DSS?</w:t>
            </w:r>
          </w:p>
        </w:tc>
        <w:tc>
          <w:tcPr>
            <w:tcW w:w="1900" w:type="dxa"/>
            <w:tcMar>
              <w:top w:w="80" w:type="dxa"/>
              <w:left w:w="100" w:type="dxa"/>
              <w:bottom w:w="80" w:type="dxa"/>
              <w:right w:w="100" w:type="dxa"/>
            </w:tcMar>
            <w:vAlign w:val="center"/>
          </w:tcPr>
          <w:p w14:paraId="567A7B65" w14:textId="77777777" w:rsidR="00173171" w:rsidRDefault="00173171"/>
        </w:tc>
      </w:tr>
      <w:tr w:rsidR="00173171" w14:paraId="0E2BCFEC" w14:textId="77777777">
        <w:tblPrEx>
          <w:tblCellMar>
            <w:top w:w="0" w:type="dxa"/>
            <w:bottom w:w="0" w:type="dxa"/>
          </w:tblCellMar>
        </w:tblPrEx>
        <w:tc>
          <w:tcPr>
            <w:tcW w:w="500" w:type="dxa"/>
            <w:tcMar>
              <w:top w:w="80" w:type="dxa"/>
              <w:left w:w="100" w:type="dxa"/>
              <w:bottom w:w="80" w:type="dxa"/>
              <w:right w:w="100" w:type="dxa"/>
            </w:tcMar>
            <w:vAlign w:val="center"/>
          </w:tcPr>
          <w:p w14:paraId="3442CB5B" w14:textId="77777777" w:rsidR="00173171" w:rsidRDefault="00000000">
            <w:pPr>
              <w:jc w:val="center"/>
            </w:pPr>
            <w:r>
              <w:rPr>
                <w:color w:val="000000"/>
                <w:sz w:val="20"/>
                <w:szCs w:val="20"/>
              </w:rPr>
              <w:t>4</w:t>
            </w:r>
          </w:p>
        </w:tc>
        <w:tc>
          <w:tcPr>
            <w:tcW w:w="6300" w:type="dxa"/>
            <w:tcMar>
              <w:top w:w="80" w:type="dxa"/>
              <w:left w:w="100" w:type="dxa"/>
              <w:bottom w:w="80" w:type="dxa"/>
              <w:right w:w="100" w:type="dxa"/>
            </w:tcMar>
            <w:vAlign w:val="center"/>
          </w:tcPr>
          <w:p w14:paraId="018024F9" w14:textId="77777777" w:rsidR="00173171" w:rsidRDefault="00000000">
            <w:r>
              <w:rPr>
                <w:color w:val="000000"/>
                <w:sz w:val="20"/>
                <w:szCs w:val="20"/>
              </w:rPr>
              <w:t xml:space="preserve">¿Todos los campos de entrada del usuario (búsqueda, reseñas, formularios) </w:t>
            </w:r>
            <w:proofErr w:type="spellStart"/>
            <w:r>
              <w:rPr>
                <w:color w:val="000000"/>
                <w:sz w:val="20"/>
                <w:szCs w:val="20"/>
              </w:rPr>
              <w:t>sanitizan</w:t>
            </w:r>
            <w:proofErr w:type="spellEnd"/>
            <w:r>
              <w:rPr>
                <w:color w:val="000000"/>
                <w:sz w:val="20"/>
                <w:szCs w:val="20"/>
              </w:rPr>
              <w:t xml:space="preserve"> y validan los datos recibidos?</w:t>
            </w:r>
          </w:p>
        </w:tc>
        <w:tc>
          <w:tcPr>
            <w:tcW w:w="1900" w:type="dxa"/>
            <w:tcMar>
              <w:top w:w="80" w:type="dxa"/>
              <w:left w:w="100" w:type="dxa"/>
              <w:bottom w:w="80" w:type="dxa"/>
              <w:right w:w="100" w:type="dxa"/>
            </w:tcMar>
            <w:vAlign w:val="center"/>
          </w:tcPr>
          <w:p w14:paraId="2C171FCD" w14:textId="77777777" w:rsidR="00173171" w:rsidRDefault="00173171"/>
        </w:tc>
      </w:tr>
      <w:tr w:rsidR="00173171" w14:paraId="03F79982" w14:textId="77777777">
        <w:tblPrEx>
          <w:tblCellMar>
            <w:top w:w="0" w:type="dxa"/>
            <w:bottom w:w="0" w:type="dxa"/>
          </w:tblCellMar>
        </w:tblPrEx>
        <w:tc>
          <w:tcPr>
            <w:tcW w:w="500" w:type="dxa"/>
            <w:tcMar>
              <w:top w:w="80" w:type="dxa"/>
              <w:left w:w="100" w:type="dxa"/>
              <w:bottom w:w="80" w:type="dxa"/>
              <w:right w:w="100" w:type="dxa"/>
            </w:tcMar>
            <w:vAlign w:val="center"/>
          </w:tcPr>
          <w:p w14:paraId="41D4448C" w14:textId="77777777" w:rsidR="00173171" w:rsidRDefault="00000000">
            <w:pPr>
              <w:jc w:val="center"/>
            </w:pPr>
            <w:r>
              <w:rPr>
                <w:color w:val="000000"/>
                <w:sz w:val="20"/>
                <w:szCs w:val="20"/>
              </w:rPr>
              <w:t>5</w:t>
            </w:r>
          </w:p>
        </w:tc>
        <w:tc>
          <w:tcPr>
            <w:tcW w:w="6300" w:type="dxa"/>
            <w:tcMar>
              <w:top w:w="80" w:type="dxa"/>
              <w:left w:w="100" w:type="dxa"/>
              <w:bottom w:w="80" w:type="dxa"/>
              <w:right w:w="100" w:type="dxa"/>
            </w:tcMar>
            <w:vAlign w:val="center"/>
          </w:tcPr>
          <w:p w14:paraId="07568CB6" w14:textId="77777777" w:rsidR="00173171" w:rsidRDefault="00000000">
            <w:r>
              <w:rPr>
                <w:color w:val="000000"/>
                <w:sz w:val="20"/>
                <w:szCs w:val="20"/>
              </w:rPr>
              <w:t>¿Las sesiones expiran automáticamente por inactividad y se invalidan correctamente al cerrar sesión?</w:t>
            </w:r>
          </w:p>
        </w:tc>
        <w:tc>
          <w:tcPr>
            <w:tcW w:w="1900" w:type="dxa"/>
            <w:tcMar>
              <w:top w:w="80" w:type="dxa"/>
              <w:left w:w="100" w:type="dxa"/>
              <w:bottom w:w="80" w:type="dxa"/>
              <w:right w:w="100" w:type="dxa"/>
            </w:tcMar>
            <w:vAlign w:val="center"/>
          </w:tcPr>
          <w:p w14:paraId="1E60D5D2" w14:textId="77777777" w:rsidR="00173171" w:rsidRDefault="00173171"/>
        </w:tc>
      </w:tr>
      <w:tr w:rsidR="00173171" w14:paraId="38601B72" w14:textId="77777777">
        <w:tblPrEx>
          <w:tblCellMar>
            <w:top w:w="0" w:type="dxa"/>
            <w:bottom w:w="0" w:type="dxa"/>
          </w:tblCellMar>
        </w:tblPrEx>
        <w:tc>
          <w:tcPr>
            <w:tcW w:w="500" w:type="dxa"/>
            <w:tcMar>
              <w:top w:w="80" w:type="dxa"/>
              <w:left w:w="100" w:type="dxa"/>
              <w:bottom w:w="80" w:type="dxa"/>
              <w:right w:w="100" w:type="dxa"/>
            </w:tcMar>
            <w:vAlign w:val="center"/>
          </w:tcPr>
          <w:p w14:paraId="4CC8B6E4" w14:textId="77777777" w:rsidR="00173171" w:rsidRDefault="00000000">
            <w:pPr>
              <w:jc w:val="center"/>
            </w:pPr>
            <w:r>
              <w:rPr>
                <w:color w:val="000000"/>
                <w:sz w:val="20"/>
                <w:szCs w:val="20"/>
              </w:rPr>
              <w:t>6</w:t>
            </w:r>
          </w:p>
        </w:tc>
        <w:tc>
          <w:tcPr>
            <w:tcW w:w="6300" w:type="dxa"/>
            <w:tcMar>
              <w:top w:w="80" w:type="dxa"/>
              <w:left w:w="100" w:type="dxa"/>
              <w:bottom w:w="80" w:type="dxa"/>
              <w:right w:w="100" w:type="dxa"/>
            </w:tcMar>
            <w:vAlign w:val="center"/>
          </w:tcPr>
          <w:p w14:paraId="4B1D182D" w14:textId="77777777" w:rsidR="00173171" w:rsidRDefault="00000000">
            <w:r>
              <w:rPr>
                <w:color w:val="000000"/>
                <w:sz w:val="20"/>
                <w:szCs w:val="20"/>
              </w:rPr>
              <w:t>¿El código maneja adecuadamente las excepciones y tiempos de espera en la comunicación con la pasarela de pagos?</w:t>
            </w:r>
          </w:p>
        </w:tc>
        <w:tc>
          <w:tcPr>
            <w:tcW w:w="1900" w:type="dxa"/>
            <w:tcMar>
              <w:top w:w="80" w:type="dxa"/>
              <w:left w:w="100" w:type="dxa"/>
              <w:bottom w:w="80" w:type="dxa"/>
              <w:right w:w="100" w:type="dxa"/>
            </w:tcMar>
            <w:vAlign w:val="center"/>
          </w:tcPr>
          <w:p w14:paraId="36355DE6" w14:textId="77777777" w:rsidR="00173171" w:rsidRDefault="00173171"/>
        </w:tc>
      </w:tr>
      <w:tr w:rsidR="00173171" w14:paraId="25544553" w14:textId="77777777">
        <w:tblPrEx>
          <w:tblCellMar>
            <w:top w:w="0" w:type="dxa"/>
            <w:bottom w:w="0" w:type="dxa"/>
          </w:tblCellMar>
        </w:tblPrEx>
        <w:tc>
          <w:tcPr>
            <w:tcW w:w="500" w:type="dxa"/>
            <w:tcMar>
              <w:top w:w="80" w:type="dxa"/>
              <w:left w:w="100" w:type="dxa"/>
              <w:bottom w:w="80" w:type="dxa"/>
              <w:right w:w="100" w:type="dxa"/>
            </w:tcMar>
            <w:vAlign w:val="center"/>
          </w:tcPr>
          <w:p w14:paraId="5A09A48D" w14:textId="77777777" w:rsidR="00173171" w:rsidRDefault="00000000">
            <w:pPr>
              <w:jc w:val="center"/>
            </w:pPr>
            <w:r>
              <w:rPr>
                <w:color w:val="000000"/>
                <w:sz w:val="20"/>
                <w:szCs w:val="20"/>
              </w:rPr>
              <w:t>7</w:t>
            </w:r>
          </w:p>
        </w:tc>
        <w:tc>
          <w:tcPr>
            <w:tcW w:w="6300" w:type="dxa"/>
            <w:tcMar>
              <w:top w:w="80" w:type="dxa"/>
              <w:left w:w="100" w:type="dxa"/>
              <w:bottom w:w="80" w:type="dxa"/>
              <w:right w:w="100" w:type="dxa"/>
            </w:tcMar>
            <w:vAlign w:val="center"/>
          </w:tcPr>
          <w:p w14:paraId="3EFAA1A5" w14:textId="77777777" w:rsidR="00173171" w:rsidRDefault="00000000">
            <w:r>
              <w:rPr>
                <w:color w:val="000000"/>
                <w:sz w:val="20"/>
                <w:szCs w:val="20"/>
              </w:rPr>
              <w:t>¿Existen pruebas de regresión automatizadas para los módulos modificados antes de cada liberación?</w:t>
            </w:r>
          </w:p>
        </w:tc>
        <w:tc>
          <w:tcPr>
            <w:tcW w:w="1900" w:type="dxa"/>
            <w:tcMar>
              <w:top w:w="80" w:type="dxa"/>
              <w:left w:w="100" w:type="dxa"/>
              <w:bottom w:w="80" w:type="dxa"/>
              <w:right w:w="100" w:type="dxa"/>
            </w:tcMar>
            <w:vAlign w:val="center"/>
          </w:tcPr>
          <w:p w14:paraId="30180A6A" w14:textId="77777777" w:rsidR="00173171" w:rsidRDefault="00173171"/>
        </w:tc>
      </w:tr>
      <w:tr w:rsidR="00173171" w14:paraId="35F2271D" w14:textId="77777777">
        <w:tblPrEx>
          <w:tblCellMar>
            <w:top w:w="0" w:type="dxa"/>
            <w:bottom w:w="0" w:type="dxa"/>
          </w:tblCellMar>
        </w:tblPrEx>
        <w:tc>
          <w:tcPr>
            <w:tcW w:w="500" w:type="dxa"/>
            <w:tcMar>
              <w:top w:w="80" w:type="dxa"/>
              <w:left w:w="100" w:type="dxa"/>
              <w:bottom w:w="80" w:type="dxa"/>
              <w:right w:w="100" w:type="dxa"/>
            </w:tcMar>
            <w:vAlign w:val="center"/>
          </w:tcPr>
          <w:p w14:paraId="2CF43933" w14:textId="77777777" w:rsidR="00173171" w:rsidRDefault="00000000">
            <w:pPr>
              <w:jc w:val="center"/>
            </w:pPr>
            <w:r>
              <w:rPr>
                <w:color w:val="000000"/>
                <w:sz w:val="20"/>
                <w:szCs w:val="20"/>
              </w:rPr>
              <w:t>8</w:t>
            </w:r>
          </w:p>
        </w:tc>
        <w:tc>
          <w:tcPr>
            <w:tcW w:w="6300" w:type="dxa"/>
            <w:tcMar>
              <w:top w:w="80" w:type="dxa"/>
              <w:left w:w="100" w:type="dxa"/>
              <w:bottom w:w="80" w:type="dxa"/>
              <w:right w:w="100" w:type="dxa"/>
            </w:tcMar>
            <w:vAlign w:val="center"/>
          </w:tcPr>
          <w:p w14:paraId="30432E46" w14:textId="77777777" w:rsidR="00173171" w:rsidRDefault="00000000">
            <w:r>
              <w:rPr>
                <w:color w:val="000000"/>
                <w:sz w:val="20"/>
                <w:szCs w:val="20"/>
              </w:rPr>
              <w:t>¿El sistema registra (</w:t>
            </w:r>
            <w:proofErr w:type="spellStart"/>
            <w:r>
              <w:rPr>
                <w:color w:val="000000"/>
                <w:sz w:val="20"/>
                <w:szCs w:val="20"/>
              </w:rPr>
              <w:t>logging</w:t>
            </w:r>
            <w:proofErr w:type="spellEnd"/>
            <w:r>
              <w:rPr>
                <w:color w:val="000000"/>
                <w:sz w:val="20"/>
                <w:szCs w:val="20"/>
              </w:rPr>
              <w:t>) las operaciones críticas de inventario y pagos con fines de auditoría?</w:t>
            </w:r>
          </w:p>
        </w:tc>
        <w:tc>
          <w:tcPr>
            <w:tcW w:w="1900" w:type="dxa"/>
            <w:tcMar>
              <w:top w:w="80" w:type="dxa"/>
              <w:left w:w="100" w:type="dxa"/>
              <w:bottom w:w="80" w:type="dxa"/>
              <w:right w:w="100" w:type="dxa"/>
            </w:tcMar>
            <w:vAlign w:val="center"/>
          </w:tcPr>
          <w:p w14:paraId="1C52F79E" w14:textId="77777777" w:rsidR="00173171" w:rsidRDefault="00173171"/>
        </w:tc>
      </w:tr>
      <w:tr w:rsidR="00173171" w14:paraId="627261EC" w14:textId="77777777">
        <w:tblPrEx>
          <w:tblCellMar>
            <w:top w:w="0" w:type="dxa"/>
            <w:bottom w:w="0" w:type="dxa"/>
          </w:tblCellMar>
        </w:tblPrEx>
        <w:tc>
          <w:tcPr>
            <w:tcW w:w="500" w:type="dxa"/>
            <w:tcMar>
              <w:top w:w="80" w:type="dxa"/>
              <w:left w:w="100" w:type="dxa"/>
              <w:bottom w:w="80" w:type="dxa"/>
              <w:right w:w="100" w:type="dxa"/>
            </w:tcMar>
            <w:vAlign w:val="center"/>
          </w:tcPr>
          <w:p w14:paraId="25D35EA6" w14:textId="77777777" w:rsidR="00173171" w:rsidRDefault="00000000">
            <w:pPr>
              <w:jc w:val="center"/>
            </w:pPr>
            <w:r>
              <w:rPr>
                <w:color w:val="000000"/>
                <w:sz w:val="20"/>
                <w:szCs w:val="20"/>
              </w:rPr>
              <w:t>9</w:t>
            </w:r>
          </w:p>
        </w:tc>
        <w:tc>
          <w:tcPr>
            <w:tcW w:w="6300" w:type="dxa"/>
            <w:tcMar>
              <w:top w:w="80" w:type="dxa"/>
              <w:left w:w="100" w:type="dxa"/>
              <w:bottom w:w="80" w:type="dxa"/>
              <w:right w:w="100" w:type="dxa"/>
            </w:tcMar>
            <w:vAlign w:val="center"/>
          </w:tcPr>
          <w:p w14:paraId="38E2DB59" w14:textId="77777777" w:rsidR="00173171" w:rsidRDefault="00000000">
            <w:r>
              <w:rPr>
                <w:color w:val="000000"/>
                <w:sz w:val="20"/>
                <w:szCs w:val="20"/>
              </w:rPr>
              <w:t>¿Se realizaron pruebas de carga que confirmen el cumplimiento del tiempo de respuesta definido en los requisitos no funcionales?</w:t>
            </w:r>
          </w:p>
        </w:tc>
        <w:tc>
          <w:tcPr>
            <w:tcW w:w="1900" w:type="dxa"/>
            <w:tcMar>
              <w:top w:w="80" w:type="dxa"/>
              <w:left w:w="100" w:type="dxa"/>
              <w:bottom w:w="80" w:type="dxa"/>
              <w:right w:w="100" w:type="dxa"/>
            </w:tcMar>
            <w:vAlign w:val="center"/>
          </w:tcPr>
          <w:p w14:paraId="7205C563" w14:textId="77777777" w:rsidR="00173171" w:rsidRDefault="00173171"/>
        </w:tc>
      </w:tr>
      <w:tr w:rsidR="00173171" w14:paraId="3D6E422D" w14:textId="77777777">
        <w:tblPrEx>
          <w:tblCellMar>
            <w:top w:w="0" w:type="dxa"/>
            <w:bottom w:w="0" w:type="dxa"/>
          </w:tblCellMar>
        </w:tblPrEx>
        <w:tc>
          <w:tcPr>
            <w:tcW w:w="500" w:type="dxa"/>
            <w:tcMar>
              <w:top w:w="80" w:type="dxa"/>
              <w:left w:w="100" w:type="dxa"/>
              <w:bottom w:w="80" w:type="dxa"/>
              <w:right w:w="100" w:type="dxa"/>
            </w:tcMar>
            <w:vAlign w:val="center"/>
          </w:tcPr>
          <w:p w14:paraId="5923776B" w14:textId="77777777" w:rsidR="00173171" w:rsidRDefault="00000000">
            <w:pPr>
              <w:jc w:val="center"/>
            </w:pPr>
            <w:r>
              <w:rPr>
                <w:color w:val="000000"/>
                <w:sz w:val="20"/>
                <w:szCs w:val="20"/>
              </w:rPr>
              <w:t>10</w:t>
            </w:r>
          </w:p>
        </w:tc>
        <w:tc>
          <w:tcPr>
            <w:tcW w:w="6300" w:type="dxa"/>
            <w:tcMar>
              <w:top w:w="80" w:type="dxa"/>
              <w:left w:w="100" w:type="dxa"/>
              <w:bottom w:w="80" w:type="dxa"/>
              <w:right w:w="100" w:type="dxa"/>
            </w:tcMar>
            <w:vAlign w:val="center"/>
          </w:tcPr>
          <w:p w14:paraId="40A93829" w14:textId="77777777" w:rsidR="00173171" w:rsidRDefault="00000000">
            <w:r>
              <w:rPr>
                <w:color w:val="000000"/>
                <w:sz w:val="20"/>
                <w:szCs w:val="20"/>
              </w:rPr>
              <w:t>¿El panel administrativo exige autenticación reforzada (por ejemplo, doble factor) para operaciones sensibles de inventario y precios?</w:t>
            </w:r>
          </w:p>
        </w:tc>
        <w:tc>
          <w:tcPr>
            <w:tcW w:w="1900" w:type="dxa"/>
            <w:tcMar>
              <w:top w:w="80" w:type="dxa"/>
              <w:left w:w="100" w:type="dxa"/>
              <w:bottom w:w="80" w:type="dxa"/>
              <w:right w:w="100" w:type="dxa"/>
            </w:tcMar>
            <w:vAlign w:val="center"/>
          </w:tcPr>
          <w:p w14:paraId="36DC5323" w14:textId="77777777" w:rsidR="00173171" w:rsidRDefault="00173171"/>
        </w:tc>
      </w:tr>
      <w:tr w:rsidR="00173171" w14:paraId="13A5C58C" w14:textId="77777777">
        <w:tblPrEx>
          <w:tblCellMar>
            <w:top w:w="0" w:type="dxa"/>
            <w:bottom w:w="0" w:type="dxa"/>
          </w:tblCellMar>
        </w:tblPrEx>
        <w:tc>
          <w:tcPr>
            <w:tcW w:w="500" w:type="dxa"/>
            <w:tcMar>
              <w:top w:w="80" w:type="dxa"/>
              <w:left w:w="100" w:type="dxa"/>
              <w:bottom w:w="80" w:type="dxa"/>
              <w:right w:w="100" w:type="dxa"/>
            </w:tcMar>
            <w:vAlign w:val="center"/>
          </w:tcPr>
          <w:p w14:paraId="49ED97BB" w14:textId="77777777" w:rsidR="00173171" w:rsidRDefault="00000000">
            <w:pPr>
              <w:jc w:val="center"/>
            </w:pPr>
            <w:r>
              <w:rPr>
                <w:color w:val="000000"/>
                <w:sz w:val="20"/>
                <w:szCs w:val="20"/>
              </w:rPr>
              <w:t>11</w:t>
            </w:r>
          </w:p>
        </w:tc>
        <w:tc>
          <w:tcPr>
            <w:tcW w:w="6300" w:type="dxa"/>
            <w:tcMar>
              <w:top w:w="80" w:type="dxa"/>
              <w:left w:w="100" w:type="dxa"/>
              <w:bottom w:w="80" w:type="dxa"/>
              <w:right w:w="100" w:type="dxa"/>
            </w:tcMar>
            <w:vAlign w:val="center"/>
          </w:tcPr>
          <w:p w14:paraId="3AE2C38A" w14:textId="77777777" w:rsidR="00173171" w:rsidRDefault="00000000">
            <w:r>
              <w:rPr>
                <w:color w:val="000000"/>
                <w:sz w:val="20"/>
                <w:szCs w:val="20"/>
              </w:rPr>
              <w:t>¿Los cambios aprobados en el control de cambios cuentan con evidencia de pruebas asociadas antes de pasar a producción?</w:t>
            </w:r>
          </w:p>
        </w:tc>
        <w:tc>
          <w:tcPr>
            <w:tcW w:w="1900" w:type="dxa"/>
            <w:tcMar>
              <w:top w:w="80" w:type="dxa"/>
              <w:left w:w="100" w:type="dxa"/>
              <w:bottom w:w="80" w:type="dxa"/>
              <w:right w:w="100" w:type="dxa"/>
            </w:tcMar>
            <w:vAlign w:val="center"/>
          </w:tcPr>
          <w:p w14:paraId="28746079" w14:textId="77777777" w:rsidR="00173171" w:rsidRDefault="00173171"/>
        </w:tc>
      </w:tr>
      <w:tr w:rsidR="00173171" w14:paraId="3511F7A7" w14:textId="77777777">
        <w:tblPrEx>
          <w:tblCellMar>
            <w:top w:w="0" w:type="dxa"/>
            <w:bottom w:w="0" w:type="dxa"/>
          </w:tblCellMar>
        </w:tblPrEx>
        <w:tc>
          <w:tcPr>
            <w:tcW w:w="500" w:type="dxa"/>
            <w:tcMar>
              <w:top w:w="80" w:type="dxa"/>
              <w:left w:w="100" w:type="dxa"/>
              <w:bottom w:w="80" w:type="dxa"/>
              <w:right w:w="100" w:type="dxa"/>
            </w:tcMar>
            <w:vAlign w:val="center"/>
          </w:tcPr>
          <w:p w14:paraId="59983931" w14:textId="77777777" w:rsidR="00173171" w:rsidRDefault="00000000">
            <w:pPr>
              <w:jc w:val="center"/>
            </w:pPr>
            <w:r>
              <w:rPr>
                <w:color w:val="000000"/>
                <w:sz w:val="20"/>
                <w:szCs w:val="20"/>
              </w:rPr>
              <w:t>12</w:t>
            </w:r>
          </w:p>
        </w:tc>
        <w:tc>
          <w:tcPr>
            <w:tcW w:w="6300" w:type="dxa"/>
            <w:tcMar>
              <w:top w:w="80" w:type="dxa"/>
              <w:left w:w="100" w:type="dxa"/>
              <w:bottom w:w="80" w:type="dxa"/>
              <w:right w:w="100" w:type="dxa"/>
            </w:tcMar>
            <w:vAlign w:val="center"/>
          </w:tcPr>
          <w:p w14:paraId="3FD6E285" w14:textId="77777777" w:rsidR="00173171" w:rsidRDefault="00000000">
            <w:r>
              <w:rPr>
                <w:color w:val="000000"/>
                <w:sz w:val="20"/>
                <w:szCs w:val="20"/>
              </w:rPr>
              <w:t>¿El sistema informa al usuario de manera clara y oportuna ante errores en el proceso de pago, sin exponer información técnica sensible?</w:t>
            </w:r>
          </w:p>
        </w:tc>
        <w:tc>
          <w:tcPr>
            <w:tcW w:w="1900" w:type="dxa"/>
            <w:tcMar>
              <w:top w:w="80" w:type="dxa"/>
              <w:left w:w="100" w:type="dxa"/>
              <w:bottom w:w="80" w:type="dxa"/>
              <w:right w:w="100" w:type="dxa"/>
            </w:tcMar>
            <w:vAlign w:val="center"/>
          </w:tcPr>
          <w:p w14:paraId="31BCDA5D" w14:textId="77777777" w:rsidR="00173171" w:rsidRDefault="00173171"/>
        </w:tc>
      </w:tr>
    </w:tbl>
    <w:p w14:paraId="0D56A1A8" w14:textId="77777777" w:rsidR="00173171" w:rsidRDefault="00173171">
      <w:pPr>
        <w:spacing w:before="300"/>
      </w:pPr>
    </w:p>
    <w:p w14:paraId="4F84514B" w14:textId="77777777" w:rsidR="00173171" w:rsidRDefault="00000000">
      <w:pPr>
        <w:pStyle w:val="Ttulo1"/>
        <w:spacing w:before="400" w:after="200"/>
      </w:pPr>
      <w:r>
        <w:rPr>
          <w:b/>
          <w:bCs/>
          <w:color w:val="1F3864"/>
          <w:sz w:val="28"/>
          <w:szCs w:val="28"/>
        </w:rPr>
        <w:t>7. Plan de auditoría</w:t>
      </w:r>
    </w:p>
    <w:p w14:paraId="222F8AFB" w14:textId="77777777" w:rsidR="00173171" w:rsidRDefault="00000000">
      <w:pPr>
        <w:pStyle w:val="Ttulo2"/>
        <w:spacing w:before="300" w:after="150"/>
      </w:pPr>
      <w:r>
        <w:rPr>
          <w:b/>
          <w:bCs/>
          <w:color w:val="1F3864"/>
          <w:sz w:val="24"/>
          <w:szCs w:val="24"/>
        </w:rPr>
        <w:t>7.1 Objetivo</w:t>
      </w:r>
    </w:p>
    <w:p w14:paraId="14F385C5" w14:textId="77777777" w:rsidR="00173171" w:rsidRDefault="00000000">
      <w:pPr>
        <w:spacing w:after="180" w:line="300" w:lineRule="auto"/>
        <w:jc w:val="both"/>
      </w:pPr>
      <w:r>
        <w:t xml:space="preserve">Verificar, mediante evidencia objetiva, que la plataforma </w:t>
      </w:r>
      <w:proofErr w:type="spellStart"/>
      <w:r>
        <w:t>TiendaExpress</w:t>
      </w:r>
      <w:proofErr w:type="spellEnd"/>
      <w:r>
        <w:t xml:space="preserve"> cumple con los requisitos de seguridad, desempeño y protección de datos personales establecidos antes de su liberación a producción, e identificar las no conformidades que deban subsanarse.</w:t>
      </w:r>
    </w:p>
    <w:p w14:paraId="5D5F8E16" w14:textId="77777777" w:rsidR="00173171" w:rsidRDefault="00000000">
      <w:pPr>
        <w:pStyle w:val="Ttulo2"/>
        <w:spacing w:before="300" w:after="150"/>
      </w:pPr>
      <w:r>
        <w:rPr>
          <w:b/>
          <w:bCs/>
          <w:color w:val="1F3864"/>
          <w:sz w:val="24"/>
          <w:szCs w:val="24"/>
        </w:rPr>
        <w:lastRenderedPageBreak/>
        <w:t>7.2 Alcance</w:t>
      </w:r>
    </w:p>
    <w:p w14:paraId="35DAD2AF" w14:textId="77777777" w:rsidR="00173171" w:rsidRDefault="00000000">
      <w:pPr>
        <w:spacing w:after="180" w:line="300" w:lineRule="auto"/>
        <w:jc w:val="both"/>
      </w:pPr>
      <w:r>
        <w:t xml:space="preserve">La auditoría cubre los módulos de autenticación, </w:t>
      </w:r>
      <w:proofErr w:type="spellStart"/>
      <w:r>
        <w:t>checkout</w:t>
      </w:r>
      <w:proofErr w:type="spellEnd"/>
      <w:r>
        <w:t xml:space="preserve"> y pagos, gestión de inventario y panel administrativo de la versión 3.0. Incluye la revisión del código fuente relevante, la configuración de los ambientes de prueba y producción, y los resultados de las pruebas de seguridad, carga y funcionales realizadas hasta la fecha. Quedan fuera del alcance los módulos de recomendación de productos y de reseñas, por no presentar hallazgos críticos.</w:t>
      </w:r>
    </w:p>
    <w:p w14:paraId="26D1649C" w14:textId="77777777" w:rsidR="00173171" w:rsidRDefault="00000000">
      <w:pPr>
        <w:pStyle w:val="Ttulo2"/>
        <w:spacing w:before="300" w:after="150"/>
      </w:pPr>
      <w:r>
        <w:rPr>
          <w:b/>
          <w:bCs/>
          <w:color w:val="1F3864"/>
          <w:sz w:val="24"/>
          <w:szCs w:val="24"/>
        </w:rPr>
        <w:t>7.3 Criterios de auditoría</w:t>
      </w:r>
    </w:p>
    <w:p w14:paraId="4A0D70C4" w14:textId="77777777" w:rsidR="00173171" w:rsidRDefault="00000000">
      <w:pPr>
        <w:pStyle w:val="Prrafodelista"/>
        <w:numPr>
          <w:ilvl w:val="0"/>
          <w:numId w:val="2"/>
        </w:numPr>
        <w:spacing w:after="100" w:line="300" w:lineRule="auto"/>
        <w:jc w:val="both"/>
      </w:pPr>
      <w:r>
        <w:t>Estándar ISO/IEC 25010, en particular las características de seguridad, fiabilidad y eficiencia de desempeño.</w:t>
      </w:r>
    </w:p>
    <w:p w14:paraId="00ABDC9C" w14:textId="77777777" w:rsidR="00173171" w:rsidRDefault="00000000">
      <w:pPr>
        <w:pStyle w:val="Prrafodelista"/>
        <w:numPr>
          <w:ilvl w:val="0"/>
          <w:numId w:val="2"/>
        </w:numPr>
        <w:spacing w:after="100" w:line="300" w:lineRule="auto"/>
        <w:jc w:val="both"/>
      </w:pPr>
      <w:r>
        <w:t>Requisitos no funcionales internos del proyecto (RNF-02 y RNF-04).</w:t>
      </w:r>
    </w:p>
    <w:p w14:paraId="5C3AF222" w14:textId="77777777" w:rsidR="00173171" w:rsidRDefault="00000000">
      <w:pPr>
        <w:pStyle w:val="Prrafodelista"/>
        <w:numPr>
          <w:ilvl w:val="0"/>
          <w:numId w:val="2"/>
        </w:numPr>
        <w:spacing w:after="100" w:line="300" w:lineRule="auto"/>
        <w:jc w:val="both"/>
      </w:pPr>
      <w:r>
        <w:t>Estándar PCI DSS para el manejo de datos de tarjetas de pago.</w:t>
      </w:r>
    </w:p>
    <w:p w14:paraId="5C67FBA9" w14:textId="77777777" w:rsidR="00173171" w:rsidRDefault="00000000">
      <w:pPr>
        <w:pStyle w:val="Prrafodelista"/>
        <w:numPr>
          <w:ilvl w:val="0"/>
          <w:numId w:val="2"/>
        </w:numPr>
        <w:spacing w:after="100" w:line="300" w:lineRule="auto"/>
        <w:jc w:val="both"/>
      </w:pPr>
      <w:r>
        <w:t>Ley 1581 de 2012 de protección de datos personales en Colombia.</w:t>
      </w:r>
    </w:p>
    <w:p w14:paraId="1C2E6A9F" w14:textId="77777777" w:rsidR="00173171" w:rsidRDefault="00000000">
      <w:pPr>
        <w:pStyle w:val="Prrafodelista"/>
        <w:numPr>
          <w:ilvl w:val="0"/>
          <w:numId w:val="2"/>
        </w:numPr>
        <w:spacing w:after="100" w:line="300" w:lineRule="auto"/>
        <w:jc w:val="both"/>
      </w:pPr>
      <w:r>
        <w:t>Buenas prácticas de seguridad OWASP Top 10 para aplicaciones web.</w:t>
      </w:r>
    </w:p>
    <w:p w14:paraId="3BBD22A4" w14:textId="77777777" w:rsidR="00173171" w:rsidRDefault="00000000">
      <w:pPr>
        <w:pStyle w:val="Ttulo2"/>
        <w:spacing w:before="300" w:after="150"/>
      </w:pPr>
      <w:r>
        <w:rPr>
          <w:b/>
          <w:bCs/>
          <w:color w:val="1F3864"/>
          <w:sz w:val="24"/>
          <w:szCs w:val="24"/>
        </w:rPr>
        <w:t>7.4 Evidencias a recolectar</w:t>
      </w:r>
    </w:p>
    <w:p w14:paraId="61E6AEFD" w14:textId="77777777" w:rsidR="00173171" w:rsidRDefault="00000000">
      <w:pPr>
        <w:pStyle w:val="Prrafodelista"/>
        <w:numPr>
          <w:ilvl w:val="0"/>
          <w:numId w:val="2"/>
        </w:numPr>
        <w:spacing w:after="100" w:line="300" w:lineRule="auto"/>
        <w:jc w:val="both"/>
      </w:pPr>
      <w:r>
        <w:t xml:space="preserve">Resultados de las pruebas de seguridad, carga y </w:t>
      </w:r>
      <w:proofErr w:type="gramStart"/>
      <w:r>
        <w:t>regresión ya ejecutadas</w:t>
      </w:r>
      <w:proofErr w:type="gramEnd"/>
      <w:r>
        <w:t>, y de las que se ejecuten durante la auditoría.</w:t>
      </w:r>
    </w:p>
    <w:p w14:paraId="69D40FB3" w14:textId="77777777" w:rsidR="00173171" w:rsidRDefault="00000000">
      <w:pPr>
        <w:pStyle w:val="Prrafodelista"/>
        <w:numPr>
          <w:ilvl w:val="0"/>
          <w:numId w:val="2"/>
        </w:numPr>
        <w:spacing w:after="100" w:line="300" w:lineRule="auto"/>
        <w:jc w:val="both"/>
      </w:pPr>
      <w:r>
        <w:t>Extractos de código fuente de los módulos de autenticación y pagos, sujetos a revisión.</w:t>
      </w:r>
    </w:p>
    <w:p w14:paraId="076B4688" w14:textId="77777777" w:rsidR="00173171" w:rsidRDefault="00000000">
      <w:pPr>
        <w:pStyle w:val="Prrafodelista"/>
        <w:numPr>
          <w:ilvl w:val="0"/>
          <w:numId w:val="2"/>
        </w:numPr>
        <w:spacing w:after="100" w:line="300" w:lineRule="auto"/>
        <w:jc w:val="both"/>
      </w:pPr>
      <w:r>
        <w:t>Bitácora de incidencias y registro de control de cambios correspondientes al periodo evaluado.</w:t>
      </w:r>
    </w:p>
    <w:p w14:paraId="397D9697" w14:textId="77777777" w:rsidR="00173171" w:rsidRDefault="00000000">
      <w:pPr>
        <w:pStyle w:val="Prrafodelista"/>
        <w:numPr>
          <w:ilvl w:val="0"/>
          <w:numId w:val="2"/>
        </w:numPr>
        <w:spacing w:after="100" w:line="300" w:lineRule="auto"/>
        <w:jc w:val="both"/>
      </w:pPr>
      <w:r>
        <w:t>Configuración de cifrado y de manejo de sesiones en los ambientes de prueba y producción.</w:t>
      </w:r>
    </w:p>
    <w:p w14:paraId="2206E7C3" w14:textId="77777777" w:rsidR="00173171" w:rsidRDefault="00000000">
      <w:pPr>
        <w:pStyle w:val="Prrafodelista"/>
        <w:numPr>
          <w:ilvl w:val="0"/>
          <w:numId w:val="2"/>
        </w:numPr>
        <w:spacing w:after="100" w:line="300" w:lineRule="auto"/>
        <w:jc w:val="both"/>
      </w:pPr>
      <w:r>
        <w:t>Actas de las reuniones de revisión técnica y de las inspecciones realizadas.</w:t>
      </w:r>
    </w:p>
    <w:p w14:paraId="7DF5F38F" w14:textId="77777777" w:rsidR="00173171" w:rsidRDefault="00000000">
      <w:pPr>
        <w:spacing w:after="180" w:line="300" w:lineRule="auto"/>
        <w:jc w:val="both"/>
      </w:pPr>
      <w:r>
        <w:t xml:space="preserve">El plan de auditoría se ejecutará antes de la fecha límite de liberación de la versión 3.0, y sus hallazgos deberán quedar formalmente documentados en un informe dirigido al </w:t>
      </w:r>
      <w:proofErr w:type="spellStart"/>
      <w:r>
        <w:t>Product</w:t>
      </w:r>
      <w:proofErr w:type="spellEnd"/>
      <w:r>
        <w:t xml:space="preserve"> Owner y al equipo de desarrollo, con responsables y plazos definidos para cada no conformidad.</w:t>
      </w:r>
    </w:p>
    <w:p w14:paraId="5F8DBF57" w14:textId="77777777" w:rsidR="00173171" w:rsidRDefault="00000000">
      <w:r>
        <w:br w:type="page"/>
      </w:r>
    </w:p>
    <w:p w14:paraId="5BF25953" w14:textId="77777777" w:rsidR="00173171" w:rsidRDefault="00000000">
      <w:pPr>
        <w:pStyle w:val="Ttulo1"/>
        <w:spacing w:before="400" w:after="200"/>
      </w:pPr>
      <w:r>
        <w:rPr>
          <w:b/>
          <w:bCs/>
          <w:color w:val="1F3864"/>
          <w:sz w:val="28"/>
          <w:szCs w:val="28"/>
        </w:rPr>
        <w:lastRenderedPageBreak/>
        <w:t>8. Estándar aplicado: ISO/IEC 25010</w:t>
      </w:r>
    </w:p>
    <w:p w14:paraId="7B59B47E" w14:textId="77777777" w:rsidR="00173171" w:rsidRDefault="00000000">
      <w:pPr>
        <w:spacing w:after="180" w:line="300" w:lineRule="auto"/>
        <w:jc w:val="both"/>
      </w:pPr>
      <w:r>
        <w:t xml:space="preserve">Para estructurar la evaluación de calidad de </w:t>
      </w:r>
      <w:proofErr w:type="spellStart"/>
      <w:r>
        <w:t>TiendaExpress</w:t>
      </w:r>
      <w:proofErr w:type="spellEnd"/>
      <w:r>
        <w:t xml:space="preserve"> se seleccionó el estándar ISO/IEC 25010, que define un modelo de características de calidad del producto de software. A </w:t>
      </w:r>
      <w:proofErr w:type="gramStart"/>
      <w:r>
        <w:t>continuación</w:t>
      </w:r>
      <w:proofErr w:type="gramEnd"/>
      <w:r>
        <w:t xml:space="preserve"> se aplican al caso las características más relevantes según los hallazgos identificados:</w:t>
      </w:r>
    </w:p>
    <w:p w14:paraId="3B6E42D4" w14:textId="77777777" w:rsidR="00173171" w:rsidRDefault="00000000">
      <w:pPr>
        <w:spacing w:after="180" w:line="300" w:lineRule="auto"/>
        <w:jc w:val="both"/>
      </w:pPr>
      <w:r>
        <w:rPr>
          <w:b/>
          <w:bCs/>
        </w:rPr>
        <w:t xml:space="preserve">Seguridad: </w:t>
      </w:r>
      <w:r>
        <w:t>Comprende la confidencialidad, integridad, no repudio, responsabilidad y autenticidad. Se relaciona directamente con los hallazgos 1, 2 y 3 (XSS, gestión de sesiones y cifrado de datos de tarjetas), que evidencian debilidades en la confidencialidad y la autenticidad del sistema.</w:t>
      </w:r>
    </w:p>
    <w:p w14:paraId="10069F01" w14:textId="77777777" w:rsidR="00173171" w:rsidRDefault="00000000">
      <w:pPr>
        <w:spacing w:after="180" w:line="300" w:lineRule="auto"/>
        <w:jc w:val="both"/>
      </w:pPr>
      <w:r>
        <w:rPr>
          <w:b/>
          <w:bCs/>
        </w:rPr>
        <w:t xml:space="preserve">Fiabilidad: </w:t>
      </w:r>
      <w:r>
        <w:t>Incluye madurez, disponibilidad, tolerancia a fallos y capacidad de recuperación. Los incidentes INC-014 e INC-018 (</w:t>
      </w:r>
      <w:proofErr w:type="spellStart"/>
      <w:r>
        <w:t>timeouts</w:t>
      </w:r>
      <w:proofErr w:type="spellEnd"/>
      <w:r>
        <w:t xml:space="preserve"> y errores 500 en el </w:t>
      </w:r>
      <w:proofErr w:type="spellStart"/>
      <w:r>
        <w:t>checkout</w:t>
      </w:r>
      <w:proofErr w:type="spellEnd"/>
      <w:r>
        <w:t>) muestran una madurez insuficiente del módulo de pagos frente a condiciones reales de operación.</w:t>
      </w:r>
    </w:p>
    <w:p w14:paraId="690E90A0" w14:textId="77777777" w:rsidR="00173171" w:rsidRDefault="00000000">
      <w:pPr>
        <w:spacing w:after="180" w:line="300" w:lineRule="auto"/>
        <w:jc w:val="both"/>
      </w:pPr>
      <w:r>
        <w:rPr>
          <w:b/>
          <w:bCs/>
        </w:rPr>
        <w:t xml:space="preserve">Eficiencia de desempeño: </w:t>
      </w:r>
      <w:r>
        <w:t>Se refiere al comportamiento temporal, la utilización de recursos y la capacidad del sistema. El resultado de 4,8 segundos de respuesta bajo carga, frente al límite de 2 segundos, constituye un incumplimiento directo de esta característica.</w:t>
      </w:r>
    </w:p>
    <w:p w14:paraId="6ECF2ADB" w14:textId="77777777" w:rsidR="00173171" w:rsidRDefault="00000000">
      <w:pPr>
        <w:spacing w:after="180" w:line="300" w:lineRule="auto"/>
        <w:jc w:val="both"/>
      </w:pPr>
      <w:r>
        <w:rPr>
          <w:b/>
          <w:bCs/>
        </w:rPr>
        <w:t xml:space="preserve">Compatibilidad: </w:t>
      </w:r>
      <w:r>
        <w:t>Evalúa la interoperabilidad del sistema con otros componentes, en este caso con la pasarela de pagos externa; los errores intermitentes reportados en INC-018 sugieren un problema de interoperabilidad que debe revisarse conjuntamente con el proveedor.</w:t>
      </w:r>
    </w:p>
    <w:p w14:paraId="1CAC0082" w14:textId="77777777" w:rsidR="00173171" w:rsidRDefault="00000000">
      <w:pPr>
        <w:spacing w:after="180" w:line="300" w:lineRule="auto"/>
        <w:jc w:val="both"/>
      </w:pPr>
      <w:r>
        <w:rPr>
          <w:b/>
          <w:bCs/>
        </w:rPr>
        <w:t xml:space="preserve">Mantenibilidad: </w:t>
      </w:r>
      <w:r>
        <w:t>Incluye modularidad, capacidad de prueba y capacidad de análisis. La ausencia de pruebas de regresión completas en el módulo de pagos (CC-101) indica una debilidad en la capacidad de prueba del sistema.</w:t>
      </w:r>
    </w:p>
    <w:p w14:paraId="0D9C32E7" w14:textId="77777777" w:rsidR="00173171" w:rsidRDefault="00000000">
      <w:pPr>
        <w:spacing w:after="180" w:line="300" w:lineRule="auto"/>
        <w:jc w:val="both"/>
      </w:pPr>
      <w:r>
        <w:rPr>
          <w:b/>
          <w:bCs/>
        </w:rPr>
        <w:t xml:space="preserve">Usabilidad: </w:t>
      </w:r>
      <w:r>
        <w:t>Aunque no se identificaron hallazgos críticos de usabilidad en la evidencia disponible, se recomienda incluirla en las pruebas de validación del módulo de fidelización, dado que es una funcionalidad nueva orientada directamente al usuario final.</w:t>
      </w:r>
    </w:p>
    <w:p w14:paraId="3C5979D2" w14:textId="77777777" w:rsidR="00173171" w:rsidRDefault="00000000">
      <w:pPr>
        <w:spacing w:after="180" w:line="300" w:lineRule="auto"/>
        <w:jc w:val="both"/>
      </w:pPr>
      <w:r>
        <w:t>La aplicación de ISO/IEC 25010 permite traducir hallazgos puntuales en un lenguaje de calidad reconocido internacionalmente, lo que facilita la comunicación con la gerencia y la priorización de esfuerzos de remediación antes de la liberación.</w:t>
      </w:r>
    </w:p>
    <w:p w14:paraId="4FA34614" w14:textId="77777777" w:rsidR="00173171" w:rsidRDefault="00000000">
      <w:r>
        <w:br w:type="page"/>
      </w:r>
    </w:p>
    <w:p w14:paraId="45C45078" w14:textId="77777777" w:rsidR="00173171" w:rsidRDefault="00000000">
      <w:pPr>
        <w:pStyle w:val="Ttulo1"/>
        <w:spacing w:before="400" w:after="200"/>
      </w:pPr>
      <w:r>
        <w:rPr>
          <w:b/>
          <w:bCs/>
          <w:color w:val="1F3864"/>
          <w:sz w:val="28"/>
          <w:szCs w:val="28"/>
        </w:rPr>
        <w:lastRenderedPageBreak/>
        <w:t>9. Métricas de calidad definidas</w:t>
      </w:r>
    </w:p>
    <w:p w14:paraId="174FF851" w14:textId="77777777" w:rsidR="00173171" w:rsidRDefault="00000000">
      <w:pPr>
        <w:spacing w:after="180" w:line="300" w:lineRule="auto"/>
        <w:jc w:val="both"/>
      </w:pPr>
      <w:r>
        <w:t xml:space="preserve">Las siguientes métricas permiten cuantificar el estado de calidad de </w:t>
      </w:r>
      <w:proofErr w:type="spellStart"/>
      <w:r>
        <w:t>TiendaExpress</w:t>
      </w:r>
      <w:proofErr w:type="spellEnd"/>
      <w:r>
        <w:t xml:space="preserve"> y dar seguimiento objetivo a la remediación de los hallazgos identificados:</w:t>
      </w:r>
    </w:p>
    <w:tbl>
      <w:tblPr>
        <w:tblW w:w="8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3600"/>
        <w:gridCol w:w="3000"/>
      </w:tblGrid>
      <w:tr w:rsidR="00173171" w14:paraId="2195282E" w14:textId="77777777">
        <w:tblPrEx>
          <w:tblCellMar>
            <w:top w:w="0" w:type="dxa"/>
            <w:bottom w:w="0" w:type="dxa"/>
          </w:tblCellMar>
        </w:tblPrEx>
        <w:tc>
          <w:tcPr>
            <w:tcW w:w="2100" w:type="dxa"/>
            <w:shd w:val="clear" w:color="auto" w:fill="1F3864"/>
            <w:tcMar>
              <w:top w:w="80" w:type="dxa"/>
              <w:left w:w="100" w:type="dxa"/>
              <w:bottom w:w="80" w:type="dxa"/>
              <w:right w:w="100" w:type="dxa"/>
            </w:tcMar>
            <w:vAlign w:val="center"/>
          </w:tcPr>
          <w:p w14:paraId="71F60467" w14:textId="77777777" w:rsidR="00173171" w:rsidRDefault="00000000">
            <w:r>
              <w:rPr>
                <w:b/>
                <w:bCs/>
                <w:color w:val="FFFFFF"/>
                <w:sz w:val="20"/>
                <w:szCs w:val="20"/>
              </w:rPr>
              <w:t>Métrica</w:t>
            </w:r>
          </w:p>
        </w:tc>
        <w:tc>
          <w:tcPr>
            <w:tcW w:w="3600" w:type="dxa"/>
            <w:shd w:val="clear" w:color="auto" w:fill="1F3864"/>
            <w:tcMar>
              <w:top w:w="80" w:type="dxa"/>
              <w:left w:w="100" w:type="dxa"/>
              <w:bottom w:w="80" w:type="dxa"/>
              <w:right w:w="100" w:type="dxa"/>
            </w:tcMar>
            <w:vAlign w:val="center"/>
          </w:tcPr>
          <w:p w14:paraId="0613E07A" w14:textId="77777777" w:rsidR="00173171" w:rsidRDefault="00000000">
            <w:r>
              <w:rPr>
                <w:b/>
                <w:bCs/>
                <w:color w:val="FFFFFF"/>
                <w:sz w:val="20"/>
                <w:szCs w:val="20"/>
              </w:rPr>
              <w:t>Fórmula / forma de medición</w:t>
            </w:r>
          </w:p>
        </w:tc>
        <w:tc>
          <w:tcPr>
            <w:tcW w:w="3000" w:type="dxa"/>
            <w:shd w:val="clear" w:color="auto" w:fill="1F3864"/>
            <w:tcMar>
              <w:top w:w="80" w:type="dxa"/>
              <w:left w:w="100" w:type="dxa"/>
              <w:bottom w:w="80" w:type="dxa"/>
              <w:right w:w="100" w:type="dxa"/>
            </w:tcMar>
            <w:vAlign w:val="center"/>
          </w:tcPr>
          <w:p w14:paraId="439761F1" w14:textId="77777777" w:rsidR="00173171" w:rsidRDefault="00000000">
            <w:r>
              <w:rPr>
                <w:b/>
                <w:bCs/>
                <w:color w:val="FFFFFF"/>
                <w:sz w:val="20"/>
                <w:szCs w:val="20"/>
              </w:rPr>
              <w:t>Criterio de aceptación</w:t>
            </w:r>
          </w:p>
        </w:tc>
      </w:tr>
      <w:tr w:rsidR="00173171" w14:paraId="7954EEEE" w14:textId="77777777">
        <w:tblPrEx>
          <w:tblCellMar>
            <w:top w:w="0" w:type="dxa"/>
            <w:bottom w:w="0" w:type="dxa"/>
          </w:tblCellMar>
        </w:tblPrEx>
        <w:tc>
          <w:tcPr>
            <w:tcW w:w="2100" w:type="dxa"/>
            <w:tcMar>
              <w:top w:w="80" w:type="dxa"/>
              <w:left w:w="100" w:type="dxa"/>
              <w:bottom w:w="80" w:type="dxa"/>
              <w:right w:w="100" w:type="dxa"/>
            </w:tcMar>
            <w:vAlign w:val="center"/>
          </w:tcPr>
          <w:p w14:paraId="72332714" w14:textId="77777777" w:rsidR="00173171" w:rsidRDefault="00000000">
            <w:r>
              <w:rPr>
                <w:b/>
                <w:bCs/>
                <w:color w:val="000000"/>
                <w:sz w:val="20"/>
                <w:szCs w:val="20"/>
              </w:rPr>
              <w:t>Densidad de defectos</w:t>
            </w:r>
          </w:p>
        </w:tc>
        <w:tc>
          <w:tcPr>
            <w:tcW w:w="3600" w:type="dxa"/>
            <w:tcMar>
              <w:top w:w="80" w:type="dxa"/>
              <w:left w:w="100" w:type="dxa"/>
              <w:bottom w:w="80" w:type="dxa"/>
              <w:right w:w="100" w:type="dxa"/>
            </w:tcMar>
            <w:vAlign w:val="center"/>
          </w:tcPr>
          <w:p w14:paraId="2F6F1736" w14:textId="77777777" w:rsidR="00173171" w:rsidRDefault="00000000">
            <w:r>
              <w:rPr>
                <w:color w:val="000000"/>
                <w:sz w:val="20"/>
                <w:szCs w:val="20"/>
              </w:rPr>
              <w:t>N.º de defectos encontrados ÷ Miles de líneas de código (KLOC)</w:t>
            </w:r>
          </w:p>
        </w:tc>
        <w:tc>
          <w:tcPr>
            <w:tcW w:w="3000" w:type="dxa"/>
            <w:tcMar>
              <w:top w:w="80" w:type="dxa"/>
              <w:left w:w="100" w:type="dxa"/>
              <w:bottom w:w="80" w:type="dxa"/>
              <w:right w:w="100" w:type="dxa"/>
            </w:tcMar>
            <w:vAlign w:val="center"/>
          </w:tcPr>
          <w:p w14:paraId="53DA50A7" w14:textId="77777777" w:rsidR="00173171" w:rsidRDefault="00000000">
            <w:r>
              <w:rPr>
                <w:color w:val="000000"/>
                <w:sz w:val="20"/>
                <w:szCs w:val="20"/>
              </w:rPr>
              <w:t>Menor o igual a 5 defectos por KLOC en los módulos críticos antes de la liberación.</w:t>
            </w:r>
          </w:p>
        </w:tc>
      </w:tr>
      <w:tr w:rsidR="00173171" w14:paraId="3FC5B5F9" w14:textId="77777777">
        <w:tblPrEx>
          <w:tblCellMar>
            <w:top w:w="0" w:type="dxa"/>
            <w:bottom w:w="0" w:type="dxa"/>
          </w:tblCellMar>
        </w:tblPrEx>
        <w:tc>
          <w:tcPr>
            <w:tcW w:w="2100" w:type="dxa"/>
            <w:tcMar>
              <w:top w:w="80" w:type="dxa"/>
              <w:left w:w="100" w:type="dxa"/>
              <w:bottom w:w="80" w:type="dxa"/>
              <w:right w:w="100" w:type="dxa"/>
            </w:tcMar>
            <w:vAlign w:val="center"/>
          </w:tcPr>
          <w:p w14:paraId="4A5F1F9D" w14:textId="77777777" w:rsidR="00173171" w:rsidRDefault="00000000">
            <w:r>
              <w:rPr>
                <w:b/>
                <w:bCs/>
                <w:color w:val="000000"/>
                <w:sz w:val="20"/>
                <w:szCs w:val="20"/>
              </w:rPr>
              <w:t>Cobertura de pruebas</w:t>
            </w:r>
          </w:p>
        </w:tc>
        <w:tc>
          <w:tcPr>
            <w:tcW w:w="3600" w:type="dxa"/>
            <w:tcMar>
              <w:top w:w="80" w:type="dxa"/>
              <w:left w:w="100" w:type="dxa"/>
              <w:bottom w:w="80" w:type="dxa"/>
              <w:right w:w="100" w:type="dxa"/>
            </w:tcMar>
            <w:vAlign w:val="center"/>
          </w:tcPr>
          <w:p w14:paraId="3E4CAD51" w14:textId="77777777" w:rsidR="00173171" w:rsidRDefault="00000000">
            <w:r>
              <w:rPr>
                <w:color w:val="000000"/>
                <w:sz w:val="20"/>
                <w:szCs w:val="20"/>
              </w:rPr>
              <w:t>(Líneas de código cubiertas por pruebas ÷ Líneas de código totales) × 100</w:t>
            </w:r>
          </w:p>
        </w:tc>
        <w:tc>
          <w:tcPr>
            <w:tcW w:w="3000" w:type="dxa"/>
            <w:tcMar>
              <w:top w:w="80" w:type="dxa"/>
              <w:left w:w="100" w:type="dxa"/>
              <w:bottom w:w="80" w:type="dxa"/>
              <w:right w:w="100" w:type="dxa"/>
            </w:tcMar>
            <w:vAlign w:val="center"/>
          </w:tcPr>
          <w:p w14:paraId="1EA1C9C1" w14:textId="77777777" w:rsidR="00173171" w:rsidRDefault="00000000">
            <w:r>
              <w:rPr>
                <w:color w:val="000000"/>
                <w:sz w:val="20"/>
                <w:szCs w:val="20"/>
              </w:rPr>
              <w:t>Cobertura igual o superior al 80 % en los módulos de autenticación y pagos.</w:t>
            </w:r>
          </w:p>
        </w:tc>
      </w:tr>
      <w:tr w:rsidR="00173171" w14:paraId="3E0B9C96" w14:textId="77777777">
        <w:tblPrEx>
          <w:tblCellMar>
            <w:top w:w="0" w:type="dxa"/>
            <w:bottom w:w="0" w:type="dxa"/>
          </w:tblCellMar>
        </w:tblPrEx>
        <w:tc>
          <w:tcPr>
            <w:tcW w:w="2100" w:type="dxa"/>
            <w:tcMar>
              <w:top w:w="80" w:type="dxa"/>
              <w:left w:w="100" w:type="dxa"/>
              <w:bottom w:w="80" w:type="dxa"/>
              <w:right w:w="100" w:type="dxa"/>
            </w:tcMar>
            <w:vAlign w:val="center"/>
          </w:tcPr>
          <w:p w14:paraId="1EE2E887" w14:textId="77777777" w:rsidR="00173171" w:rsidRDefault="00000000">
            <w:r>
              <w:rPr>
                <w:b/>
                <w:bCs/>
                <w:color w:val="000000"/>
                <w:sz w:val="20"/>
                <w:szCs w:val="20"/>
              </w:rPr>
              <w:t>Tiempo medio de respuesta (TMR)</w:t>
            </w:r>
          </w:p>
        </w:tc>
        <w:tc>
          <w:tcPr>
            <w:tcW w:w="3600" w:type="dxa"/>
            <w:tcMar>
              <w:top w:w="80" w:type="dxa"/>
              <w:left w:w="100" w:type="dxa"/>
              <w:bottom w:w="80" w:type="dxa"/>
              <w:right w:w="100" w:type="dxa"/>
            </w:tcMar>
            <w:vAlign w:val="center"/>
          </w:tcPr>
          <w:p w14:paraId="01FF3912" w14:textId="77777777" w:rsidR="00173171" w:rsidRDefault="00000000">
            <w:r>
              <w:rPr>
                <w:color w:val="000000"/>
                <w:sz w:val="20"/>
                <w:szCs w:val="20"/>
              </w:rPr>
              <w:t>Suma de los tiempos de respuesta de las transacciones ÷ Número de transacciones evaluadas</w:t>
            </w:r>
          </w:p>
        </w:tc>
        <w:tc>
          <w:tcPr>
            <w:tcW w:w="3000" w:type="dxa"/>
            <w:tcMar>
              <w:top w:w="80" w:type="dxa"/>
              <w:left w:w="100" w:type="dxa"/>
              <w:bottom w:w="80" w:type="dxa"/>
              <w:right w:w="100" w:type="dxa"/>
            </w:tcMar>
            <w:vAlign w:val="center"/>
          </w:tcPr>
          <w:p w14:paraId="373D1998" w14:textId="77777777" w:rsidR="00173171" w:rsidRDefault="00000000">
            <w:r>
              <w:rPr>
                <w:color w:val="000000"/>
                <w:sz w:val="20"/>
                <w:szCs w:val="20"/>
              </w:rPr>
              <w:t>Igual o inferior a 2 segundos con 500 usuarios concurrentes.</w:t>
            </w:r>
          </w:p>
        </w:tc>
      </w:tr>
      <w:tr w:rsidR="00173171" w14:paraId="566A1EBC" w14:textId="77777777">
        <w:tblPrEx>
          <w:tblCellMar>
            <w:top w:w="0" w:type="dxa"/>
            <w:bottom w:w="0" w:type="dxa"/>
          </w:tblCellMar>
        </w:tblPrEx>
        <w:tc>
          <w:tcPr>
            <w:tcW w:w="2100" w:type="dxa"/>
            <w:tcMar>
              <w:top w:w="80" w:type="dxa"/>
              <w:left w:w="100" w:type="dxa"/>
              <w:bottom w:w="80" w:type="dxa"/>
              <w:right w:w="100" w:type="dxa"/>
            </w:tcMar>
            <w:vAlign w:val="center"/>
          </w:tcPr>
          <w:p w14:paraId="5E82F218" w14:textId="77777777" w:rsidR="00173171" w:rsidRDefault="00000000">
            <w:r>
              <w:rPr>
                <w:b/>
                <w:bCs/>
                <w:color w:val="000000"/>
                <w:sz w:val="20"/>
                <w:szCs w:val="20"/>
              </w:rPr>
              <w:t>Tasa de disponibilidad (</w:t>
            </w:r>
            <w:proofErr w:type="spellStart"/>
            <w:r>
              <w:rPr>
                <w:b/>
                <w:bCs/>
                <w:color w:val="000000"/>
                <w:sz w:val="20"/>
                <w:szCs w:val="20"/>
              </w:rPr>
              <w:t>uptime</w:t>
            </w:r>
            <w:proofErr w:type="spellEnd"/>
            <w:r>
              <w:rPr>
                <w:b/>
                <w:bCs/>
                <w:color w:val="000000"/>
                <w:sz w:val="20"/>
                <w:szCs w:val="20"/>
              </w:rPr>
              <w:t>)</w:t>
            </w:r>
          </w:p>
        </w:tc>
        <w:tc>
          <w:tcPr>
            <w:tcW w:w="3600" w:type="dxa"/>
            <w:tcMar>
              <w:top w:w="80" w:type="dxa"/>
              <w:left w:w="100" w:type="dxa"/>
              <w:bottom w:w="80" w:type="dxa"/>
              <w:right w:w="100" w:type="dxa"/>
            </w:tcMar>
            <w:vAlign w:val="center"/>
          </w:tcPr>
          <w:p w14:paraId="608E671F" w14:textId="77777777" w:rsidR="00173171" w:rsidRDefault="00000000">
            <w:r>
              <w:rPr>
                <w:color w:val="000000"/>
                <w:sz w:val="20"/>
                <w:szCs w:val="20"/>
              </w:rPr>
              <w:t>(Tiempo total operativo ÷ Tiempo total del periodo evaluado) × 100</w:t>
            </w:r>
          </w:p>
        </w:tc>
        <w:tc>
          <w:tcPr>
            <w:tcW w:w="3000" w:type="dxa"/>
            <w:tcMar>
              <w:top w:w="80" w:type="dxa"/>
              <w:left w:w="100" w:type="dxa"/>
              <w:bottom w:w="80" w:type="dxa"/>
              <w:right w:w="100" w:type="dxa"/>
            </w:tcMar>
            <w:vAlign w:val="center"/>
          </w:tcPr>
          <w:p w14:paraId="5216F963" w14:textId="77777777" w:rsidR="00173171" w:rsidRDefault="00000000">
            <w:r>
              <w:rPr>
                <w:color w:val="000000"/>
                <w:sz w:val="20"/>
                <w:szCs w:val="20"/>
              </w:rPr>
              <w:t>Igual o superior al 99,5 %, conforme al SLA acordado.</w:t>
            </w:r>
          </w:p>
        </w:tc>
      </w:tr>
      <w:tr w:rsidR="00173171" w14:paraId="19A717FE" w14:textId="77777777">
        <w:tblPrEx>
          <w:tblCellMar>
            <w:top w:w="0" w:type="dxa"/>
            <w:bottom w:w="0" w:type="dxa"/>
          </w:tblCellMar>
        </w:tblPrEx>
        <w:tc>
          <w:tcPr>
            <w:tcW w:w="2100" w:type="dxa"/>
            <w:tcMar>
              <w:top w:w="80" w:type="dxa"/>
              <w:left w:w="100" w:type="dxa"/>
              <w:bottom w:w="80" w:type="dxa"/>
              <w:right w:w="100" w:type="dxa"/>
            </w:tcMar>
            <w:vAlign w:val="center"/>
          </w:tcPr>
          <w:p w14:paraId="4029EEFC" w14:textId="77777777" w:rsidR="00173171" w:rsidRDefault="00000000">
            <w:r>
              <w:rPr>
                <w:b/>
                <w:bCs/>
                <w:color w:val="000000"/>
                <w:sz w:val="20"/>
                <w:szCs w:val="20"/>
              </w:rPr>
              <w:t>Índice de vulnerabilidades críticas resueltas</w:t>
            </w:r>
          </w:p>
        </w:tc>
        <w:tc>
          <w:tcPr>
            <w:tcW w:w="3600" w:type="dxa"/>
            <w:tcMar>
              <w:top w:w="80" w:type="dxa"/>
              <w:left w:w="100" w:type="dxa"/>
              <w:bottom w:w="80" w:type="dxa"/>
              <w:right w:w="100" w:type="dxa"/>
            </w:tcMar>
            <w:vAlign w:val="center"/>
          </w:tcPr>
          <w:p w14:paraId="23C20779" w14:textId="77777777" w:rsidR="00173171" w:rsidRDefault="00000000">
            <w:r>
              <w:rPr>
                <w:color w:val="000000"/>
                <w:sz w:val="20"/>
                <w:szCs w:val="20"/>
              </w:rPr>
              <w:t>(Vulnerabilidades críticas cerradas ÷ Vulnerabilidades críticas detectadas) × 100</w:t>
            </w:r>
          </w:p>
        </w:tc>
        <w:tc>
          <w:tcPr>
            <w:tcW w:w="3000" w:type="dxa"/>
            <w:tcMar>
              <w:top w:w="80" w:type="dxa"/>
              <w:left w:w="100" w:type="dxa"/>
              <w:bottom w:w="80" w:type="dxa"/>
              <w:right w:w="100" w:type="dxa"/>
            </w:tcMar>
            <w:vAlign w:val="center"/>
          </w:tcPr>
          <w:p w14:paraId="65A58333" w14:textId="77777777" w:rsidR="00173171" w:rsidRDefault="00000000">
            <w:r>
              <w:rPr>
                <w:color w:val="000000"/>
                <w:sz w:val="20"/>
                <w:szCs w:val="20"/>
              </w:rPr>
              <w:t>100 % de las vulnerabilidades altas y críticas resueltas antes de la liberación.</w:t>
            </w:r>
          </w:p>
        </w:tc>
      </w:tr>
      <w:tr w:rsidR="00173171" w14:paraId="5E13045A" w14:textId="77777777">
        <w:tblPrEx>
          <w:tblCellMar>
            <w:top w:w="0" w:type="dxa"/>
            <w:bottom w:w="0" w:type="dxa"/>
          </w:tblCellMar>
        </w:tblPrEx>
        <w:tc>
          <w:tcPr>
            <w:tcW w:w="2100" w:type="dxa"/>
            <w:tcMar>
              <w:top w:w="80" w:type="dxa"/>
              <w:left w:w="100" w:type="dxa"/>
              <w:bottom w:w="80" w:type="dxa"/>
              <w:right w:w="100" w:type="dxa"/>
            </w:tcMar>
            <w:vAlign w:val="center"/>
          </w:tcPr>
          <w:p w14:paraId="3A50244B" w14:textId="77777777" w:rsidR="00173171" w:rsidRDefault="00000000">
            <w:r>
              <w:rPr>
                <w:b/>
                <w:bCs/>
                <w:color w:val="000000"/>
                <w:sz w:val="20"/>
                <w:szCs w:val="20"/>
              </w:rPr>
              <w:t>Tiempo medio de reparación (MTTR)</w:t>
            </w:r>
          </w:p>
        </w:tc>
        <w:tc>
          <w:tcPr>
            <w:tcW w:w="3600" w:type="dxa"/>
            <w:tcMar>
              <w:top w:w="80" w:type="dxa"/>
              <w:left w:w="100" w:type="dxa"/>
              <w:bottom w:w="80" w:type="dxa"/>
              <w:right w:w="100" w:type="dxa"/>
            </w:tcMar>
            <w:vAlign w:val="center"/>
          </w:tcPr>
          <w:p w14:paraId="2F8D33DA" w14:textId="77777777" w:rsidR="00173171" w:rsidRDefault="00000000">
            <w:r>
              <w:rPr>
                <w:color w:val="000000"/>
                <w:sz w:val="20"/>
                <w:szCs w:val="20"/>
              </w:rPr>
              <w:t>Suma del tiempo de resolución de incidencias ÷ Número de incidencias resueltas</w:t>
            </w:r>
          </w:p>
        </w:tc>
        <w:tc>
          <w:tcPr>
            <w:tcW w:w="3000" w:type="dxa"/>
            <w:tcMar>
              <w:top w:w="80" w:type="dxa"/>
              <w:left w:w="100" w:type="dxa"/>
              <w:bottom w:w="80" w:type="dxa"/>
              <w:right w:w="100" w:type="dxa"/>
            </w:tcMar>
            <w:vAlign w:val="center"/>
          </w:tcPr>
          <w:p w14:paraId="570B0D88" w14:textId="77777777" w:rsidR="00173171" w:rsidRDefault="00000000">
            <w:r>
              <w:rPr>
                <w:color w:val="000000"/>
                <w:sz w:val="20"/>
                <w:szCs w:val="20"/>
              </w:rPr>
              <w:t>Igual o inferior a 4 horas para incidencias de severidad alta.</w:t>
            </w:r>
          </w:p>
        </w:tc>
      </w:tr>
    </w:tbl>
    <w:p w14:paraId="1A9AEAC2" w14:textId="77777777" w:rsidR="00173171" w:rsidRDefault="00173171">
      <w:pPr>
        <w:spacing w:before="300"/>
      </w:pPr>
    </w:p>
    <w:p w14:paraId="442CC3D5" w14:textId="77777777" w:rsidR="00173171" w:rsidRDefault="00000000">
      <w:pPr>
        <w:pStyle w:val="Ttulo1"/>
        <w:spacing w:before="400" w:after="200"/>
      </w:pPr>
      <w:r>
        <w:rPr>
          <w:b/>
          <w:bCs/>
          <w:color w:val="1F3864"/>
          <w:sz w:val="28"/>
          <w:szCs w:val="28"/>
        </w:rPr>
        <w:t>10. Conclusiones y recomendaciones priorizadas</w:t>
      </w:r>
    </w:p>
    <w:p w14:paraId="0461946E" w14:textId="77777777" w:rsidR="00173171" w:rsidRDefault="00000000">
      <w:pPr>
        <w:pStyle w:val="Ttulo2"/>
        <w:spacing w:before="300" w:after="150"/>
      </w:pPr>
      <w:r>
        <w:rPr>
          <w:b/>
          <w:bCs/>
          <w:color w:val="1F3864"/>
          <w:sz w:val="24"/>
          <w:szCs w:val="24"/>
        </w:rPr>
        <w:t>10.1 Conclusiones</w:t>
      </w:r>
    </w:p>
    <w:p w14:paraId="2E87EF78" w14:textId="77777777" w:rsidR="00173171" w:rsidRDefault="00000000">
      <w:pPr>
        <w:spacing w:after="180" w:line="300" w:lineRule="auto"/>
        <w:jc w:val="both"/>
      </w:pPr>
      <w:r>
        <w:t xml:space="preserve">El análisis del escenario de </w:t>
      </w:r>
      <w:proofErr w:type="spellStart"/>
      <w:r>
        <w:t>TiendaExpress</w:t>
      </w:r>
      <w:proofErr w:type="spellEnd"/>
      <w:r>
        <w:t xml:space="preserve"> evidencia que, si bien el sistema cumple con la mayoría de los requisitos funcionales (92 % de casos de prueba aprobados), presenta hallazgos de seguridad y desempeño que incumplen requisitos no funcionales obligatorios y estándares regulatorios como PCI DSS y la Ley 1581 de 2012. La respuesta correcta frente a la pregunta central del caso —si el sistema debe liberarse a producción— es que no debe liberarse en su estado actual, ya que los riesgos identificados (especialmente el incumplimiento del cifrado de datos de tarjetas y la degradación del tiempo de respuesta bajo carga) tienen impacto financiero, legal y reputacional directo para la organización.</w:t>
      </w:r>
    </w:p>
    <w:p w14:paraId="2FFA8837" w14:textId="77777777" w:rsidR="00173171" w:rsidRDefault="00000000">
      <w:pPr>
        <w:spacing w:after="180" w:line="300" w:lineRule="auto"/>
        <w:jc w:val="both"/>
      </w:pPr>
      <w:r>
        <w:t>La aplicación conjunta de actividades de verificación y validación, respaldadas por una lista de verificación de revisión técnica, un plan de auditoría estructurado, el estándar ISO/IEC 25010 y métricas cuantificables, permite construir un criterio técnico objetivo para tomar esta decisión, en lugar de basarse únicamente en la presión comercial por cumplir la fecha de liberación.</w:t>
      </w:r>
    </w:p>
    <w:p w14:paraId="3948739B" w14:textId="77777777" w:rsidR="00173171" w:rsidRDefault="00000000">
      <w:pPr>
        <w:pStyle w:val="Ttulo2"/>
        <w:spacing w:before="300" w:after="150"/>
      </w:pPr>
      <w:r>
        <w:rPr>
          <w:b/>
          <w:bCs/>
          <w:color w:val="1F3864"/>
          <w:sz w:val="24"/>
          <w:szCs w:val="24"/>
        </w:rPr>
        <w:lastRenderedPageBreak/>
        <w:t>10.2 Recomendaciones priorizadas</w:t>
      </w:r>
    </w:p>
    <w:p w14:paraId="2B87E20B" w14:textId="77777777" w:rsidR="00173171" w:rsidRDefault="00000000">
      <w:pPr>
        <w:pStyle w:val="Prrafodelista"/>
        <w:numPr>
          <w:ilvl w:val="0"/>
          <w:numId w:val="3"/>
        </w:numPr>
        <w:spacing w:after="100" w:line="300" w:lineRule="auto"/>
        <w:jc w:val="both"/>
      </w:pPr>
      <w:r>
        <w:t>Prioridad crítica: cifrar los datos de tarjetas de pago en tránsito y en reposo, y cerrar las tres vulnerabilidades altas detectadas en el módulo de pagos, antes de cualquier liberación a producción.</w:t>
      </w:r>
    </w:p>
    <w:p w14:paraId="16F78695" w14:textId="77777777" w:rsidR="00173171" w:rsidRDefault="00000000">
      <w:pPr>
        <w:pStyle w:val="Prrafodelista"/>
        <w:numPr>
          <w:ilvl w:val="0"/>
          <w:numId w:val="3"/>
        </w:numPr>
        <w:spacing w:after="100" w:line="300" w:lineRule="auto"/>
        <w:jc w:val="both"/>
      </w:pPr>
      <w:r>
        <w:t>Prioridad crítica: corregir la validación de entradas en el campo de búsqueda para eliminar el riesgo de XSS, y revisar el resto de formularios del sistema con el mismo criterio.</w:t>
      </w:r>
    </w:p>
    <w:p w14:paraId="30F2B9A7" w14:textId="77777777" w:rsidR="00173171" w:rsidRDefault="00000000">
      <w:pPr>
        <w:pStyle w:val="Prrafodelista"/>
        <w:numPr>
          <w:ilvl w:val="0"/>
          <w:numId w:val="3"/>
        </w:numPr>
        <w:spacing w:after="100" w:line="300" w:lineRule="auto"/>
        <w:jc w:val="both"/>
      </w:pPr>
      <w:r>
        <w:t xml:space="preserve">Prioridad alta: optimizar el módulo de </w:t>
      </w:r>
      <w:proofErr w:type="spellStart"/>
      <w:r>
        <w:t>checkout</w:t>
      </w:r>
      <w:proofErr w:type="spellEnd"/>
      <w:r>
        <w:t xml:space="preserve"> y la infraestructura asociada para cumplir el tiempo de respuesta de 2 segundos bajo la carga esperada en temporada de descuentos, antes de la fecha comercial objetivo.</w:t>
      </w:r>
    </w:p>
    <w:p w14:paraId="6AC905FF" w14:textId="77777777" w:rsidR="00173171" w:rsidRDefault="00000000">
      <w:pPr>
        <w:pStyle w:val="Prrafodelista"/>
        <w:numPr>
          <w:ilvl w:val="0"/>
          <w:numId w:val="3"/>
        </w:numPr>
        <w:spacing w:after="100" w:line="300" w:lineRule="auto"/>
        <w:jc w:val="both"/>
      </w:pPr>
      <w:r>
        <w:t>Prioridad alta: completar las pruebas de regresión del cambio CC-101 y validar en seguridad el cambio pendiente CC-107 sobre expiración de sesiones.</w:t>
      </w:r>
    </w:p>
    <w:p w14:paraId="3CF7E8AB" w14:textId="77777777" w:rsidR="00173171" w:rsidRDefault="00000000">
      <w:pPr>
        <w:pStyle w:val="Prrafodelista"/>
        <w:numPr>
          <w:ilvl w:val="0"/>
          <w:numId w:val="3"/>
        </w:numPr>
        <w:spacing w:after="100" w:line="300" w:lineRule="auto"/>
        <w:jc w:val="both"/>
      </w:pPr>
      <w:r>
        <w:t>Prioridad media: implementar registro (</w:t>
      </w:r>
      <w:proofErr w:type="spellStart"/>
      <w:r>
        <w:t>logging</w:t>
      </w:r>
      <w:proofErr w:type="spellEnd"/>
      <w:r>
        <w:t>) de auditoría en las operaciones críticas de inventario, para poder investigar futuras discrepancias como la reportada en INC-029.</w:t>
      </w:r>
    </w:p>
    <w:p w14:paraId="0DA5CAA8" w14:textId="77777777" w:rsidR="00173171" w:rsidRDefault="00000000">
      <w:pPr>
        <w:pStyle w:val="Prrafodelista"/>
        <w:numPr>
          <w:ilvl w:val="0"/>
          <w:numId w:val="3"/>
        </w:numPr>
        <w:spacing w:after="100" w:line="300" w:lineRule="auto"/>
        <w:jc w:val="both"/>
      </w:pPr>
      <w:r>
        <w:t>Prioridad media: incorporar pruebas de usabilidad con usuarios reales para el nuevo módulo de fidelización, antes de su liberación general.</w:t>
      </w:r>
    </w:p>
    <w:p w14:paraId="2C5C3D0A" w14:textId="77777777" w:rsidR="00173171" w:rsidRDefault="00000000">
      <w:pPr>
        <w:pStyle w:val="Prrafodelista"/>
        <w:numPr>
          <w:ilvl w:val="0"/>
          <w:numId w:val="3"/>
        </w:numPr>
        <w:spacing w:after="100" w:line="300" w:lineRule="auto"/>
        <w:jc w:val="both"/>
      </w:pPr>
      <w:r>
        <w:t>Prioridad de seguimiento continuo: institucionalizar las métricas definidas en este reporte como parte del tablero de control de calidad del equipo, revisándolas en cada ciclo de entrega.</w:t>
      </w:r>
    </w:p>
    <w:p w14:paraId="699E7056" w14:textId="77777777" w:rsidR="00173171" w:rsidRDefault="00000000">
      <w:r>
        <w:br w:type="page"/>
      </w:r>
    </w:p>
    <w:p w14:paraId="7E488CEC" w14:textId="77777777" w:rsidR="00173171" w:rsidRDefault="00000000">
      <w:pPr>
        <w:pStyle w:val="Ttulo1"/>
        <w:spacing w:before="400" w:after="200"/>
      </w:pPr>
      <w:r>
        <w:rPr>
          <w:b/>
          <w:bCs/>
          <w:color w:val="1F3864"/>
          <w:sz w:val="28"/>
          <w:szCs w:val="28"/>
        </w:rPr>
        <w:lastRenderedPageBreak/>
        <w:t>Referencias</w:t>
      </w:r>
    </w:p>
    <w:p w14:paraId="40533956" w14:textId="77777777" w:rsidR="00173171" w:rsidRDefault="00000000">
      <w:pPr>
        <w:spacing w:after="200" w:line="276" w:lineRule="auto"/>
        <w:ind w:left="720" w:hanging="720"/>
      </w:pPr>
      <w:r>
        <w:t xml:space="preserve">Chavarría, A., Oré, S., &amp; Pastor, C. (2016). Aseguramiento de la calidad en el proceso de desarrollo de software utilizando CMMI, TSP y PSP. Revista Ibérica de Sistemas e </w:t>
      </w:r>
      <w:proofErr w:type="spellStart"/>
      <w:r>
        <w:t>Tecnologias</w:t>
      </w:r>
      <w:proofErr w:type="spellEnd"/>
      <w:r>
        <w:t xml:space="preserve"> de </w:t>
      </w:r>
      <w:proofErr w:type="spellStart"/>
      <w:r>
        <w:t>Informação</w:t>
      </w:r>
      <w:proofErr w:type="spellEnd"/>
      <w:r>
        <w:t>, (20), 62-77.</w:t>
      </w:r>
    </w:p>
    <w:p w14:paraId="53CB7EF8" w14:textId="77777777" w:rsidR="00173171" w:rsidRDefault="00000000">
      <w:pPr>
        <w:spacing w:after="200" w:line="276" w:lineRule="auto"/>
        <w:ind w:left="720" w:hanging="720"/>
      </w:pPr>
      <w:r>
        <w:t xml:space="preserve">Comercio, T. (Pontificia Universidad Católica de Chile, ed.). </w:t>
      </w:r>
      <w:proofErr w:type="spellStart"/>
      <w:r w:rsidRPr="00E821C1">
        <w:rPr>
          <w:lang w:val="en-US"/>
        </w:rPr>
        <w:t>Autenticación</w:t>
      </w:r>
      <w:proofErr w:type="spellEnd"/>
      <w:r w:rsidRPr="00E821C1">
        <w:rPr>
          <w:lang w:val="en-US"/>
        </w:rPr>
        <w:t xml:space="preserve"> multifactor: OWASP Cheat Sheet Series. </w:t>
      </w:r>
      <w:r>
        <w:t xml:space="preserve">OWASP </w:t>
      </w:r>
      <w:proofErr w:type="spellStart"/>
      <w:r>
        <w:t>Foundation</w:t>
      </w:r>
      <w:proofErr w:type="spellEnd"/>
      <w:r>
        <w:t>.</w:t>
      </w:r>
    </w:p>
    <w:p w14:paraId="40D2CB0F" w14:textId="77777777" w:rsidR="00173171" w:rsidRDefault="00000000">
      <w:pPr>
        <w:spacing w:after="200" w:line="276" w:lineRule="auto"/>
        <w:ind w:left="720" w:hanging="720"/>
      </w:pPr>
      <w:r>
        <w:t>Congreso de la República de Colombia. (2012). Ley 1581 de 2012, por la cual se dictan disposiciones generales para la protección de datos personales.</w:t>
      </w:r>
    </w:p>
    <w:p w14:paraId="71C4C58E" w14:textId="77777777" w:rsidR="00173171" w:rsidRPr="00E821C1" w:rsidRDefault="00000000">
      <w:pPr>
        <w:spacing w:after="200" w:line="276" w:lineRule="auto"/>
        <w:ind w:left="720" w:hanging="720"/>
        <w:rPr>
          <w:lang w:val="en-US"/>
        </w:rPr>
      </w:pPr>
      <w:r w:rsidRPr="00E821C1">
        <w:rPr>
          <w:lang w:val="en-US"/>
        </w:rPr>
        <w:t>International Organization for Standardization. (2011). ISO/IEC 25010:2011 – Systems and software engineering — Systems and software Quality Requirements and Evaluation (</w:t>
      </w:r>
      <w:proofErr w:type="spellStart"/>
      <w:r w:rsidRPr="00E821C1">
        <w:rPr>
          <w:lang w:val="en-US"/>
        </w:rPr>
        <w:t>SQuaRE</w:t>
      </w:r>
      <w:proofErr w:type="spellEnd"/>
      <w:r w:rsidRPr="00E821C1">
        <w:rPr>
          <w:lang w:val="en-US"/>
        </w:rPr>
        <w:t>) — System and software quality models.</w:t>
      </w:r>
    </w:p>
    <w:p w14:paraId="24DBC0E3" w14:textId="77777777" w:rsidR="00173171" w:rsidRPr="00E821C1" w:rsidRDefault="00000000">
      <w:pPr>
        <w:spacing w:after="200" w:line="276" w:lineRule="auto"/>
        <w:ind w:left="720" w:hanging="720"/>
        <w:rPr>
          <w:lang w:val="en-US"/>
        </w:rPr>
      </w:pPr>
      <w:r>
        <w:t xml:space="preserve">Paredes, L., Benavides, L., &amp; Sánchez, N. (2017). Guía de recomendación para la selección de un modelo de calidad para la mejora de procesos de software (SPI). </w:t>
      </w:r>
      <w:r w:rsidRPr="00E821C1">
        <w:rPr>
          <w:lang w:val="en-US"/>
        </w:rPr>
        <w:t xml:space="preserve">Revista </w:t>
      </w:r>
      <w:proofErr w:type="spellStart"/>
      <w:r w:rsidRPr="00E821C1">
        <w:rPr>
          <w:lang w:val="en-US"/>
        </w:rPr>
        <w:t>Ciencias</w:t>
      </w:r>
      <w:proofErr w:type="spellEnd"/>
      <w:r w:rsidRPr="00E821C1">
        <w:rPr>
          <w:lang w:val="en-US"/>
        </w:rPr>
        <w:t xml:space="preserve"> </w:t>
      </w:r>
      <w:proofErr w:type="spellStart"/>
      <w:r w:rsidRPr="00E821C1">
        <w:rPr>
          <w:lang w:val="en-US"/>
        </w:rPr>
        <w:t>Estratégicas</w:t>
      </w:r>
      <w:proofErr w:type="spellEnd"/>
      <w:r w:rsidRPr="00E821C1">
        <w:rPr>
          <w:lang w:val="en-US"/>
        </w:rPr>
        <w:t>.</w:t>
      </w:r>
    </w:p>
    <w:p w14:paraId="1D839850" w14:textId="77777777" w:rsidR="00173171" w:rsidRPr="00E821C1" w:rsidRDefault="00000000">
      <w:pPr>
        <w:spacing w:after="200" w:line="276" w:lineRule="auto"/>
        <w:ind w:left="720" w:hanging="720"/>
        <w:rPr>
          <w:lang w:val="en-US"/>
        </w:rPr>
      </w:pPr>
      <w:r w:rsidRPr="00E821C1">
        <w:rPr>
          <w:lang w:val="en-US"/>
        </w:rPr>
        <w:t xml:space="preserve">PCI Security Standards Council. (2022). Payment Card Industry Data Security Standard (PCI DSS), </w:t>
      </w:r>
      <w:proofErr w:type="spellStart"/>
      <w:r w:rsidRPr="00E821C1">
        <w:rPr>
          <w:lang w:val="en-US"/>
        </w:rPr>
        <w:t>versión</w:t>
      </w:r>
      <w:proofErr w:type="spellEnd"/>
      <w:r w:rsidRPr="00E821C1">
        <w:rPr>
          <w:lang w:val="en-US"/>
        </w:rPr>
        <w:t xml:space="preserve"> 4.0.</w:t>
      </w:r>
    </w:p>
    <w:p w14:paraId="5C76F25A" w14:textId="77777777" w:rsidR="00173171" w:rsidRPr="00E821C1" w:rsidRDefault="00000000">
      <w:pPr>
        <w:spacing w:after="200" w:line="276" w:lineRule="auto"/>
        <w:ind w:left="720" w:hanging="720"/>
        <w:rPr>
          <w:lang w:val="en-US"/>
        </w:rPr>
      </w:pPr>
      <w:r w:rsidRPr="00E821C1">
        <w:rPr>
          <w:lang w:val="en-US"/>
        </w:rPr>
        <w:t>The OWASP Foundation. (2021). OWASP Top 10:2021 – The ten most critical web application security risks.</w:t>
      </w:r>
    </w:p>
    <w:sectPr w:rsidR="00173171" w:rsidRPr="00E821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268D"/>
    <w:multiLevelType w:val="hybridMultilevel"/>
    <w:tmpl w:val="3D88000A"/>
    <w:lvl w:ilvl="0" w:tplc="E4B22134">
      <w:start w:val="1"/>
      <w:numFmt w:val="bullet"/>
      <w:lvlText w:val="•"/>
      <w:lvlJc w:val="left"/>
      <w:pPr>
        <w:ind w:left="540" w:hanging="270"/>
      </w:pPr>
    </w:lvl>
    <w:lvl w:ilvl="1" w:tplc="4B86A3B4">
      <w:numFmt w:val="decimal"/>
      <w:lvlText w:val=""/>
      <w:lvlJc w:val="left"/>
    </w:lvl>
    <w:lvl w:ilvl="2" w:tplc="D9BA3AB2">
      <w:numFmt w:val="decimal"/>
      <w:lvlText w:val=""/>
      <w:lvlJc w:val="left"/>
    </w:lvl>
    <w:lvl w:ilvl="3" w:tplc="120EE942">
      <w:numFmt w:val="decimal"/>
      <w:lvlText w:val=""/>
      <w:lvlJc w:val="left"/>
    </w:lvl>
    <w:lvl w:ilvl="4" w:tplc="0B66AFE8">
      <w:numFmt w:val="decimal"/>
      <w:lvlText w:val=""/>
      <w:lvlJc w:val="left"/>
    </w:lvl>
    <w:lvl w:ilvl="5" w:tplc="00203316">
      <w:numFmt w:val="decimal"/>
      <w:lvlText w:val=""/>
      <w:lvlJc w:val="left"/>
    </w:lvl>
    <w:lvl w:ilvl="6" w:tplc="63F082B6">
      <w:numFmt w:val="decimal"/>
      <w:lvlText w:val=""/>
      <w:lvlJc w:val="left"/>
    </w:lvl>
    <w:lvl w:ilvl="7" w:tplc="F31868E0">
      <w:numFmt w:val="decimal"/>
      <w:lvlText w:val=""/>
      <w:lvlJc w:val="left"/>
    </w:lvl>
    <w:lvl w:ilvl="8" w:tplc="DF2C4ECE">
      <w:numFmt w:val="decimal"/>
      <w:lvlText w:val=""/>
      <w:lvlJc w:val="left"/>
    </w:lvl>
  </w:abstractNum>
  <w:abstractNum w:abstractNumId="1" w15:restartNumberingAfterBreak="0">
    <w:nsid w:val="1A0C7AF1"/>
    <w:multiLevelType w:val="hybridMultilevel"/>
    <w:tmpl w:val="3394042E"/>
    <w:lvl w:ilvl="0" w:tplc="C52E2B8A">
      <w:start w:val="1"/>
      <w:numFmt w:val="bullet"/>
      <w:lvlText w:val="●"/>
      <w:lvlJc w:val="left"/>
      <w:pPr>
        <w:ind w:left="720" w:hanging="360"/>
      </w:pPr>
    </w:lvl>
    <w:lvl w:ilvl="1" w:tplc="B61AAD74">
      <w:start w:val="1"/>
      <w:numFmt w:val="bullet"/>
      <w:lvlText w:val="○"/>
      <w:lvlJc w:val="left"/>
      <w:pPr>
        <w:ind w:left="1440" w:hanging="360"/>
      </w:pPr>
    </w:lvl>
    <w:lvl w:ilvl="2" w:tplc="E8243EFA">
      <w:start w:val="1"/>
      <w:numFmt w:val="bullet"/>
      <w:lvlText w:val="■"/>
      <w:lvlJc w:val="left"/>
      <w:pPr>
        <w:ind w:left="2160" w:hanging="360"/>
      </w:pPr>
    </w:lvl>
    <w:lvl w:ilvl="3" w:tplc="760E560C">
      <w:start w:val="1"/>
      <w:numFmt w:val="bullet"/>
      <w:lvlText w:val="●"/>
      <w:lvlJc w:val="left"/>
      <w:pPr>
        <w:ind w:left="2880" w:hanging="360"/>
      </w:pPr>
    </w:lvl>
    <w:lvl w:ilvl="4" w:tplc="9DBCC63A">
      <w:start w:val="1"/>
      <w:numFmt w:val="bullet"/>
      <w:lvlText w:val="○"/>
      <w:lvlJc w:val="left"/>
      <w:pPr>
        <w:ind w:left="3600" w:hanging="360"/>
      </w:pPr>
    </w:lvl>
    <w:lvl w:ilvl="5" w:tplc="54A23694">
      <w:start w:val="1"/>
      <w:numFmt w:val="bullet"/>
      <w:lvlText w:val="■"/>
      <w:lvlJc w:val="left"/>
      <w:pPr>
        <w:ind w:left="4320" w:hanging="360"/>
      </w:pPr>
    </w:lvl>
    <w:lvl w:ilvl="6" w:tplc="18561E1A">
      <w:start w:val="1"/>
      <w:numFmt w:val="bullet"/>
      <w:lvlText w:val="●"/>
      <w:lvlJc w:val="left"/>
      <w:pPr>
        <w:ind w:left="5040" w:hanging="360"/>
      </w:pPr>
    </w:lvl>
    <w:lvl w:ilvl="7" w:tplc="0EDEA68C">
      <w:start w:val="1"/>
      <w:numFmt w:val="bullet"/>
      <w:lvlText w:val="●"/>
      <w:lvlJc w:val="left"/>
      <w:pPr>
        <w:ind w:left="5760" w:hanging="360"/>
      </w:pPr>
    </w:lvl>
    <w:lvl w:ilvl="8" w:tplc="E2B85378">
      <w:start w:val="1"/>
      <w:numFmt w:val="bullet"/>
      <w:lvlText w:val="●"/>
      <w:lvlJc w:val="left"/>
      <w:pPr>
        <w:ind w:left="6480" w:hanging="360"/>
      </w:pPr>
    </w:lvl>
  </w:abstractNum>
  <w:abstractNum w:abstractNumId="2" w15:restartNumberingAfterBreak="0">
    <w:nsid w:val="2FAA58EF"/>
    <w:multiLevelType w:val="hybridMultilevel"/>
    <w:tmpl w:val="3ECED010"/>
    <w:lvl w:ilvl="0" w:tplc="76B8E34E">
      <w:start w:val="1"/>
      <w:numFmt w:val="decimal"/>
      <w:lvlText w:val="%1."/>
      <w:lvlJc w:val="left"/>
      <w:pPr>
        <w:ind w:left="540" w:hanging="340"/>
      </w:pPr>
    </w:lvl>
    <w:lvl w:ilvl="1" w:tplc="D82A5470">
      <w:numFmt w:val="decimal"/>
      <w:lvlText w:val=""/>
      <w:lvlJc w:val="left"/>
    </w:lvl>
    <w:lvl w:ilvl="2" w:tplc="A1C4732E">
      <w:numFmt w:val="decimal"/>
      <w:lvlText w:val=""/>
      <w:lvlJc w:val="left"/>
    </w:lvl>
    <w:lvl w:ilvl="3" w:tplc="4A4E18A0">
      <w:numFmt w:val="decimal"/>
      <w:lvlText w:val=""/>
      <w:lvlJc w:val="left"/>
    </w:lvl>
    <w:lvl w:ilvl="4" w:tplc="2B188A06">
      <w:numFmt w:val="decimal"/>
      <w:lvlText w:val=""/>
      <w:lvlJc w:val="left"/>
    </w:lvl>
    <w:lvl w:ilvl="5" w:tplc="992497CE">
      <w:numFmt w:val="decimal"/>
      <w:lvlText w:val=""/>
      <w:lvlJc w:val="left"/>
    </w:lvl>
    <w:lvl w:ilvl="6" w:tplc="261E8FD2">
      <w:numFmt w:val="decimal"/>
      <w:lvlText w:val=""/>
      <w:lvlJc w:val="left"/>
    </w:lvl>
    <w:lvl w:ilvl="7" w:tplc="F1B2E86E">
      <w:numFmt w:val="decimal"/>
      <w:lvlText w:val=""/>
      <w:lvlJc w:val="left"/>
    </w:lvl>
    <w:lvl w:ilvl="8" w:tplc="7812B2EE">
      <w:numFmt w:val="decimal"/>
      <w:lvlText w:val=""/>
      <w:lvlJc w:val="left"/>
    </w:lvl>
  </w:abstractNum>
  <w:num w:numId="1" w16cid:durableId="1047342924">
    <w:abstractNumId w:val="1"/>
    <w:lvlOverride w:ilvl="0">
      <w:startOverride w:val="1"/>
    </w:lvlOverride>
  </w:num>
  <w:num w:numId="2" w16cid:durableId="1937909143">
    <w:abstractNumId w:val="0"/>
    <w:lvlOverride w:ilvl="0">
      <w:startOverride w:val="1"/>
    </w:lvlOverride>
  </w:num>
  <w:num w:numId="3" w16cid:durableId="21185978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171"/>
    <w:rsid w:val="00173171"/>
    <w:rsid w:val="00802656"/>
    <w:rsid w:val="00E821C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E2B4"/>
  <w15:docId w15:val="{3E09DC0F-3B6C-4138-B895-60D9E854E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3749</Words>
  <Characters>20622</Characters>
  <Application>Microsoft Office Word</Application>
  <DocSecurity>0</DocSecurity>
  <Lines>171</Lines>
  <Paragraphs>48</Paragraphs>
  <ScaleCrop>false</ScaleCrop>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astudillo</cp:lastModifiedBy>
  <cp:revision>2</cp:revision>
  <dcterms:created xsi:type="dcterms:W3CDTF">2026-07-14T01:58:00Z</dcterms:created>
  <dcterms:modified xsi:type="dcterms:W3CDTF">2026-07-14T02:13:00Z</dcterms:modified>
</cp:coreProperties>
</file>