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1BB0" w14:textId="77777777" w:rsidR="000B48E8" w:rsidRPr="00A5542B" w:rsidRDefault="00000000">
      <w:pPr>
        <w:pStyle w:val="Ttulo1"/>
        <w:rPr>
          <w:rFonts w:ascii="Arial" w:hAnsi="Arial" w:cs="Arial"/>
        </w:rPr>
      </w:pPr>
      <w:r w:rsidRPr="00A5542B">
        <w:rPr>
          <w:rFonts w:ascii="Arial" w:hAnsi="Arial" w:cs="Arial"/>
        </w:rPr>
        <w:t>Conceptos clave del Foro — Semana 3</w:t>
      </w:r>
    </w:p>
    <w:p w14:paraId="48973489" w14:textId="77777777" w:rsidR="000B48E8" w:rsidRPr="00A5542B" w:rsidRDefault="00000000">
      <w:pPr>
        <w:spacing w:after="300"/>
        <w:rPr>
          <w:rFonts w:ascii="Arial" w:hAnsi="Arial" w:cs="Arial"/>
        </w:rPr>
      </w:pPr>
      <w:r w:rsidRPr="00A5542B">
        <w:rPr>
          <w:rFonts w:ascii="Arial" w:hAnsi="Arial" w:cs="Arial"/>
          <w:i/>
          <w:iCs/>
          <w:color w:val="555555"/>
        </w:rPr>
        <w:t>NRC-93980 · Estándares y Métricas de Calidad en el Desarrollo de Software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0B48E8" w:rsidRPr="00A5542B" w14:paraId="445E3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</w:tcPr>
          <w:p w14:paraId="6BC74083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  <w:color w:val="FFFFFF"/>
              </w:rPr>
              <w:t>Concepto</w:t>
            </w:r>
          </w:p>
        </w:tc>
        <w:tc>
          <w:tcPr>
            <w:tcW w:w="6800" w:type="dxa"/>
            <w:shd w:val="clear" w:color="auto" w:fill="2F5496"/>
          </w:tcPr>
          <w:p w14:paraId="5602CC23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  <w:color w:val="FFFFFF"/>
              </w:rPr>
              <w:t>Significado</w:t>
            </w:r>
          </w:p>
        </w:tc>
      </w:tr>
      <w:tr w:rsidR="000B48E8" w:rsidRPr="00A5542B" w14:paraId="336CD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EC7E999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Métrica de calidad</w:t>
            </w:r>
          </w:p>
        </w:tc>
        <w:tc>
          <w:tcPr>
            <w:tcW w:w="6800" w:type="dxa"/>
          </w:tcPr>
          <w:p w14:paraId="065985C0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 xml:space="preserve">Indicador cuantificable (densidad de defectos, cobertura de pruebas, complejidad </w:t>
            </w:r>
            <w:proofErr w:type="spellStart"/>
            <w:r w:rsidRPr="00A5542B">
              <w:rPr>
                <w:rFonts w:ascii="Arial" w:hAnsi="Arial" w:cs="Arial"/>
              </w:rPr>
              <w:t>ciclomática</w:t>
            </w:r>
            <w:proofErr w:type="spellEnd"/>
            <w:r w:rsidRPr="00A5542B">
              <w:rPr>
                <w:rFonts w:ascii="Arial" w:hAnsi="Arial" w:cs="Arial"/>
              </w:rPr>
              <w:t>, tiempos de respuesta) que traduce atributos abstractos de calidad en datos objetivos y comparables.</w:t>
            </w:r>
          </w:p>
        </w:tc>
      </w:tr>
      <w:tr w:rsidR="000B48E8" w:rsidRPr="00A5542B" w14:paraId="711DF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A51895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Aseguramiento de la calidad (SQA)</w:t>
            </w:r>
          </w:p>
        </w:tc>
        <w:tc>
          <w:tcPr>
            <w:tcW w:w="6800" w:type="dxa"/>
          </w:tcPr>
          <w:p w14:paraId="08AD0824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Conjunto de actividades planificadas orientadas a prevenir defectos durante el proceso de desarrollo, no solo detectarlos después.</w:t>
            </w:r>
          </w:p>
        </w:tc>
      </w:tr>
      <w:tr w:rsidR="000B48E8" w:rsidRPr="00A5542B" w14:paraId="12D486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4D4B29C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ISO/IEC 25010 (</w:t>
            </w:r>
            <w:proofErr w:type="spellStart"/>
            <w:r w:rsidRPr="00A5542B">
              <w:rPr>
                <w:rFonts w:ascii="Arial" w:hAnsi="Arial" w:cs="Arial"/>
                <w:b/>
                <w:bCs/>
              </w:rPr>
              <w:t>SQuaRE</w:t>
            </w:r>
            <w:proofErr w:type="spellEnd"/>
            <w:r w:rsidRPr="00A5542B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6800" w:type="dxa"/>
          </w:tcPr>
          <w:p w14:paraId="0ED4BFF3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Estándar que define 8 características de calidad del producto de software: adecuación funcional, eficiencia de desempeño, compatibilidad, usabilidad, fiabilidad, seguridad, mantenibilidad y portabilidad.</w:t>
            </w:r>
          </w:p>
        </w:tc>
      </w:tr>
      <w:tr w:rsidR="000B48E8" w:rsidRPr="00A5542B" w14:paraId="5B590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33D415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ISO/IEC 29110</w:t>
            </w:r>
          </w:p>
        </w:tc>
        <w:tc>
          <w:tcPr>
            <w:tcW w:w="6800" w:type="dxa"/>
          </w:tcPr>
          <w:p w14:paraId="255C2736" w14:textId="4BD7E388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 xml:space="preserve">Estándar de perfiles de ciclo de vida diseñado para Entidades Muy Pequeñas (VSE/EMP), que </w:t>
            </w:r>
            <w:r w:rsidR="00A5542B" w:rsidRPr="00A5542B">
              <w:rPr>
                <w:rFonts w:ascii="Arial" w:hAnsi="Arial" w:cs="Arial"/>
              </w:rPr>
              <w:t>estructuras buenas</w:t>
            </w:r>
            <w:r w:rsidRPr="00A5542B">
              <w:rPr>
                <w:rFonts w:ascii="Arial" w:hAnsi="Arial" w:cs="Arial"/>
              </w:rPr>
              <w:t xml:space="preserve"> prácticas de gestión y desarrollo adaptadas a equipos pequeños.</w:t>
            </w:r>
          </w:p>
        </w:tc>
      </w:tr>
      <w:tr w:rsidR="000B48E8" w:rsidRPr="00A5542B" w14:paraId="6A89B6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5E2BF1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CMMI</w:t>
            </w:r>
          </w:p>
        </w:tc>
        <w:tc>
          <w:tcPr>
            <w:tcW w:w="6800" w:type="dxa"/>
          </w:tcPr>
          <w:p w14:paraId="14C87DAB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Modelo de madurez de procesos que evalúa qué tan estructurada y repetible es la gestión de un proyecto de software.</w:t>
            </w:r>
          </w:p>
        </w:tc>
      </w:tr>
      <w:tr w:rsidR="000B48E8" w:rsidRPr="00A5542B" w14:paraId="3EFDA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03200F9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TMMI</w:t>
            </w:r>
          </w:p>
        </w:tc>
        <w:tc>
          <w:tcPr>
            <w:tcW w:w="6800" w:type="dxa"/>
          </w:tcPr>
          <w:p w14:paraId="595C24D3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Modelo de madurez específico para procesos de pruebas (</w:t>
            </w:r>
            <w:proofErr w:type="spellStart"/>
            <w:r w:rsidRPr="00A5542B">
              <w:rPr>
                <w:rFonts w:ascii="Arial" w:hAnsi="Arial" w:cs="Arial"/>
              </w:rPr>
              <w:t>testing</w:t>
            </w:r>
            <w:proofErr w:type="spellEnd"/>
            <w:r w:rsidRPr="00A5542B">
              <w:rPr>
                <w:rFonts w:ascii="Arial" w:hAnsi="Arial" w:cs="Arial"/>
              </w:rPr>
              <w:t>), derivado del enfoque de CMMI.</w:t>
            </w:r>
          </w:p>
        </w:tc>
      </w:tr>
      <w:tr w:rsidR="000B48E8" w:rsidRPr="00A5542B" w14:paraId="553A00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30BAC88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Mantenimiento correctivo</w:t>
            </w:r>
          </w:p>
        </w:tc>
        <w:tc>
          <w:tcPr>
            <w:tcW w:w="6800" w:type="dxa"/>
          </w:tcPr>
          <w:p w14:paraId="11E69049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Intervención sobre el software para corregir fallos detectados después de la puesta en producción.</w:t>
            </w:r>
          </w:p>
        </w:tc>
      </w:tr>
      <w:tr w:rsidR="000B48E8" w:rsidRPr="00A5542B" w14:paraId="0A14C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D3DD932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Mantenimiento adaptativo</w:t>
            </w:r>
          </w:p>
        </w:tc>
        <w:tc>
          <w:tcPr>
            <w:tcW w:w="6800" w:type="dxa"/>
          </w:tcPr>
          <w:p w14:paraId="38C21E65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Modificación del software para responder a cambios en su entorno (nuevo sistema operativo, nueva normativa, nueva infraestructura).</w:t>
            </w:r>
          </w:p>
        </w:tc>
      </w:tr>
      <w:tr w:rsidR="000B48E8" w:rsidRPr="00A5542B" w14:paraId="431266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A9FF6FA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Mantenimiento perfectivo</w:t>
            </w:r>
          </w:p>
        </w:tc>
        <w:tc>
          <w:tcPr>
            <w:tcW w:w="6800" w:type="dxa"/>
          </w:tcPr>
          <w:p w14:paraId="45D2CD15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Mejora del software sin que exista un fallo, orientada a optimizar rendimiento o funcionalidad.</w:t>
            </w:r>
          </w:p>
        </w:tc>
      </w:tr>
      <w:tr w:rsidR="000B48E8" w:rsidRPr="00A5542B" w14:paraId="6A507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F5642D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Mantenimiento preventivo</w:t>
            </w:r>
          </w:p>
        </w:tc>
        <w:tc>
          <w:tcPr>
            <w:tcW w:w="6800" w:type="dxa"/>
          </w:tcPr>
          <w:p w14:paraId="6810DF39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Intervención anticipada para reducir la probabilidad de fallos futuros antes de que ocurran.</w:t>
            </w:r>
          </w:p>
        </w:tc>
      </w:tr>
      <w:tr w:rsidR="000B48E8" w:rsidRPr="00A5542B" w14:paraId="087AE7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BB7DF7A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Deuda técnica</w:t>
            </w:r>
          </w:p>
        </w:tc>
        <w:tc>
          <w:tcPr>
            <w:tcW w:w="6800" w:type="dxa"/>
          </w:tcPr>
          <w:p w14:paraId="48052575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Costo acumulado de decisiones de desarrollo que priorizan la entrega rápida sobre la calidad interna del código, y que se "paga" con intereses en mantenimientos futuros más costosos.</w:t>
            </w:r>
          </w:p>
        </w:tc>
      </w:tr>
      <w:tr w:rsidR="000B48E8" w:rsidRPr="00A5542B" w14:paraId="2A9E8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FEA6A0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Densidad de defectos</w:t>
            </w:r>
          </w:p>
        </w:tc>
        <w:tc>
          <w:tcPr>
            <w:tcW w:w="6800" w:type="dxa"/>
          </w:tcPr>
          <w:p w14:paraId="5D4B3E36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Número de defectos encontrados en relación con el tamaño del software (por ejemplo, defectos por cada mil líneas de código).</w:t>
            </w:r>
          </w:p>
        </w:tc>
      </w:tr>
      <w:tr w:rsidR="000B48E8" w:rsidRPr="00A5542B" w14:paraId="2A929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DE08397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Caracterización de defectos</w:t>
            </w:r>
          </w:p>
        </w:tc>
        <w:tc>
          <w:tcPr>
            <w:tcW w:w="6800" w:type="dxa"/>
          </w:tcPr>
          <w:p w14:paraId="4924F9DE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Clasificación de un defecto según su tipo, severidad, prioridad y fase de origen; permite entender no solo cuántos defectos hay sino de qué naturaleza son.</w:t>
            </w:r>
          </w:p>
        </w:tc>
      </w:tr>
      <w:tr w:rsidR="000B48E8" w:rsidRPr="00A5542B" w14:paraId="452AD7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4565266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  <w:b/>
                <w:bCs/>
              </w:rPr>
              <w:t>Verificación y validación (V&amp;V)</w:t>
            </w:r>
          </w:p>
        </w:tc>
        <w:tc>
          <w:tcPr>
            <w:tcW w:w="6800" w:type="dxa"/>
          </w:tcPr>
          <w:p w14:paraId="0EA4039A" w14:textId="77777777" w:rsidR="000B48E8" w:rsidRPr="00A5542B" w:rsidRDefault="00000000">
            <w:pPr>
              <w:rPr>
                <w:rFonts w:ascii="Arial" w:hAnsi="Arial" w:cs="Arial"/>
              </w:rPr>
            </w:pPr>
            <w:r w:rsidRPr="00A5542B">
              <w:rPr>
                <w:rFonts w:ascii="Arial" w:hAnsi="Arial" w:cs="Arial"/>
              </w:rPr>
              <w:t>Verificación confirma que el software se construye correctamente según especificaciones; validación confirma que el software construido resuelve la necesidad real del usuario.</w:t>
            </w:r>
          </w:p>
        </w:tc>
      </w:tr>
    </w:tbl>
    <w:p w14:paraId="17A0F28C" w14:textId="77777777" w:rsidR="00150A47" w:rsidRPr="00A5542B" w:rsidRDefault="00150A47">
      <w:pPr>
        <w:rPr>
          <w:rFonts w:ascii="Arial" w:hAnsi="Arial" w:cs="Arial"/>
        </w:rPr>
      </w:pPr>
    </w:p>
    <w:sectPr w:rsidR="00150A47" w:rsidRPr="00A554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62E0"/>
    <w:multiLevelType w:val="hybridMultilevel"/>
    <w:tmpl w:val="B3FA2216"/>
    <w:lvl w:ilvl="0" w:tplc="E6FAB646">
      <w:start w:val="1"/>
      <w:numFmt w:val="bullet"/>
      <w:lvlText w:val="●"/>
      <w:lvlJc w:val="left"/>
      <w:pPr>
        <w:ind w:left="720" w:hanging="360"/>
      </w:pPr>
    </w:lvl>
    <w:lvl w:ilvl="1" w:tplc="50380C1E">
      <w:start w:val="1"/>
      <w:numFmt w:val="bullet"/>
      <w:lvlText w:val="○"/>
      <w:lvlJc w:val="left"/>
      <w:pPr>
        <w:ind w:left="1440" w:hanging="360"/>
      </w:pPr>
    </w:lvl>
    <w:lvl w:ilvl="2" w:tplc="31A62560">
      <w:start w:val="1"/>
      <w:numFmt w:val="bullet"/>
      <w:lvlText w:val="■"/>
      <w:lvlJc w:val="left"/>
      <w:pPr>
        <w:ind w:left="2160" w:hanging="360"/>
      </w:pPr>
    </w:lvl>
    <w:lvl w:ilvl="3" w:tplc="3F3EC260">
      <w:start w:val="1"/>
      <w:numFmt w:val="bullet"/>
      <w:lvlText w:val="●"/>
      <w:lvlJc w:val="left"/>
      <w:pPr>
        <w:ind w:left="2880" w:hanging="360"/>
      </w:pPr>
    </w:lvl>
    <w:lvl w:ilvl="4" w:tplc="57A85058">
      <w:start w:val="1"/>
      <w:numFmt w:val="bullet"/>
      <w:lvlText w:val="○"/>
      <w:lvlJc w:val="left"/>
      <w:pPr>
        <w:ind w:left="3600" w:hanging="360"/>
      </w:pPr>
    </w:lvl>
    <w:lvl w:ilvl="5" w:tplc="9F642808">
      <w:start w:val="1"/>
      <w:numFmt w:val="bullet"/>
      <w:lvlText w:val="■"/>
      <w:lvlJc w:val="left"/>
      <w:pPr>
        <w:ind w:left="4320" w:hanging="360"/>
      </w:pPr>
    </w:lvl>
    <w:lvl w:ilvl="6" w:tplc="12665330">
      <w:start w:val="1"/>
      <w:numFmt w:val="bullet"/>
      <w:lvlText w:val="●"/>
      <w:lvlJc w:val="left"/>
      <w:pPr>
        <w:ind w:left="5040" w:hanging="360"/>
      </w:pPr>
    </w:lvl>
    <w:lvl w:ilvl="7" w:tplc="B83A207A">
      <w:start w:val="1"/>
      <w:numFmt w:val="bullet"/>
      <w:lvlText w:val="●"/>
      <w:lvlJc w:val="left"/>
      <w:pPr>
        <w:ind w:left="5760" w:hanging="360"/>
      </w:pPr>
    </w:lvl>
    <w:lvl w:ilvl="8" w:tplc="58F2B706">
      <w:start w:val="1"/>
      <w:numFmt w:val="bullet"/>
      <w:lvlText w:val="●"/>
      <w:lvlJc w:val="left"/>
      <w:pPr>
        <w:ind w:left="6480" w:hanging="360"/>
      </w:pPr>
    </w:lvl>
  </w:abstractNum>
  <w:num w:numId="1" w16cid:durableId="722605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E8"/>
    <w:rsid w:val="00026F60"/>
    <w:rsid w:val="000B48E8"/>
    <w:rsid w:val="00150A47"/>
    <w:rsid w:val="00A5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A96A"/>
  <w15:docId w15:val="{AA9C65C2-741A-455B-9B83-870F1427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Alfonso</cp:lastModifiedBy>
  <cp:revision>3</cp:revision>
  <dcterms:created xsi:type="dcterms:W3CDTF">2026-07-28T03:11:00Z</dcterms:created>
  <dcterms:modified xsi:type="dcterms:W3CDTF">2026-07-28T03:18:00Z</dcterms:modified>
</cp:coreProperties>
</file>