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56c3d38bffcb9e96de4b0ee884184e9d8100fb2"/>
    <w:p>
      <w:pPr>
        <w:pStyle w:val="Heading1"/>
      </w:pPr>
      <w:r>
        <w:t xml:space="preserve">Semana 2 — Documento de apoyo: Caso MediCitas v3.2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Estándares y Métricas de Calidad en el Desarrollo de Software</w:t>
      </w:r>
      <w:r>
        <w:t xml:space="preserve"> </w:t>
      </w:r>
      <w:r>
        <w:rPr>
          <w:b/>
          <w:bCs/>
        </w:rPr>
        <w:t xml:space="preserve">Actividad:</w:t>
      </w:r>
      <w:r>
        <w:t xml:space="preserve"> </w:t>
      </w:r>
      <w:r>
        <w:t xml:space="preserve">Reporte de solución de problemas matemáticos. Evaluación de la calidad del software mediante métricas, verificación y auditoría (EDSTV011_A2)</w:t>
      </w:r>
    </w:p>
    <w:p>
      <w:pPr>
        <w:pStyle w:val="BlockText"/>
      </w:pPr>
      <w:r>
        <w:t xml:space="preserve">Caso ficticio elaborado para el curso. La organización, los proveedores, los identificadores y las cifras son inventados; las normas citadas sí existen.</w:t>
      </w:r>
    </w:p>
    <w:bookmarkStart w:id="20" w:name="cómo-usar-este-documento"/>
    <w:p>
      <w:pPr>
        <w:pStyle w:val="Heading2"/>
      </w:pPr>
      <w:r>
        <w:t xml:space="preserve">Cómo usar este documento</w:t>
      </w:r>
    </w:p>
    <w:p>
      <w:pPr>
        <w:pStyle w:val="FirstParagraph"/>
      </w:pPr>
      <w:r>
        <w:t xml:space="preserve">Usted actúa como</w:t>
      </w:r>
      <w:r>
        <w:t xml:space="preserve"> </w:t>
      </w:r>
      <w:r>
        <w:rPr>
          <w:b/>
          <w:bCs/>
        </w:rPr>
        <w:t xml:space="preserve">especialista en aseguramiento de la calidad del software</w:t>
      </w:r>
      <w:r>
        <w:t xml:space="preserve"> </w:t>
      </w:r>
      <w:r>
        <w:t xml:space="preserve">y debe evaluar MediCitas v3.2 antes de su liberación a producción. Lea las secciones 1 y 2 (escenario y evidencias), complete las plantillas de las secciones 3, 4 y 5, y responda las preguntas de la sección 6. Después integre todo en su reporte, con los elementos que pide el PDF de la actividad.</w:t>
      </w:r>
    </w:p>
    <w:p>
      <w:pPr>
        <w:pStyle w:val="BodyText"/>
      </w:pPr>
      <w:r>
        <w:t xml:space="preserve">Cite las evidencias por su código (por ejemplo, INC-101 o CR-202) y deje a la vista los pasos de cálculo de cada métrica.</w:t>
      </w:r>
    </w:p>
    <w:p>
      <w:r>
        <w:pict>
          <v:rect style="width:0;height:1.5pt" o:hralign="center" o:hrstd="t" o:hr="t"/>
        </w:pict>
      </w:r>
    </w:p>
    <w:bookmarkEnd w:id="20"/>
    <w:bookmarkStart w:id="25" w:name="X786286efb76450ded35d8d05eb60931db837752"/>
    <w:p>
      <w:pPr>
        <w:pStyle w:val="Heading2"/>
      </w:pPr>
      <w:r>
        <w:t xml:space="preserve">1. Descripción general del sistema y contexto</w:t>
      </w:r>
    </w:p>
    <w:p>
      <w:pPr>
        <w:pStyle w:val="FirstParagraph"/>
      </w:pPr>
      <w:r>
        <w:rPr>
          <w:b/>
          <w:bCs/>
        </w:rPr>
        <w:t xml:space="preserve">MediCitas</w:t>
      </w:r>
      <w:r>
        <w:t xml:space="preserve"> </w:t>
      </w:r>
      <w:r>
        <w:t xml:space="preserve">es el sistema de gestión de citas e historias clínicas de</w:t>
      </w:r>
      <w:r>
        <w:t xml:space="preserve"> </w:t>
      </w:r>
      <w:r>
        <w:rPr>
          <w:b/>
          <w:bCs/>
        </w:rPr>
        <w:t xml:space="preserve">IPS Salud Especial</w:t>
      </w:r>
      <w:r>
        <w:t xml:space="preserve">, una red de 12 clínicas ambulatorias en Bogotá y municipios cercanos. La versión</w:t>
      </w:r>
      <w:r>
        <w:t xml:space="preserve"> </w:t>
      </w:r>
      <w:r>
        <w:rPr>
          <w:b/>
          <w:bCs/>
        </w:rPr>
        <w:t xml:space="preserve">3.2</w:t>
      </w:r>
      <w:r>
        <w:t xml:space="preserve"> </w:t>
      </w:r>
      <w:r>
        <w:t xml:space="preserve">está en preparación e incluye dos novedades: un</w:t>
      </w:r>
      <w:r>
        <w:t xml:space="preserve"> </w:t>
      </w:r>
      <w:r>
        <w:rPr>
          <w:b/>
          <w:bCs/>
        </w:rPr>
        <w:t xml:space="preserve">módulo de telemedicina</w:t>
      </w:r>
      <w:r>
        <w:t xml:space="preserve"> </w:t>
      </w:r>
      <w:r>
        <w:t xml:space="preserve">(videoconsulta) y el</w:t>
      </w:r>
      <w:r>
        <w:t xml:space="preserve"> </w:t>
      </w:r>
      <w:r>
        <w:rPr>
          <w:b/>
          <w:bCs/>
        </w:rPr>
        <w:t xml:space="preserve">rediseño de la autenticación con inicio de sesión único (SSO)</w:t>
      </w:r>
      <w:r>
        <w:t xml:space="preserve">.</w:t>
      </w:r>
    </w:p>
    <w:bookmarkStart w:id="21" w:name="contexto-organizacional"/>
    <w:p>
      <w:pPr>
        <w:pStyle w:val="Heading3"/>
      </w:pPr>
      <w:r>
        <w:t xml:space="preserve">Contexto organizacional</w:t>
      </w:r>
    </w:p>
    <w:p>
      <w:pPr>
        <w:pStyle w:val="Compact"/>
        <w:numPr>
          <w:ilvl w:val="0"/>
          <w:numId w:val="1001"/>
        </w:numPr>
      </w:pPr>
      <w:r>
        <w:t xml:space="preserve">Equipo Scrum de 8 personas: 1 Product Owner, 1 Scrum Master, 4 desarrolladores y 2 personas que dedican parte de su tiempo a pruebas.</w:t>
      </w:r>
      <w:r>
        <w:t xml:space="preserve"> </w:t>
      </w:r>
      <w:r>
        <w:rPr>
          <w:b/>
          <w:bCs/>
        </w:rPr>
        <w:t xml:space="preserve">No hay un área de QA independiente.</w:t>
      </w:r>
    </w:p>
    <w:p>
      <w:pPr>
        <w:pStyle w:val="Compact"/>
        <w:numPr>
          <w:ilvl w:val="0"/>
          <w:numId w:val="1001"/>
        </w:numPr>
      </w:pPr>
      <w:r>
        <w:t xml:space="preserve">La liberación está fijada por contrato</w:t>
      </w:r>
      <w:r>
        <w:t xml:space="preserve"> </w:t>
      </w:r>
      <w:r>
        <w:rPr>
          <w:b/>
          <w:bCs/>
        </w:rPr>
        <w:t xml:space="preserve">dentro de 3 semanas</w:t>
      </w:r>
      <w:r>
        <w:t xml:space="preserve">, con el alcance de la v3.2 ya</w:t>
      </w:r>
      <w:r>
        <w:t xml:space="preserve"> </w:t>
      </w:r>
      <w:r>
        <w:rPr>
          <w:b/>
          <w:bCs/>
        </w:rPr>
        <w:t xml:space="preserve">congelado</w:t>
      </w:r>
      <w:r>
        <w:t xml:space="preserve"> </w:t>
      </w:r>
      <w:r>
        <w:t xml:space="preserve">(</w:t>
      </w:r>
      <w:r>
        <w:rPr>
          <w:i/>
          <w:iCs/>
        </w:rPr>
        <w:t xml:space="preserve">change freeze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Hay presión comercial por lanzar telemedicina antes que una IPS competidora.</w:t>
      </w:r>
    </w:p>
    <w:p>
      <w:pPr>
        <w:pStyle w:val="Compact"/>
        <w:numPr>
          <w:ilvl w:val="0"/>
          <w:numId w:val="1001"/>
        </w:numPr>
      </w:pPr>
      <w:r>
        <w:t xml:space="preserve">Infraestructura híbrida: servidores propios para los datos clínicos y AWS para telemedicina.</w:t>
      </w:r>
    </w:p>
    <w:bookmarkEnd w:id="21"/>
    <w:bookmarkStart w:id="22" w:name="actores-involucrados"/>
    <w:p>
      <w:pPr>
        <w:pStyle w:val="Heading3"/>
      </w:pPr>
      <w:r>
        <w:t xml:space="preserve">Actores involucrados</w:t>
      </w:r>
    </w:p>
    <w:p>
      <w:pPr>
        <w:pStyle w:val="Compact"/>
        <w:numPr>
          <w:ilvl w:val="0"/>
          <w:numId w:val="1002"/>
        </w:numPr>
      </w:pPr>
      <w:r>
        <w:t xml:space="preserve">Pacientes (app móvil y portal web), personal médico y personal administrativo.</w:t>
      </w:r>
    </w:p>
    <w:p>
      <w:pPr>
        <w:pStyle w:val="Compact"/>
        <w:numPr>
          <w:ilvl w:val="0"/>
          <w:numId w:val="1002"/>
        </w:numPr>
      </w:pPr>
      <w:r>
        <w:t xml:space="preserve">Administrador de TI / DBA y oficial de protección de datos.</w:t>
      </w:r>
    </w:p>
    <w:p>
      <w:pPr>
        <w:pStyle w:val="Compact"/>
        <w:numPr>
          <w:ilvl w:val="0"/>
          <w:numId w:val="1002"/>
        </w:numPr>
      </w:pPr>
      <w:r>
        <w:t xml:space="preserve">Equipo de desarrollo Scrum.</w:t>
      </w:r>
    </w:p>
    <w:p>
      <w:pPr>
        <w:pStyle w:val="Compact"/>
        <w:numPr>
          <w:ilvl w:val="0"/>
          <w:numId w:val="1002"/>
        </w:numPr>
      </w:pPr>
      <w:r>
        <w:t xml:space="preserve">Proveedores externos: la pasarela de pagos</w:t>
      </w:r>
      <w:r>
        <w:t xml:space="preserve"> </w:t>
      </w:r>
      <w:r>
        <w:rPr>
          <w:b/>
          <w:bCs/>
        </w:rPr>
        <w:t xml:space="preserve">PayGateCol</w:t>
      </w:r>
      <w:r>
        <w:t xml:space="preserve"> </w:t>
      </w:r>
      <w:r>
        <w:t xml:space="preserve">y la API de</w:t>
      </w:r>
      <w:r>
        <w:t xml:space="preserve"> </w:t>
      </w:r>
      <w:r>
        <w:rPr>
          <w:b/>
          <w:bCs/>
        </w:rPr>
        <w:t xml:space="preserve">WhatsApp Business</w:t>
      </w:r>
      <w:r>
        <w:t xml:space="preserve">.</w:t>
      </w:r>
    </w:p>
    <w:bookmarkEnd w:id="22"/>
    <w:bookmarkStart w:id="23" w:name="funcionalidades-críticas"/>
    <w:p>
      <w:pPr>
        <w:pStyle w:val="Heading3"/>
      </w:pPr>
      <w:r>
        <w:t xml:space="preserve">Funcionalidades críticas</w:t>
      </w:r>
    </w:p>
    <w:p>
      <w:pPr>
        <w:pStyle w:val="Compact"/>
        <w:numPr>
          <w:ilvl w:val="0"/>
          <w:numId w:val="1003"/>
        </w:numPr>
      </w:pPr>
      <w:r>
        <w:t xml:space="preserve">Autenticación y gestión de sesiones (incluye SSO).</w:t>
      </w:r>
    </w:p>
    <w:p>
      <w:pPr>
        <w:pStyle w:val="Compact"/>
        <w:numPr>
          <w:ilvl w:val="0"/>
          <w:numId w:val="1003"/>
        </w:numPr>
      </w:pPr>
      <w:r>
        <w:t xml:space="preserve">Agendamiento y cancelación de citas médicas.</w:t>
      </w:r>
    </w:p>
    <w:p>
      <w:pPr>
        <w:pStyle w:val="Compact"/>
        <w:numPr>
          <w:ilvl w:val="0"/>
          <w:numId w:val="1003"/>
        </w:numPr>
      </w:pPr>
      <w:r>
        <w:t xml:space="preserve">Consulta y edición de historias clínicas electrónicas (HCE).</w:t>
      </w:r>
    </w:p>
    <w:p>
      <w:pPr>
        <w:pStyle w:val="Compact"/>
        <w:numPr>
          <w:ilvl w:val="0"/>
          <w:numId w:val="1003"/>
        </w:numPr>
      </w:pPr>
      <w:r>
        <w:t xml:space="preserve">Emisión de órdenes médicas y recetas electrónicas.</w:t>
      </w:r>
    </w:p>
    <w:p>
      <w:pPr>
        <w:pStyle w:val="Compact"/>
        <w:numPr>
          <w:ilvl w:val="0"/>
          <w:numId w:val="1003"/>
        </w:numPr>
      </w:pPr>
      <w:r>
        <w:t xml:space="preserve">Facturación electrónica integrada con la DIAN.</w:t>
      </w:r>
    </w:p>
    <w:p>
      <w:pPr>
        <w:pStyle w:val="Compact"/>
        <w:numPr>
          <w:ilvl w:val="0"/>
          <w:numId w:val="1003"/>
        </w:numPr>
      </w:pPr>
      <w:r>
        <w:t xml:space="preserve">Módulo de telemedicina (videoconsulta), en desarrollo.</w:t>
      </w:r>
    </w:p>
    <w:p>
      <w:pPr>
        <w:pStyle w:val="Compact"/>
        <w:numPr>
          <w:ilvl w:val="0"/>
          <w:numId w:val="1003"/>
        </w:numPr>
      </w:pPr>
      <w:r>
        <w:t xml:space="preserve">Notificaciones y recordatorios por SMS y WhatsApp.</w:t>
      </w:r>
    </w:p>
    <w:p>
      <w:pPr>
        <w:pStyle w:val="Compact"/>
        <w:numPr>
          <w:ilvl w:val="0"/>
          <w:numId w:val="1003"/>
        </w:numPr>
      </w:pPr>
      <w:r>
        <w:t xml:space="preserve">Reportes gerenciales e indicadores clínicos.</w:t>
      </w:r>
    </w:p>
    <w:bookmarkEnd w:id="23"/>
    <w:bookmarkStart w:id="24" w:name="restricciones-técnicas-y-regulatorias"/>
    <w:p>
      <w:pPr>
        <w:pStyle w:val="Heading3"/>
      </w:pPr>
      <w:r>
        <w:t xml:space="preserve">Restricciones técnicas y regulatorias</w:t>
      </w:r>
    </w:p>
    <w:p>
      <w:pPr>
        <w:pStyle w:val="Compact"/>
        <w:numPr>
          <w:ilvl w:val="0"/>
          <w:numId w:val="1004"/>
        </w:numPr>
      </w:pPr>
      <w:r>
        <w:t xml:space="preserve">Ley 1581 de 2012 y Decreto 1377 de 2013: protección de datos personales.</w:t>
      </w:r>
    </w:p>
    <w:p>
      <w:pPr>
        <w:pStyle w:val="Compact"/>
        <w:numPr>
          <w:ilvl w:val="0"/>
          <w:numId w:val="1004"/>
        </w:numPr>
      </w:pPr>
      <w:r>
        <w:t xml:space="preserve">Resolución 1995 de 1999: custodia y seguridad de la historia clínica.</w:t>
      </w:r>
    </w:p>
    <w:p>
      <w:pPr>
        <w:pStyle w:val="Compact"/>
        <w:numPr>
          <w:ilvl w:val="0"/>
          <w:numId w:val="1004"/>
        </w:numPr>
      </w:pPr>
      <w:r>
        <w:t xml:space="preserve">Resoluciones 2654 de 2019 y 3100 de 2019: telesalud y habilitación de servicios, incluida telemedicina.</w:t>
      </w:r>
    </w:p>
    <w:p>
      <w:pPr>
        <w:pStyle w:val="Compact"/>
        <w:numPr>
          <w:ilvl w:val="0"/>
          <w:numId w:val="1004"/>
        </w:numPr>
      </w:pPr>
      <w:r>
        <w:t xml:space="preserve">PCI-DSS: datos de tarjetas en el módulo de pagos.</w:t>
      </w:r>
    </w:p>
    <w:p>
      <w:pPr>
        <w:pStyle w:val="Compact"/>
        <w:numPr>
          <w:ilvl w:val="0"/>
          <w:numId w:val="1004"/>
        </w:numPr>
      </w:pPr>
      <w:r>
        <w:t xml:space="preserve">Disponibilidad mínima de</w:t>
      </w:r>
      <w:r>
        <w:t xml:space="preserve"> </w:t>
      </w:r>
      <w:r>
        <w:rPr>
          <w:b/>
          <w:bCs/>
        </w:rPr>
        <w:t xml:space="preserve">99.5 %</w:t>
      </w:r>
      <w:r>
        <w:t xml:space="preserve"> </w:t>
      </w:r>
      <w:r>
        <w:t xml:space="preserve">en horario de atención (7 a. m. a 9 p. m.).</w:t>
      </w:r>
    </w:p>
    <w:p>
      <w:pPr>
        <w:pStyle w:val="Compact"/>
        <w:numPr>
          <w:ilvl w:val="0"/>
          <w:numId w:val="1004"/>
        </w:numPr>
      </w:pPr>
      <w:r>
        <w:t xml:space="preserve">Integración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nocturna con el sistema legado AS/400 (facturación).</w:t>
      </w:r>
    </w:p>
    <w:p>
      <w:pPr>
        <w:pStyle w:val="Compact"/>
        <w:numPr>
          <w:ilvl w:val="0"/>
          <w:numId w:val="1004"/>
        </w:numPr>
      </w:pPr>
      <w:r>
        <w:t xml:space="preserve">Fecha de liberación y alcance congelados contractualmente.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d8d4fec16ee4f48afa9aaa36b9032a2f0ef970c"/>
    <w:p>
      <w:pPr>
        <w:pStyle w:val="Heading2"/>
      </w:pPr>
      <w:r>
        <w:t xml:space="preserve">2. Evidencias disponibles</w:t>
      </w:r>
    </w:p>
    <w:bookmarkStart w:id="26" w:name="X7b0a024933aa5db518c9c547fde53ae12110923"/>
    <w:p>
      <w:pPr>
        <w:pStyle w:val="Heading3"/>
      </w:pPr>
      <w:r>
        <w:t xml:space="preserve">2.1 Fragmentos de requisitos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space="0" w:color="8A97A8"/>
          <w:left w:val="single" w:sz="4" w:space="0" w:color="8A97A8"/>
          <w:bottom w:val="single" w:sz="4" w:space="0" w:color="8A97A8"/>
          <w:right w:val="single" w:sz="4" w:space="0" w:color="8A97A8"/>
          <w:insideH w:val="single" w:sz="4" w:space="0" w:color="8A97A8"/>
          <w:insideV w:val="single" w:sz="4" w:space="0" w:color="8A97A8"/>
        </w:tblBorders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Requisito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Estado según el equipo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RF-014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La autenticación debe ofrecer segundo factor (2FA), exigible para los roles críticos.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2FA implementado, pero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opcional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para todos los roles.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RF-022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Los datos clínicos deben almacenarse cifrados en reposo con AES-256.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Implementado;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sin verificación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que todos los campos estén cifrados.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RF-031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El agendamiento debe responder en 2 s o menos (percentil 95) con 100 usuarios concurrentes.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Sin prueba de carga.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RF-045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Todo acceso de lectura y escritura a la HCE debe quedar registrado de forma inmutable.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Implementado parcialmente.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RF-052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El módulo de pagos debe cumplir PCI-DSS.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Sin auditoría de cumplimiento.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RF-060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El canal de videoconsulta debe viajar cifrado de extremo a extremo.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Implementado en pruebas; sin casos de prueba ejecutados.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CR-201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El SSO debe funcionar para médicos, administrativos y pacientes, sin bloqueos.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En validación con usuarios piloto.</w:t>
            </w:r>
          </w:p>
        </w:tc>
      </w:tr>
    </w:tbl>
    <w:bookmarkEnd w:id="26"/>
    <w:bookmarkStart w:id="27" w:name="X93a3007b7675807a2017242f8cb05e88da9b5c2"/>
    <w:p>
      <w:pPr>
        <w:pStyle w:val="Heading3"/>
      </w:pPr>
      <w:r>
        <w:t xml:space="preserve">2.2 Extracto de la bitácora de incidencias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space="0" w:color="8A97A8"/>
          <w:left w:val="single" w:sz="4" w:space="0" w:color="8A97A8"/>
          <w:bottom w:val="single" w:sz="4" w:space="0" w:color="8A97A8"/>
          <w:right w:val="single" w:sz="4" w:space="0" w:color="8A97A8"/>
          <w:insideH w:val="single" w:sz="4" w:space="0" w:color="8A97A8"/>
          <w:insideV w:val="single" w:sz="4" w:space="0" w:color="8A97A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Fecha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Incidente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Estado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INC-101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2026-05-12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Un médico accedió a historias clínicas de pacientes que no tenía asignados al cambiar el número de ID en la URL.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Abierto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INC-102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2026-05-19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La cuenta administrativa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admin_ti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 comparten 4 personas y sus contraseñas no expiran.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Abierto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INC-103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2026-05-27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El canal de videoconsulta se transmitió sin cifrar. La configuración de pruebas pasó a producción (ver CR-202).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Abierto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INC-104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2026-06-03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Los logs de la pasarela de pagos muestran el número completo de la tarjeta, sin enmascarar.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Abierto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INC-105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2026-06-10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Auditoría interna: el sistema registra las escrituras en la historia clínica, pero no las lecturas (ver RF-045).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Abierto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INC-106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2026-06-17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El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batch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nocturno de facturación hacia AS/400 falló 3 veces en 4 semanas y ninguna falla generó alerta.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Abierto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INC-107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2026-06-24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Los reportes gerenciales tardan más de 30 s cuando se consulta un mes completo.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Abierto, prioridad baja</w:t>
            </w:r>
          </w:p>
        </w:tc>
      </w:tr>
    </w:tbl>
    <w:bookmarkEnd w:id="27"/>
    <w:bookmarkStart w:id="28" w:name="X1d68281d0308ea1449636ae6886b6431bf27c04"/>
    <w:p>
      <w:pPr>
        <w:pStyle w:val="Heading3"/>
      </w:pPr>
      <w:r>
        <w:t xml:space="preserve">2.3 Lista de control de cambios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space="0" w:color="8A97A8"/>
          <w:left w:val="single" w:sz="4" w:space="0" w:color="8A97A8"/>
          <w:bottom w:val="single" w:sz="4" w:space="0" w:color="8A97A8"/>
          <w:right w:val="single" w:sz="4" w:space="0" w:color="8A97A8"/>
          <w:insideH w:val="single" w:sz="4" w:space="0" w:color="8A97A8"/>
          <w:insideV w:val="single" w:sz="4" w:space="0" w:color="8A97A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Cambio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Despliegue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Revisión y aprobación registrada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CR-201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Rediseño del SSO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Staging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Sí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CR-202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Configuración del servidor de videoconferencia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Producción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No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CR-203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Ajuste de plantillas de recordatorios por WhatsApp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Producción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Sí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CR-204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Actualización del esquema de facturación DIAN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Producción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Sí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CR-205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Parche en el módulo de recetas electrónicas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Producción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No</w:t>
            </w:r>
          </w:p>
        </w:tc>
      </w:tr>
    </w:tbl>
    <w:bookmarkEnd w:id="28"/>
    <w:bookmarkStart w:id="29" w:name="Xc972fddd2f906cc6a754527647c802f4fe78935"/>
    <w:p>
      <w:pPr>
        <w:pStyle w:val="Heading3"/>
      </w:pPr>
      <w:r>
        <w:t xml:space="preserve">2.4 Resultados de pruebas preliminares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space="0" w:color="8A97A8"/>
          <w:left w:val="single" w:sz="4" w:space="0" w:color="8A97A8"/>
          <w:bottom w:val="single" w:sz="4" w:space="0" w:color="8A97A8"/>
          <w:right w:val="single" w:sz="4" w:space="0" w:color="8A97A8"/>
          <w:insideH w:val="single" w:sz="4" w:space="0" w:color="8A97A8"/>
          <w:insideV w:val="single" w:sz="4" w:space="0" w:color="8A97A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Prueba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Estado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Resultado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PT-01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Pruebas funcionales de agendamiento y cancelación de citas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Ejecutada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Aprobada. Sin pruebas de carga (ver RF-031).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PT-02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Pruebas de integración de facturación electrónica con la DIAN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Ejecutada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Aprobada con observaciones menores.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PT-03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Pentesting sobre la historia clínica electrónica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No ejecutada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Sin tiempo asignado en el sprint.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PT-04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Prueba de carga del módulo de telemedicina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No ejecutada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Pendiente de entorno en AWS.</w:t>
            </w:r>
          </w:p>
        </w:tc>
      </w:tr>
    </w:tbl>
    <w:p>
      <w:pPr>
        <w:pStyle w:val="BodyText"/>
      </w:pPr>
      <w:r>
        <w:t xml:space="preserve">Las cuatro son las</w:t>
      </w:r>
      <w:r>
        <w:t xml:space="preserve"> </w:t>
      </w:r>
      <w:r>
        <w:rPr>
          <w:b/>
          <w:bCs/>
        </w:rPr>
        <w:t xml:space="preserve">pruebas críticas</w:t>
      </w:r>
      <w:r>
        <w:t xml:space="preserve"> </w:t>
      </w:r>
      <w:r>
        <w:t xml:space="preserve">planificadas para la v3.2. No existen casos de prueba ejecutados para RF-031 ni para RF-060.</w:t>
      </w:r>
    </w:p>
    <w:p>
      <w:pPr>
        <w:pStyle w:val="BodyText"/>
      </w:pPr>
      <w:r>
        <w:t xml:space="preserve">Sobre la</w:t>
      </w:r>
      <w:r>
        <w:t xml:space="preserve"> </w:t>
      </w:r>
      <w:r>
        <w:rPr>
          <w:b/>
          <w:bCs/>
        </w:rPr>
        <w:t xml:space="preserve">disponibilidad</w:t>
      </w:r>
      <w:r>
        <w:t xml:space="preserve"> </w:t>
      </w:r>
      <w:r>
        <w:t xml:space="preserve">(99.5 %): el equipo no tiene medición formal ni monitoreo continuo.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909ca5fc6596a08526eae119659846fabbe8b29"/>
    <w:p>
      <w:pPr>
        <w:pStyle w:val="Heading2"/>
      </w:pPr>
      <w:r>
        <w:t xml:space="preserve">3. Matriz de verificación y validación (plantilla)</w:t>
      </w:r>
    </w:p>
    <w:p>
      <w:pPr>
        <w:pStyle w:val="FirstParagraph"/>
      </w:pPr>
      <w:r>
        <w:t xml:space="preserve">Complete las columnas</w:t>
      </w:r>
      <w:r>
        <w:t xml:space="preserve"> </w:t>
      </w:r>
      <w:r>
        <w:rPr>
          <w:b/>
          <w:bCs/>
        </w:rPr>
        <w:t xml:space="preserve">Tipo</w:t>
      </w:r>
      <w:r>
        <w:t xml:space="preserve">,</w:t>
      </w:r>
      <w:r>
        <w:t xml:space="preserve"> </w:t>
      </w:r>
      <w:r>
        <w:rPr>
          <w:b/>
          <w:bCs/>
        </w:rPr>
        <w:t xml:space="preserve">Técnica y responsable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Criterio de aceptación</w:t>
      </w:r>
      <w:r>
        <w:t xml:space="preserve">. La fila de ejemplo muestra el nivel de detalle esperado.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space="0" w:color="8A97A8"/>
          <w:left w:val="single" w:sz="4" w:space="0" w:color="8A97A8"/>
          <w:bottom w:val="single" w:sz="4" w:space="0" w:color="8A97A8"/>
          <w:right w:val="single" w:sz="4" w:space="0" w:color="8A97A8"/>
          <w:insideH w:val="single" w:sz="4" w:space="0" w:color="8A97A8"/>
          <w:insideV w:val="single" w:sz="4" w:space="0" w:color="8A97A8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/>
        </w:trPr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center"/>
            </w:pPr>
            <w:r>
              <w:rPr>
                <w:b/>
                <w:sz w:val="19"/>
              </w:rPr>
              <w:t xml:space="preserve">N.º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Requisito o funcionalidad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 (Verificación o Validación)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Técnica y responsable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Criterio de aceptación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Ej.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RF-014 — Autenticación 2FA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Verificación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Revisión de código e inspección de configuración — Líder técnico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2FA disponible y exigible para los roles críticos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1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RF-022 — Cifrado de la HCE en reposo (AES-256)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RF-031 — Rendimiento del agendamiento bajo carga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RF-045 — Trazabilidad de accesos a la HCE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RF-052 — Cumplimiento PCI-DSS en pagos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RF-060 — Cifrado extremo a extremo del video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6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CR-201 — Autenticación SSO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7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Control de acceso por rol a la HCE (INC-101)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8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Integración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batch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nocturna con AS/400 (INC-106)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9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Módulo de telemedicina: experiencia de usuario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Pista: clasifique cada fila por</w:t>
      </w:r>
      <w:r>
        <w:t xml:space="preserve"> </w:t>
      </w:r>
      <w:r>
        <w:rPr>
          <w:b/>
          <w:bCs/>
        </w:rPr>
        <w:t xml:space="preserve">contra qué se compara</w:t>
      </w:r>
      <w:r>
        <w:t xml:space="preserve"> </w:t>
      </w:r>
      <w:r>
        <w:t xml:space="preserve">(especificación o necesidad del usuario), no por si se ejecuta el código.</w:t>
      </w:r>
    </w:p>
    <w:p>
      <w:r>
        <w:pict>
          <v:rect style="width:0;height:1.5pt" o:hralign="center" o:hrstd="t" o:hr="t"/>
        </w:pict>
      </w:r>
    </w:p>
    <w:bookmarkEnd w:id="31"/>
    <w:bookmarkStart w:id="32" w:name="X924a5aff81de752668cddcae99eb9fe914ec897"/>
    <w:p>
      <w:pPr>
        <w:pStyle w:val="Heading2"/>
      </w:pPr>
      <w:r>
        <w:t xml:space="preserve">4. Lista de control de revisión técnica (plantilla)</w:t>
      </w:r>
    </w:p>
    <w:p>
      <w:pPr>
        <w:pStyle w:val="FirstParagraph"/>
      </w:pPr>
      <w:r>
        <w:t xml:space="preserve">Marque cada ítem como</w:t>
      </w:r>
      <w:r>
        <w:t xml:space="preserve"> </w:t>
      </w:r>
      <w:r>
        <w:rPr>
          <w:b/>
          <w:bCs/>
        </w:rPr>
        <w:t xml:space="preserve">Sí</w:t>
      </w:r>
      <w:r>
        <w:t xml:space="preserve">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N. A.</w:t>
      </w:r>
      <w:r>
        <w:t xml:space="preserve"> </w:t>
      </w:r>
      <w:r>
        <w:t xml:space="preserve">(no hay evidencia en el escenario) y justifique con el código de la evidencia.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space="0" w:color="8A97A8"/>
          <w:left w:val="single" w:sz="4" w:space="0" w:color="8A97A8"/>
          <w:bottom w:val="single" w:sz="4" w:space="0" w:color="8A97A8"/>
          <w:right w:val="single" w:sz="4" w:space="0" w:color="8A97A8"/>
          <w:insideH w:val="single" w:sz="4" w:space="0" w:color="8A97A8"/>
          <w:insideV w:val="single" w:sz="4" w:space="0" w:color="8A97A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center"/>
            </w:pPr>
            <w:r>
              <w:rPr>
                <w:b/>
                <w:sz w:val="19"/>
              </w:rPr>
              <w:t xml:space="preserve">N.º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Ítem de revisión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center"/>
            </w:pPr>
            <w:r>
              <w:rPr>
                <w:b/>
                <w:sz w:val="19"/>
              </w:rPr>
              <w:t xml:space="preserve">Cumple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Observaciones y evidencia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1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El código fuente cumple los estándares de codificación definidos por el equipo.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 trazabilidad entre los requisitos y los casos de prueba.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Todos los cambios fueron documentados y aprobados antes de su despliegue.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Los mecanismos de autenticación y autorización protegen los recursos críticos.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La información sensible se almacena y transmite cifrada.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6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Existen registros de auditoría para accesos y modificaciones a información crítica.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7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Se ejecutaron pruebas de seguridad (pentesting) antes de la liberación.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8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Se ejecutaron pruebas de carga y rendimiento sobre los módulos críticos.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9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El manejo de datos personales cumple la Ley 1581 de 2012.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10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El manejo de la historia clínica cumple la Resolución 1995 de 1999.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11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El módulo de telemedicina cumple la Resolución 2654 de 2019.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12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Existen alertas automáticas ante fallos de procesos críticos.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13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La documentación técnica y de usuario está actualizada para la versión a liberar.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14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Los riesgos técnicos y regulatorios identificados fueron mitigados antes de la liberación.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La actividad exige</w:t>
      </w:r>
      <w:r>
        <w:t xml:space="preserve"> </w:t>
      </w:r>
      <w:r>
        <w:rPr>
          <w:b/>
          <w:bCs/>
        </w:rPr>
        <w:t xml:space="preserve">mínimo 10 ítems</w:t>
      </w:r>
      <w:r>
        <w:t xml:space="preserve">. Puede conservar estos 14, ajustarlos o añadir otros que su análisis justifique.</w:t>
      </w:r>
    </w:p>
    <w:p>
      <w:r>
        <w:pict>
          <v:rect style="width:0;height:1.5pt" o:hralign="center" o:hrstd="t" o:hr="t"/>
        </w:pict>
      </w:r>
    </w:p>
    <w:bookmarkEnd w:id="32"/>
    <w:bookmarkStart w:id="36" w:name="X2cb59bf9cee53bc9fad9aed0a48d8913e4b4484"/>
    <w:p>
      <w:pPr>
        <w:pStyle w:val="Heading2"/>
      </w:pPr>
      <w:r>
        <w:t xml:space="preserve">5. Formato base de auditoría</w:t>
      </w:r>
    </w:p>
    <w:bookmarkStart w:id="33" w:name="X45e55c1d0c46d0220eacabf9e8407b3d90cdb6b"/>
    <w:p>
      <w:pPr>
        <w:pStyle w:val="Heading3"/>
      </w:pPr>
      <w:r>
        <w:t xml:space="preserve">5.1 Plan de auditoría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space="0" w:color="8A97A8"/>
          <w:left w:val="single" w:sz="4" w:space="0" w:color="8A97A8"/>
          <w:bottom w:val="single" w:sz="4" w:space="0" w:color="8A97A8"/>
          <w:right w:val="single" w:sz="4" w:space="0" w:color="8A97A8"/>
          <w:insideH w:val="single" w:sz="4" w:space="0" w:color="8A97A8"/>
          <w:insideV w:val="single" w:sz="4" w:space="0" w:color="8A97A8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Elemento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Objetivo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Alcance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Criterios de auditoría (normas y estándares)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Equipo auditor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de ejecución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Evidencias a recolectar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</w:tbl>
    <w:bookmarkEnd w:id="33"/>
    <w:bookmarkStart w:id="34" w:name="Xba4849e588bf5803ed31e9def16af62dc96b216"/>
    <w:p>
      <w:pPr>
        <w:pStyle w:val="Heading3"/>
      </w:pPr>
      <w:r>
        <w:t xml:space="preserve">5.2 Hallazgos de auditoría</w:t>
      </w:r>
    </w:p>
    <w:p>
      <w:pPr>
        <w:pStyle w:val="FirstParagraph"/>
      </w:pPr>
      <w:r>
        <w:t xml:space="preserve">Severidad:</w:t>
      </w:r>
      <w:r>
        <w:t xml:space="preserve"> </w:t>
      </w:r>
      <w:r>
        <w:rPr>
          <w:b/>
          <w:bCs/>
        </w:rPr>
        <w:t xml:space="preserve">Alta</w:t>
      </w:r>
      <w:r>
        <w:t xml:space="preserve">,</w:t>
      </w:r>
      <w:r>
        <w:t xml:space="preserve"> </w:t>
      </w:r>
      <w:r>
        <w:rPr>
          <w:b/>
          <w:bCs/>
        </w:rPr>
        <w:t xml:space="preserve">Media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Baja</w:t>
      </w:r>
      <w:r>
        <w:t xml:space="preserve">. Registre al menos 5 hallazgos de seguridad.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space="0" w:color="8A97A8"/>
          <w:left w:val="single" w:sz="4" w:space="0" w:color="8A97A8"/>
          <w:bottom w:val="single" w:sz="4" w:space="0" w:color="8A97A8"/>
          <w:right w:val="single" w:sz="4" w:space="0" w:color="8A97A8"/>
          <w:insideH w:val="single" w:sz="4" w:space="0" w:color="8A97A8"/>
          <w:insideV w:val="single" w:sz="4" w:space="0" w:color="8A97A8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/>
        </w:trPr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center"/>
            </w:pPr>
            <w:r>
              <w:rPr>
                <w:b/>
                <w:sz w:val="19"/>
              </w:rPr>
              <w:t xml:space="preserve">N.º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Hallazgo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Criterio incumplido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Evidencia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center"/>
            </w:pPr>
            <w:r>
              <w:rPr>
                <w:b/>
                <w:sz w:val="19"/>
              </w:rPr>
              <w:t xml:space="preserve">Severidad</w:t>
            </w:r>
          </w:p>
        </w:tc>
        <w:tc>
          <w:tcPr>
            <w:tcMar>
              <w:top w:w="50" w:type="dxa"/>
              <w:bottom w:w="50" w:type="dxa"/>
            </w:tcMar>
            <w:shd w:val="clear" w:color="auto" w:fill="DCE6F2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Recomendación</w:t>
            </w: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1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  <w:tr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  <w:tc>
          <w:tcPr>
            <w:tcMar>
              <w:top w:w="50" w:type="dxa"/>
              <w:bottom w:w="50" w:type="dxa"/>
            </w:tcMar>
          </w:tcPr>
          <w:p>
            <w:pPr>
              <w:pStyle w:val="Compact"/>
            </w:pPr>
          </w:p>
        </w:tc>
      </w:tr>
    </w:tbl>
    <w:bookmarkEnd w:id="34"/>
    <w:bookmarkStart w:id="35" w:name="X0ec8cbcbf7d3173b3b85bf5e8b5ce9f28435675"/>
    <w:p>
      <w:pPr>
        <w:pStyle w:val="Heading3"/>
      </w:pPr>
      <w:r>
        <w:t xml:space="preserve">5.3 Conclusión general de la auditoría</w:t>
      </w:r>
    </w:p>
    <w:p>
      <w:pPr>
        <w:pStyle w:val="FirstParagraph"/>
      </w:pPr>
      <w:r>
        <w:t xml:space="preserve">Escriba su conclusión: ¿está MediCitas v3.2 en condiciones de liberarse? Justifique con los hallazgos y recomiende qué hacer antes de la fecha contractual.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eeed1b3bd245d6cc4130acaa10c4b1de01ad0c6"/>
    <w:p>
      <w:pPr>
        <w:pStyle w:val="Heading2"/>
      </w:pPr>
      <w:r>
        <w:t xml:space="preserve">6. Preguntas de selección</w:t>
      </w:r>
    </w:p>
    <w:p>
      <w:pPr>
        <w:pStyle w:val="FirstParagraph"/>
      </w:pPr>
      <w:r>
        <w:t xml:space="preserve">Elija la respuesta correcta y muestre el procedimiento cuando haya cálculo.</w:t>
      </w:r>
    </w:p>
    <w:p>
      <w:pPr>
        <w:numPr>
          <w:ilvl w:val="0"/>
          <w:numId w:val="1005"/>
        </w:numPr>
      </w:pPr>
      <w:r>
        <w:t xml:space="preserve">Antes de liberar, el Product Owner y un grupo piloto confirman que médicos, administrativos y pacientes pueden iniciar sesión con el nuevo SSO sin bloqueos. Esta actividad es una:</w:t>
      </w:r>
    </w:p>
    <w:p>
      <w:pPr>
        <w:pStyle w:val="Compact"/>
        <w:numPr>
          <w:ilvl w:val="1"/>
          <w:numId w:val="1006"/>
        </w:numPr>
      </w:pPr>
      <w:r>
        <w:t xml:space="preserve">a) Verificación</w:t>
      </w:r>
    </w:p>
    <w:p>
      <w:pPr>
        <w:pStyle w:val="Compact"/>
        <w:numPr>
          <w:ilvl w:val="1"/>
          <w:numId w:val="1006"/>
        </w:numPr>
      </w:pPr>
      <w:r>
        <w:t xml:space="preserve">b) Validación</w:t>
      </w:r>
    </w:p>
    <w:p>
      <w:pPr>
        <w:pStyle w:val="Compact"/>
        <w:numPr>
          <w:ilvl w:val="1"/>
          <w:numId w:val="1006"/>
        </w:numPr>
      </w:pPr>
      <w:r>
        <w:t xml:space="preserve">c) Auditoría</w:t>
      </w:r>
    </w:p>
    <w:p>
      <w:pPr>
        <w:pStyle w:val="Compact"/>
        <w:numPr>
          <w:ilvl w:val="1"/>
          <w:numId w:val="1006"/>
        </w:numPr>
      </w:pPr>
      <w:r>
        <w:t xml:space="preserve">d) Revisión de gestión</w:t>
      </w:r>
    </w:p>
    <w:p>
      <w:pPr>
        <w:numPr>
          <w:ilvl w:val="0"/>
          <w:numId w:val="1005"/>
        </w:numPr>
      </w:pPr>
      <w:r>
        <w:t xml:space="preserve">¿Qué característica de ISO/IEC 25010 compromete principalmente INC-102 (cuenta administrativa compartida)?</w:t>
      </w:r>
    </w:p>
    <w:p>
      <w:pPr>
        <w:pStyle w:val="Compact"/>
        <w:numPr>
          <w:ilvl w:val="1"/>
          <w:numId w:val="1007"/>
        </w:numPr>
      </w:pPr>
      <w:r>
        <w:t xml:space="preserve">a) Seguridad (responsabilidad)</w:t>
      </w:r>
    </w:p>
    <w:p>
      <w:pPr>
        <w:pStyle w:val="Compact"/>
        <w:numPr>
          <w:ilvl w:val="1"/>
          <w:numId w:val="1007"/>
        </w:numPr>
      </w:pPr>
      <w:r>
        <w:t xml:space="preserve">b) Fiabilidad</w:t>
      </w:r>
    </w:p>
    <w:p>
      <w:pPr>
        <w:pStyle w:val="Compact"/>
        <w:numPr>
          <w:ilvl w:val="1"/>
          <w:numId w:val="1007"/>
        </w:numPr>
      </w:pPr>
      <w:r>
        <w:t xml:space="preserve">c) Compatibilidad</w:t>
      </w:r>
    </w:p>
    <w:p>
      <w:pPr>
        <w:pStyle w:val="Compact"/>
        <w:numPr>
          <w:ilvl w:val="1"/>
          <w:numId w:val="1007"/>
        </w:numPr>
      </w:pPr>
      <w:r>
        <w:t xml:space="preserve">d) Portabilidad</w:t>
      </w:r>
    </w:p>
    <w:p>
      <w:pPr>
        <w:numPr>
          <w:ilvl w:val="0"/>
          <w:numId w:val="1005"/>
        </w:numPr>
      </w:pPr>
      <w:r>
        <w:t xml:space="preserve">Para auditar MediCitas v3.2, ¿quién debería liderar la auditoría?</w:t>
      </w:r>
    </w:p>
    <w:p>
      <w:pPr>
        <w:pStyle w:val="Compact"/>
        <w:numPr>
          <w:ilvl w:val="1"/>
          <w:numId w:val="1008"/>
        </w:numPr>
      </w:pPr>
      <w:r>
        <w:t xml:space="preserve">a) El Scrum Master</w:t>
      </w:r>
    </w:p>
    <w:p>
      <w:pPr>
        <w:pStyle w:val="Compact"/>
        <w:numPr>
          <w:ilvl w:val="1"/>
          <w:numId w:val="1008"/>
        </w:numPr>
      </w:pPr>
      <w:r>
        <w:t xml:space="preserve">b) Un auditor externo, independiente del equipo Scrum</w:t>
      </w:r>
    </w:p>
    <w:p>
      <w:pPr>
        <w:pStyle w:val="Compact"/>
        <w:numPr>
          <w:ilvl w:val="1"/>
          <w:numId w:val="1008"/>
        </w:numPr>
      </w:pPr>
      <w:r>
        <w:t xml:space="preserve">c) El desarrollador del módulo de telemedicina</w:t>
      </w:r>
    </w:p>
    <w:p>
      <w:pPr>
        <w:pStyle w:val="Compact"/>
        <w:numPr>
          <w:ilvl w:val="1"/>
          <w:numId w:val="1008"/>
        </w:numPr>
      </w:pPr>
      <w:r>
        <w:t xml:space="preserve">d) El Product Owner</w:t>
      </w:r>
    </w:p>
    <w:p>
      <w:pPr>
        <w:numPr>
          <w:ilvl w:val="0"/>
          <w:numId w:val="1005"/>
        </w:numPr>
      </w:pPr>
      <w:r>
        <w:t xml:space="preserve">¿Qué porcentaje de los cambios de la sección 2.3 se desplegó sin revisión ni aprobación registrada?</w:t>
      </w:r>
    </w:p>
    <w:p>
      <w:pPr>
        <w:pStyle w:val="Compact"/>
        <w:numPr>
          <w:ilvl w:val="1"/>
          <w:numId w:val="1009"/>
        </w:numPr>
      </w:pPr>
      <w:r>
        <w:t xml:space="preserve">a) 20 %</w:t>
      </w:r>
    </w:p>
    <w:p>
      <w:pPr>
        <w:pStyle w:val="Compact"/>
        <w:numPr>
          <w:ilvl w:val="1"/>
          <w:numId w:val="1009"/>
        </w:numPr>
      </w:pPr>
      <w:r>
        <w:t xml:space="preserve">b) 40 %</w:t>
      </w:r>
    </w:p>
    <w:p>
      <w:pPr>
        <w:pStyle w:val="Compact"/>
        <w:numPr>
          <w:ilvl w:val="1"/>
          <w:numId w:val="1009"/>
        </w:numPr>
      </w:pPr>
      <w:r>
        <w:t xml:space="preserve">c) 60 %</w:t>
      </w:r>
    </w:p>
    <w:p>
      <w:pPr>
        <w:pStyle w:val="Compact"/>
        <w:numPr>
          <w:ilvl w:val="1"/>
          <w:numId w:val="1009"/>
        </w:numPr>
      </w:pPr>
      <w:r>
        <w:t xml:space="preserve">d) 80 %</w:t>
      </w:r>
    </w:p>
    <w:p>
      <w:pPr>
        <w:numPr>
          <w:ilvl w:val="0"/>
          <w:numId w:val="1005"/>
        </w:numPr>
      </w:pPr>
      <w:r>
        <w:t xml:space="preserve">¿Qué porcentaje de las pruebas críticas de la sección 2.4 fue ejecutado?</w:t>
      </w:r>
    </w:p>
    <w:p>
      <w:pPr>
        <w:pStyle w:val="Compact"/>
        <w:numPr>
          <w:ilvl w:val="1"/>
          <w:numId w:val="1010"/>
        </w:numPr>
      </w:pPr>
      <w:r>
        <w:t xml:space="preserve">a) 25 %</w:t>
      </w:r>
    </w:p>
    <w:p>
      <w:pPr>
        <w:pStyle w:val="Compact"/>
        <w:numPr>
          <w:ilvl w:val="1"/>
          <w:numId w:val="1010"/>
        </w:numPr>
      </w:pPr>
      <w:r>
        <w:t xml:space="preserve">b) 40 %</w:t>
      </w:r>
    </w:p>
    <w:p>
      <w:pPr>
        <w:pStyle w:val="Compact"/>
        <w:numPr>
          <w:ilvl w:val="1"/>
          <w:numId w:val="1010"/>
        </w:numPr>
      </w:pPr>
      <w:r>
        <w:t xml:space="preserve">c) 50 %</w:t>
      </w:r>
    </w:p>
    <w:p>
      <w:pPr>
        <w:pStyle w:val="Compact"/>
        <w:numPr>
          <w:ilvl w:val="1"/>
          <w:numId w:val="1010"/>
        </w:numPr>
      </w:pPr>
      <w:r>
        <w:t xml:space="preserve">d) 75 %</w:t>
      </w:r>
    </w:p>
    <w:bookmarkEnd w:id="37"/>
    <w:bookmarkEnd w:id="38"/>
    <w:sectPr>
      <w:pgSz w:w="12240" w:h="15840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Calibri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2026-10-22T19:01:27Z</dcterms:created>
  <dcterms:modified xsi:type="dcterms:W3CDTF">2026-10-22T19:01:27Z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