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80" w:before="600"/><w:jc w:val="center"/></w:pPr><w:r><w:rPr><w:rFonts w:ascii="Arial" w:cs="Arial" w:eastAsia="Arial" w:hAnsi="Arial"/><w:b/><w:bCs/><w:i w:val="false"/><w:iCs w:val="false"/><w:color w:val="0F6E56"/><w:sz w:val="72"/><w:szCs w:val="72"/></w:rPr><w:t xml:space="preserve">BoviWatch</w:t></w:r></w:p><w:p><w:pPr><w:spacing w:after="80"/><w:jc w:val="center"/></w:pPr><w:r><w:rPr><w:rFonts w:ascii="Arial" w:cs="Arial" w:eastAsia="Arial" w:hAnsi="Arial"/><w:b w:val="false"/><w:bCs w:val="false"/><w:i/><w:iCs/><w:color w:val="666666"/><w:sz w:val="30"/><w:szCs w:val="30"/></w:rPr><w:t xml:space="preserve">Digital Twin for Animal Welfare in Dairy Cattle</w:t></w:r></w:p><w:p><w:pPr><w:pBdr><w:bottom w:val="single" w:color="1D9E75" w:sz="6" w:space="8"/></w:pBdr><w:spacing w:after="60"/><w:jc w:val="center"/></w:pPr><w:r><w:rPr><w:rFonts w:ascii="Arial" w:cs="Arial" w:eastAsia="Arial" w:hAnsi="Arial"/><w:b w:val="false"/><w:bCs w:val="false"/><w:i w:val="false"/><w:iCs w:val="false"/><w:color w:val="1A1A1A"/><w:sz w:val="22"/><w:szCs w:val="22"/></w:rPr><w:t xml:space="preserve"> </w:t></w:r></w:p><w:p><w:pPr><w:spacing w:after="80"/><w:jc w:val="center"/></w:pPr><w:r><w:rPr><w:rFonts w:ascii="Arial" w:cs="Arial" w:eastAsia="Arial" w:hAnsi="Arial"/><w:b/><w:bCs/><w:i w:val="false"/><w:iCs w:val="false"/><w:color w:val="1A1A1A"/><w:sz w:val="26"/><w:szCs w:val="26"/></w:rPr><w:t xml:space="preserve">InoCrowd Challenge Submission</w:t></w:r></w:p><w:p><w:pPr><w:spacing w:after="80"/><w:jc w:val="center"/></w:pPr><w:r><w:rPr><w:rFonts w:ascii="Arial" w:cs="Arial" w:eastAsia="Arial" w:hAnsi="Arial"/><w:b w:val="false"/><w:bCs w:val="false"/><w:i/><w:iCs/><w:color w:val="666666"/><w:sz w:val="22"/><w:szCs w:val="22"/></w:rPr><w:t xml:space="preserve">Advanced and Predictive Monitoring of Animal Welfare in a Dairy Cattle Production Unit</w:t></w:r></w:p><w:p><w:pPr><w:spacing w:after="80"/><w:jc w:val="center"/></w:pPr><w:r><w:rPr><w:rFonts w:ascii="Arial" w:cs="Arial" w:eastAsia="Arial" w:hAnsi="Arial"/><w:b w:val="false"/><w:bCs w:val="false"/><w:i w:val="false"/><w:iCs w:val="false"/><w:color w:val="666666"/><w:sz w:val="22"/><w:szCs w:val="22"/></w:rPr><w:t xml:space="preserve">Seeker · Welfair Quality · 2026</w:t></w:r></w:p><w:p><w:pPr><w:spacing w:after="80"/></w:pPr><w:r><w:rPr><w:rFonts w:ascii="Arial" w:cs="Arial" w:eastAsia="Arial" w:hAnsi="Arial"/><w:b w:val="false"/><w:bCs w:val="false"/><w:i w:val="false"/><w:iCs w:val="false"/><w:color w:val="1A1A1A"/><w:sz w:val="22"/><w:szCs w:val="22"/></w:rPr><w:t xml:space="preserve"></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800"/><w:gridCol w:w="6400"/></w:tblGrid><w:tr><w:tc><w:tcPr><w:tcW w:type="dxa" w:w="2800"/><w:tcBorders><w:top w:val="single" w:color="CCCCCC" w:sz="1"/><w:left w:val="single" w:color="CCCCCC" w:sz="1"/><w:bottom w:val="single" w:color="CCCCCC" w:sz="1"/><w:right w:val="single" w:color="CCCCCC" w:sz="1"/></w:tcBorders><w:shd w:fill="F0FAF6" w:val="clear"/><w:tcMar><w:top w:type="dxa" w:w="90"/><w:left w:type="dxa" w:w="120"/><w:bottom w:type="dxa" w:w="90"/><w:right w:type="dxa" w:w="80"/></w:tcMar></w:tcPr><w:p><w:r><w:rPr><w:rFonts w:ascii="Arial" w:cs="Arial" w:eastAsia="Arial" w:hAnsi="Arial"/><w:b/><w:bCs/><w:i w:val="false"/><w:iCs w:val="false"/><w:color w:val="0F6E56"/><w:sz w:val="20"/><w:szCs w:val="20"/></w:rPr><w:t xml:space="preserve">Applicant</w:t></w:r></w:p></w:tc><w:tc><w:tcPr><w:tcW w:type="dxa" w:w="6400"/><w:tcBorders><w:top w:val="single" w:color="CCCCCC" w:sz="1"/><w:left w:val="single" w:color="CCCCCC" w:sz="1"/><w:bottom w:val="single" w:color="CCCCCC" w:sz="1"/><w:right w:val="single" w:color="CCCCCC" w:sz="1"/></w:tcBorders><w:shd w:fill="F0FAF6" w:val="clear"/><w:tcMar><w:top w:type="dxa" w:w="90"/><w:left w:type="dxa" w:w="120"/><w:bottom w:type="dxa" w:w="90"/><w:right w:type="dxa" w:w="80"/></w:tcMar></w:tcPr><w:p><w:r><w:rPr><w:rFonts w:ascii="Arial" w:cs="Arial" w:eastAsia="Arial" w:hAnsi="Arial"/><w:b w:val="false"/><w:bCs w:val="false"/><w:i w:val="false"/><w:iCs w:val="false"/><w:color w:val="1A1A1A"/><w:sz w:val="20"/><w:szCs w:val="20"/></w:rPr><w:t xml:space="preserve">Cesar Agliardi Pereira</w:t></w:r></w:p></w:tc></w:tr><w:tr><w:tc><w:tcPr><w:tcW w:type="dxa" w:w="2800"/><w:tcBorders><w:top w:val="single" w:color="CCCCCC" w:sz="1"/><w:left w:val="single" w:color="CCCCCC" w:sz="1"/><w:bottom w:val="single" w:color="CCCCCC" w:sz="1"/><w:right w:val="single" w:color="CCCCCC" w:sz="1"/></w:tcBorders><w:shd w:fill="FFFFFF" w:val="clear"/><w:tcMar><w:top w:type="dxa" w:w="90"/><w:left w:type="dxa" w:w="120"/><w:bottom w:type="dxa" w:w="90"/><w:right w:type="dxa" w:w="80"/></w:tcMar></w:tcPr><w:p><w:r><w:rPr><w:rFonts w:ascii="Arial" w:cs="Arial" w:eastAsia="Arial" w:hAnsi="Arial"/><w:b/><w:bCs/><w:i w:val="false"/><w:iCs w:val="false"/><w:color w:val="0F6E56"/><w:sz w:val="20"/><w:szCs w:val="20"/></w:rPr><w:t xml:space="preserve">Location</w:t></w:r></w:p></w:tc><w:tc><w:tcPr><w:tcW w:type="dxa" w:w="6400"/><w:tcBorders><w:top w:val="single" w:color="CCCCCC" w:sz="1"/><w:left w:val="single" w:color="CCCCCC" w:sz="1"/><w:bottom w:val="single" w:color="CCCCCC" w:sz="1"/><w:right w:val="single" w:color="CCCCCC" w:sz="1"/></w:tcBorders><w:shd w:fill="FFFFFF" w:val="clear"/><w:tcMar><w:top w:type="dxa" w:w="90"/><w:left w:type="dxa" w:w="120"/><w:bottom w:type="dxa" w:w="90"/><w:right w:type="dxa" w:w="80"/></w:tcMar></w:tcPr><w:p><w:r><w:rPr><w:rFonts w:ascii="Arial" w:cs="Arial" w:eastAsia="Arial" w:hAnsi="Arial"/><w:b w:val="false"/><w:bCs w:val="false"/><w:i w:val="false"/><w:iCs w:val="false"/><w:color w:val="1A1A1A"/><w:sz w:val="20"/><w:szCs w:val="20"/></w:rPr><w:t xml:space="preserve">Gravataí, RS, Brazil</w:t></w:r></w:p></w:tc></w:tr><w:tr><w:tc><w:tcPr><w:tcW w:type="dxa" w:w="2800"/><w:tcBorders><w:top w:val="single" w:color="CCCCCC" w:sz="1"/><w:left w:val="single" w:color="CCCCCC" w:sz="1"/><w:bottom w:val="single" w:color="CCCCCC" w:sz="1"/><w:right w:val="single" w:color="CCCCCC" w:sz="1"/></w:tcBorders><w:shd w:fill="F0FAF6" w:val="clear"/><w:tcMar><w:top w:type="dxa" w:w="90"/><w:left w:type="dxa" w:w="120"/><w:bottom w:type="dxa" w:w="90"/><w:right w:type="dxa" w:w="80"/></w:tcMar></w:tcPr><w:p><w:r><w:rPr><w:rFonts w:ascii="Arial" w:cs="Arial" w:eastAsia="Arial" w:hAnsi="Arial"/><w:b/><w:bCs/><w:i w:val="false"/><w:iCs w:val="false"/><w:color w:val="0F6E56"/><w:sz w:val="20"/><w:szCs w:val="20"/></w:rPr><w:t xml:space="preserve">Profile</w:t></w:r></w:p></w:tc><w:tc><w:tcPr><w:tcW w:type="dxa" w:w="6400"/><w:tcBorders><w:top w:val="single" w:color="CCCCCC" w:sz="1"/><w:left w:val="single" w:color="CCCCCC" w:sz="1"/><w:bottom w:val="single" w:color="CCCCCC" w:sz="1"/><w:right w:val="single" w:color="CCCCCC" w:sz="1"/></w:tcBorders><w:shd w:fill="F0FAF6" w:val="clear"/><w:tcMar><w:top w:type="dxa" w:w="90"/><w:left w:type="dxa" w:w="120"/><w:bottom w:type="dxa" w:w="90"/><w:right w:type="dxa" w:w="80"/></w:tcMar></w:tcPr><w:p><w:r><w:rPr><w:rFonts w:ascii="Arial" w:cs="Arial" w:eastAsia="Arial" w:hAnsi="Arial"/><w:b w:val="false"/><w:bCs w:val="false"/><w:i w:val="false"/><w:iCs w:val="false"/><w:color w:val="1A1A1A"/><w:sz w:val="20"/><w:szCs w:val="20"/></w:rPr><w:t xml:space="preserve">Independent Researcher — Theoretical Physics &amp; Risk Modelling</w:t></w:r></w:p></w:tc></w:tr><w:tr><w:tc><w:tcPr><w:tcW w:type="dxa" w:w="2800"/><w:tcBorders><w:top w:val="single" w:color="CCCCCC" w:sz="1"/><w:left w:val="single" w:color="CCCCCC" w:sz="1"/><w:bottom w:val="single" w:color="CCCCCC" w:sz="1"/><w:right w:val="single" w:color="CCCCCC" w:sz="1"/></w:tcBorders><w:shd w:fill="FFFFFF" w:val="clear"/><w:tcMar><w:top w:type="dxa" w:w="90"/><w:left w:type="dxa" w:w="120"/><w:bottom w:type="dxa" w:w="90"/><w:right w:type="dxa" w:w="80"/></w:tcMar></w:tcPr><w:p><w:r><w:rPr><w:rFonts w:ascii="Arial" w:cs="Arial" w:eastAsia="Arial" w:hAnsi="Arial"/><w:b/><w:bCs/><w:i w:val="false"/><w:iCs w:val="false"/><w:color w:val="0F6E56"/><w:sz w:val="20"/><w:szCs w:val="20"/></w:rPr><w:t xml:space="preserve">Classification</w:t></w:r></w:p></w:tc><w:tc><w:tcPr><w:tcW w:type="dxa" w:w="6400"/><w:tcBorders><w:top w:val="single" w:color="CCCCCC" w:sz="1"/><w:left w:val="single" w:color="CCCCCC" w:sz="1"/><w:bottom w:val="single" w:color="CCCCCC" w:sz="1"/><w:right w:val="single" w:color="CCCCCC" w:sz="1"/></w:tcBorders><w:shd w:fill="FFFFFF" w:val="clear"/><w:tcMar><w:top w:type="dxa" w:w="90"/><w:left w:type="dxa" w:w="120"/><w:bottom w:type="dxa" w:w="90"/><w:right w:type="dxa" w:w="80"/></w:tcMar></w:tcPr><w:p><w:r><w:rPr><w:rFonts w:ascii="Arial" w:cs="Arial" w:eastAsia="Arial" w:hAnsi="Arial"/><w:b w:val="false"/><w:bCs w:val="false"/><w:i w:val="false"/><w:iCs w:val="false"/><w:color w:val="1A1A1A"/><w:sz w:val="20"/><w:szCs w:val="20"/></w:rPr><w:t xml:space="preserve">Confidential · Proprietary Intellectual Property</w:t></w:r></w:p></w:tc></w:tr><w:tr><w:tc><w:tcPr><w:tcW w:type="dxa" w:w="2800"/><w:tcBorders><w:top w:val="single" w:color="CCCCCC" w:sz="1"/><w:left w:val="single" w:color="CCCCCC" w:sz="1"/><w:bottom w:val="single" w:color="CCCCCC" w:sz="1"/><w:right w:val="single" w:color="CCCCCC" w:sz="1"/></w:tcBorders><w:shd w:fill="F0FAF6" w:val="clear"/><w:tcMar><w:top w:type="dxa" w:w="90"/><w:left w:type="dxa" w:w="120"/><w:bottom w:type="dxa" w:w="90"/><w:right w:type="dxa" w:w="80"/></w:tcMar></w:tcPr><w:p><w:r><w:rPr><w:rFonts w:ascii="Arial" w:cs="Arial" w:eastAsia="Arial" w:hAnsi="Arial"/><w:b/><w:bCs/><w:i w:val="false"/><w:iCs w:val="false"/><w:color w:val="0F6E56"/><w:sz w:val="20"/><w:szCs w:val="20"/></w:rPr><w:t xml:space="preserve">Date</w:t></w:r></w:p></w:tc><w:tc><w:tcPr><w:tcW w:type="dxa" w:w="6400"/><w:tcBorders><w:top w:val="single" w:color="CCCCCC" w:sz="1"/><w:left w:val="single" w:color="CCCCCC" w:sz="1"/><w:bottom w:val="single" w:color="CCCCCC" w:sz="1"/><w:right w:val="single" w:color="CCCCCC" w:sz="1"/></w:tcBorders><w:shd w:fill="F0FAF6" w:val="clear"/><w:tcMar><w:top w:type="dxa" w:w="90"/><w:left w:type="dxa" w:w="120"/><w:bottom w:type="dxa" w:w="90"/><w:right w:type="dxa" w:w="80"/></w:tcMar></w:tcPr><w:p><w:r><w:rPr><w:rFonts w:ascii="Arial" w:cs="Arial" w:eastAsia="Arial" w:hAnsi="Arial"/><w:b w:val="false"/><w:bCs w:val="false"/><w:i w:val="false"/><w:iCs w:val="false"/><w:color w:val="1A1A1A"/><w:sz w:val="20"/><w:szCs w:val="20"/></w:rPr><w:t xml:space="preserve">April 2026</w:t></w:r></w:p></w:tc></w:tr></w:tbl><w:p><w:pPr><w:spacing w:after="80"/></w:pPr><w:r><w:rPr><w:rFonts w:ascii="Arial" w:cs="Arial" w:eastAsia="Arial" w:hAnsi="Arial"/><w:b w:val="false"/><w:bCs w:val="false"/><w:i w:val="false"/><w:iCs w:val="false"/><w:color w:val="1A1A1A"/><w:sz w:val="22"/><w:szCs w:val="22"/></w:rPr><w:t xml:space="preserve"></w:t></w:r></w:p><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1. Executive Summary</w:t></w:r></w:p><w:p><w:pPr><w:spacing w:after="160"/></w:pPr><w:r><w:rPr><w:rFonts w:ascii="Arial" w:cs="Arial" w:eastAsia="Arial" w:hAnsi="Arial"/><w:b w:val="false"/><w:bCs w:val="false"/><w:i w:val="false"/><w:iCs w:val="false"/><w:color w:val="1A1A1A"/><w:sz w:val="22"/><w:szCs w:val="22"/></w:rPr><w:t xml:space="preserve">BoviWatch is a next-generation Digital Twin platform, designed to fundamentally transform the way Seeker evaluates, certifies, and improves animal welfare across its dairy production units.</w:t></w:r></w:p><w:p><w:pPr><w:spacing w:after="160"/></w:pPr><w:r><w:rPr><w:rFonts w:ascii="Arial" w:cs="Arial" w:eastAsia="Arial" w:hAnsi="Arial"/><w:b w:val="false"/><w:bCs w:val="false"/><w:i w:val="false"/><w:iCs w:val="false"/><w:color w:val="1A1A1A"/><w:sz w:val="22"/><w:szCs w:val="22"/></w:rPr><w:t xml:space="preserve">The system is not an alert dashboard. It is a living digital replica of each individual animal — a computational entity that learns the unique physiological pattern of each cow over time, models its present state across multiple simultaneous dimensions, and detects deviations up to 18 months before any clinical sign becomes visible.</w:t></w:r></w:p><w:p><w:pPr><w:spacing w:after="160"/></w:pPr><w:r><w:rPr><w:rFonts w:ascii="Arial" w:cs="Arial" w:eastAsia="Arial" w:hAnsi="Arial"/><w:b w:val="false"/><w:bCs w:val="false"/><w:i w:val="false"/><w:iCs w:val="false"/><w:color w:val="1A1A1A"/><w:sz w:val="22"/><w:szCs w:val="22"/></w:rPr><w:t xml:space="preserve">This proposal fully addresses the 7 technical modules defined in Annex I, the Welfair Quality certification framework described in Annex II, and positions Seeker as the European benchmark in the digitalisation of animal welfare — with direct potential for ESG differentiation, traceability, and intellectual property protection.</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9200"/></w:tblGrid><w:tr><w:tc><w:tcPr><w:tcW w:type="dxa" w:w="9200"/><w:tcBorders><w:top w:val="single" w:color="CCCCCC" w:sz="1"/><w:left w:val="single" w:color="CCCCCC" w:sz="1"/><w:bottom w:val="single" w:color="CCCCCC" w:sz="1"/><w:right w:val="single" w:color="CCCCCC" w:sz="1"/></w:tcBorders><w:shd w:fill="E1F5EE" w:val="clear"/><w:tcMar><w:top w:type="dxa" w:w="160"/><w:left w:type="dxa" w:w="200"/><w:bottom w:type="dxa" w:w="160"/><w:right w:type="dxa" w:w="200"/></w:tcMar></w:tcPr><w:p><w:pPr><w:spacing w:after="80"/></w:pPr><w:r><w:rPr><w:rFonts w:ascii="Arial" w:cs="Arial" w:eastAsia="Arial" w:hAnsi="Arial"/><w:b/><w:bCs/><w:i w:val="false"/><w:iCs w:val="false"/><w:color w:val="0F6E56"/><w:sz w:val="22"/><w:szCs w:val="22"/></w:rPr><w:t xml:space="preserve">Value Proposition in Three Sentences</w:t></w:r></w:p><w:p><w:pPr><w:spacing w:after="80"/></w:pPr><w:r><w:rPr><w:rFonts w:ascii="Arial" w:cs="Arial" w:eastAsia="Arial" w:hAnsi="Arial"/><w:b w:val="false"/><w:bCs w:val="false"/><w:i w:val="false"/><w:iCs w:val="false"/><w:color w:val="0F4A3A"/><w:sz w:val="20"/><w:szCs w:val="20"/></w:rPr><w:t xml:space="preserve">① BoviWatch creates an individual digital twin of each animal — not a herd average — capturing its physiological history, environment, and social interactions in real time.</w:t></w:r></w:p><w:p><w:pPr><w:spacing w:after="80"/></w:pPr><w:r><w:rPr><w:rFonts w:ascii="Arial" w:cs="Arial" w:eastAsia="Arial" w:hAnsi="Arial"/><w:b w:val="false"/><w:bCs w:val="false"/><w:i w:val="false"/><w:iCs w:val="false"/><w:color w:val="0F4A3A"/><w:sz w:val="20"/><w:szCs w:val="20"/></w:rPr><w:t xml:space="preserve">② The D/M* predictive engine detects combinations of risk factors that conventional systems cannot see, anticipating mastitis, subclinical acidosis, heat stress, and lameness weeks or months before clinical collapse.</w:t></w:r></w:p><w:p><w:pPr><w:spacing w:after="80"/></w:pPr><w:r><w:rPr><w:rFonts w:ascii="Arial" w:cs="Arial" w:eastAsia="Arial" w:hAnsi="Arial"/><w:b w:val="false"/><w:bCs w:val="false"/><w:i w:val="false"/><w:iCs w:val="false"/><w:color w:val="0F4A3A"/><w:sz w:val="20"/><w:szCs w:val="20"/></w:rPr><w:t xml:space="preserve">③ Every alert generated is traceable, auditable, and exportable as a Welfair Quality report — transforming certification from a periodic, subjective process into a continuous, objective stream of verifiable data.</w:t></w:r></w:p></w:tc></w:tr></w:tbl><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2. The Problem We Solve</w:t></w:r></w:p><w:p><w:pPr><w:spacing w:after="160"/></w:pPr><w:r><w:rPr><w:rFonts w:ascii="Arial" w:cs="Arial" w:eastAsia="Arial" w:hAnsi="Arial"/><w:b w:val="false"/><w:bCs w:val="false"/><w:i w:val="false"/><w:iCs w:val="false"/><w:color w:val="1A1A1A"/><w:sz w:val="22"/><w:szCs w:val="22"/></w:rPr><w:t xml:space="preserve">Seeker faces a growing and structural pressure: European markets, consumers, and auditors demand continuous, objective, and traceable evidence of animal welfare — something current methods cannot provide.</w:t></w:r></w:p><w:p><w:pPr><w:pStyle w:val="Heading2"/><w:spacing w:after="120" w:before="300"/></w:pPr><w:r><w:rPr><w:rFonts w:ascii="Arial" w:cs="Arial" w:eastAsia="Arial" w:hAnsi="Arial"/><w:b/><w:bCs/><w:i w:val="false"/><w:iCs w:val="false"/><w:color w:val="0F6E56"/><w:sz w:val="26"/><w:szCs w:val="26"/></w:rPr><w:t xml:space="preserve">2.1 The Limitations of the Current Model</w:t></w:r></w:p><w:p><w:pPr><w:spacing w:after="160"/></w:pPr><w:r><w:rPr><w:rFonts w:ascii="Arial" w:cs="Arial" w:eastAsia="Arial" w:hAnsi="Arial"/><w:b w:val="false"/><w:bCs w:val="false"/><w:i w:val="false"/><w:iCs w:val="false"/><w:color w:val="1A1A1A"/><w:sz w:val="22"/><w:szCs w:val="22"/></w:rPr><w:t xml:space="preserve">Market-available monitoring systems — collars, thermal cameras, periodic audits — offer a fragmented and reactive view. Each sensor responds to a single parameter. None of them integrates the animal&apos;s history. None of them detects the moment when multiple risk factors combine into a trajectory of imminent collapse.</w:t></w:r></w:p><w:p><w:pPr><w:spacing w:after="160"/></w:pPr><w:r><w:rPr><w:rFonts w:ascii="Arial" w:cs="Arial" w:eastAsia="Arial" w:hAnsi="Arial"/><w:b w:val="false"/><w:bCs w:val="false"/><w:i w:val="false"/><w:iCs w:val="false"/><w:color w:val="1A1A1A"/><w:sz w:val="22"/><w:szCs w:val="22"/></w:rPr><w:t xml:space="preserve">The result is predictable: problems are detected late. Mastitis is confirmed after productive collapse. Lameness is identified when it has already compromised locomotion. Heat stress is recorded when metabolic damage has already occurred.</w:t></w:r></w:p><w:p><w:pPr><w:spacing w:after="160"/></w:pPr><w:r><w:rPr><w:rFonts w:ascii="Arial" w:cs="Arial" w:eastAsia="Arial" w:hAnsi="Arial"/><w:b w:val="false"/><w:bCs w:val="false"/><w:i w:val="false"/><w:iCs w:val="false"/><w:color w:val="1A1A1A"/><w:sz w:val="22"/><w:szCs w:val="22"/></w:rPr><w:t xml:space="preserve">The assessment of social and emotional behaviour — dominance, interactions, affective states — depends entirely on human observation, subjective by nature and impossible to scale.</w:t></w:r></w:p><w:p><w:pPr><w:pStyle w:val="Heading2"/><w:spacing w:after="120" w:before="300"/></w:pPr><w:r><w:rPr><w:rFonts w:ascii="Arial" w:cs="Arial" w:eastAsia="Arial" w:hAnsi="Arial"/><w:b/><w:bCs/><w:i w:val="false"/><w:iCs w:val="false"/><w:color w:val="0F6E56"/><w:sz w:val="26"/><w:szCs w:val="26"/></w:rPr><w:t xml:space="preserve">2.2 The Real Cost of This Gap</w:t></w:r></w:p><w:p><w:pPr><w:spacing w:after="160"/></w:pPr><w:r><w:rPr><w:rFonts w:ascii="Arial" w:cs="Arial" w:eastAsia="Arial" w:hAnsi="Arial"/><w:b w:val="false"/><w:bCs w:val="false"/><w:i w:val="false"/><w:iCs w:val="false"/><w:color w:val="1A1A1A"/><w:sz w:val="22"/><w:szCs w:val="22"/></w:rPr><w:t xml:space="preserve">Every undetected mastitis episode represents production losses, veterinary costs, and direct impact on the physical-chemical quality of milk. Every unidentified heat-stressed animal contributes to the raw material variability that Seeker needs to control. Every Welfair Quality audit conducted without continuous data is a vulnerability point in the certification chain.</w:t></w:r></w:p><w:p><w:pPr><w:spacing w:after="160"/></w:pPr><w:r><w:rPr><w:rFonts w:ascii="Arial" w:cs="Arial" w:eastAsia="Arial" w:hAnsi="Arial"/><w:b w:val="false"/><w:bCs w:val="false"/><w:i w:val="false"/><w:iCs w:val="false"/><w:color w:val="1A1A1A"/><w:sz w:val="22"/><w:szCs w:val="22"/></w:rPr><w:t xml:space="preserve">BoviWatch was designed to eliminate exactly this gap — not with yet another isolated sensor, but with an integrated architecture that reasons about the animal as a complex dynamic system.</w:t></w:r></w:p><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3. The Solution: BoviWatch Digital Twin</w:t></w:r></w:p><w:p><w:pPr><w:spacing w:after="160"/></w:pPr><w:r><w:rPr><w:rFonts w:ascii="Arial" w:cs="Arial" w:eastAsia="Arial" w:hAnsi="Arial"/><w:b w:val="false"/><w:bCs w:val="false"/><w:i w:val="false"/><w:iCs w:val="false"/><w:color w:val="1A1A1A"/><w:sz w:val="22"/><w:szCs w:val="22"/></w:rPr><w:t xml:space="preserve">BoviWatch is a modular, scalable, and interoperable platform that creates and maintains a Digital Twin of each animal and of the production unit as a whole. The architecture integrates five functional layers operating in real time and in a synchronised manner.</w:t></w:r></w:p><w:p><w:pPr><w:pStyle w:val="Heading2"/><w:spacing w:after="120" w:before="300"/></w:pPr><w:r><w:rPr><w:rFonts w:ascii="Arial" w:cs="Arial" w:eastAsia="Arial" w:hAnsi="Arial"/><w:b/><w:bCs/><w:i w:val="false"/><w:iCs w:val="false"/><w:color w:val="0F6E56"/><w:sz w:val="26"/><w:szCs w:val="26"/></w:rPr><w:t xml:space="preserve">3.1 System Architecture</w:t></w:r></w:p><w:p><w:pPr><w:spacing w:after="80" w:before="200"/></w:pPr><w:r><w:rPr><w:rFonts w:ascii="Arial" w:cs="Arial" w:eastAsia="Arial" w:hAnsi="Arial"/><w:b/><w:bCs/><w:i w:val="false"/><w:iCs w:val="false"/><w:color w:val="1A1A1A"/><w:sz w:val="22"/><w:szCs w:val="22"/></w:rPr><w:t xml:space="preserve">Layer 1 — Data Ingestion (Hardware-Agnostic)</w:t></w:r></w:p><w:p><w:pPr><w:spacing w:after="160"/></w:pPr><w:r><w:rPr><w:rFonts w:ascii="Arial" w:cs="Arial" w:eastAsia="Arial" w:hAnsi="Arial"/><w:b w:val="false"/><w:bCs w:val="false"/><w:i w:val="false"/><w:iCs w:val="false"/><w:color w:val="1A1A1A"/><w:sz w:val="22"/><w:szCs w:val="22"/></w:rPr><w:t xml:space="preserve">The system natively integrates data from any combination of sources:</w:t></w:r></w:p><w:p><w:pPr><w:pStyle w:val="ListParagraph"/><w:numPr><w:ilvl w:val="0"/><w:numId w:val="2"/></w:numPr><w:spacing w:after="100"/></w:pPr><w:r><w:rPr><w:rFonts w:ascii="Arial" w:cs="Arial" w:eastAsia="Arial" w:hAnsi="Arial"/><w:b w:val="false"/><w:bCs w:val="false"/><w:i w:val="false"/><w:iCs w:val="false"/><w:color w:val="1A1A1A"/><w:sz w:val="21"/><w:szCs w:val="21"/></w:rPr><w:t xml:space="preserve">Smart collars (Allflex, SCR, others) — temperature, accelerometer, rumination</w:t></w:r></w:p><w:p><w:pPr><w:pStyle w:val="ListParagraph"/><w:numPr><w:ilvl w:val="0"/><w:numId w:val="2"/></w:numPr><w:spacing w:after="100"/></w:pPr><w:r><w:rPr><w:rFonts w:ascii="Arial" w:cs="Arial" w:eastAsia="Arial" w:hAnsi="Arial"/><w:b w:val="false"/><w:bCs w:val="false"/><w:i w:val="false"/><w:iCs w:val="false"/><w:color w:val="1A1A1A"/><w:sz w:val="21"/><w:szCs w:val="21"/></w:rPr><w:t xml:space="preserve">RGB and thermal cameras — behavioural analysis, eye temperature, posture, gait</w:t></w:r></w:p><w:p><w:pPr><w:pStyle w:val="ListParagraph"/><w:numPr><w:ilvl w:val="0"/><w:numId w:val="2"/></w:numPr><w:spacing w:after="100"/></w:pPr><w:r><w:rPr><w:rFonts w:ascii="Arial" w:cs="Arial" w:eastAsia="Arial" w:hAnsi="Arial"/><w:b w:val="false"/><w:bCs w:val="false"/><w:i w:val="false"/><w:iCs w:val="false"/><w:color w:val="1A1A1A"/><w:sz w:val="21"/><w:szCs w:val="21"/></w:rPr><w:t xml:space="preserve">Environmental sensors — temperature, humidity, NH₃, air speed per zone</w:t></w:r></w:p><w:p><w:pPr><w:pStyle w:val="ListParagraph"/><w:numPr><w:ilvl w:val="0"/><w:numId w:val="2"/></w:numPr><w:spacing w:after="100"/></w:pPr><w:r><w:rPr><w:rFonts w:ascii="Arial" w:cs="Arial" w:eastAsia="Arial" w:hAnsi="Arial"/><w:b w:val="false"/><w:bCs w:val="false"/><w:i w:val="false"/><w:iCs w:val="false"/><w:color w:val="1A1A1A"/><w:sz w:val="21"/><w:szCs w:val="21"/></w:rPr><w:t xml:space="preserve">Milking equipment — milk physico-chemical parameters, heart rate</w:t></w:r></w:p><w:p><w:pPr><w:pStyle w:val="ListParagraph"/><w:numPr><w:ilvl w:val="0"/><w:numId w:val="2"/></w:numPr><w:spacing w:after="100"/></w:pPr><w:r><w:rPr><w:rFonts w:ascii="Arial" w:cs="Arial" w:eastAsia="Arial" w:hAnsi="Arial"/><w:b w:val="false"/><w:bCs w:val="false"/><w:i w:val="false"/><w:iCs w:val="false"/><w:color w:val="1A1A1A"/><w:sz w:val="21"/><w:szCs w:val="21"/></w:rPr><w:t xml:space="preserve">External data — weather forecasts, historical production data</w:t></w:r></w:p><w:p><w:pPr><w:spacing w:after="200"/></w:pPr><w:r><w:rPr><w:rFonts w:ascii="Arial" w:cs="Arial" w:eastAsia="Arial" w:hAnsi="Arial"/><w:b w:val="false"/><w:bCs w:val="false"/><w:i w:val="false"/><w:iCs w:val="false"/><w:color w:val="1A1A1A"/><w:sz w:val="22"/><w:szCs w:val="22"/></w:rPr><w:t xml:space="preserve">Integration is achieved via open-protocol REST API, hardware-manufacturer agnostic. New sensors or data sources are added without altering the predictive core.</w:t></w:r></w:p><w:p><w:pPr><w:spacing w:after="80" w:before="200"/></w:pPr><w:r><w:rPr><w:rFonts w:ascii="Arial" w:cs="Arial" w:eastAsia="Arial" w:hAnsi="Arial"/><w:b/><w:bCs/><w:i w:val="false"/><w:iCs w:val="false"/><w:color w:val="1A1A1A"/><w:sz w:val="22"/><w:szCs w:val="22"/></w:rPr><w:t xml:space="preserve">Layer 2 — Processing and Normalisation</w:t></w:r></w:p><w:p><w:pPr><w:spacing w:after="160"/></w:pPr><w:r><w:rPr><w:rFonts w:ascii="Arial" w:cs="Arial" w:eastAsia="Arial" w:hAnsi="Arial"/><w:b w:val="false"/><w:bCs w:val="false"/><w:i w:val="false"/><w:iCs w:val="false"/><w:color w:val="1A1A1A"/><w:sz w:val="22"/><w:szCs w:val="22"/></w:rPr><w:t xml:space="preserve">Each data stream is normalised against the individual animal&apos;s historical baseline — not against population averages. A 0.4°C temperature deviation in a cow with a history of chronic hypothermia carries a different meaning than the same deviation in a clinically stable cow. The system learns this distinction automatically.</w:t></w:r></w:p><w:p><w:pPr><w:spacing w:after="80" w:before="200"/></w:pPr><w:r><w:rPr><w:rFonts w:ascii="Arial" w:cs="Arial" w:eastAsia="Arial" w:hAnsi="Arial"/><w:b/><w:bCs/><w:i w:val="false"/><w:iCs w:val="false"/><w:color w:val="1A1A1A"/><w:sz w:val="22"/><w:szCs w:val="22"/></w:rPr><w:t xml:space="preserve">Layer 3 — D/M* Predictive Engine</w:t></w:r></w:p><w:p><w:pPr><w:spacing w:after="160"/></w:pPr><w:r><w:rPr><w:rFonts w:ascii="Arial" w:cs="Arial" w:eastAsia="Arial" w:hAnsi="Arial"/><w:b w:val="false"/><w:bCs w:val="false"/><w:i w:val="false"/><w:iCs w:val="false"/><w:color w:val="1A1A1A"/><w:sz w:val="22"/><w:szCs w:val="22"/></w:rPr><w:t xml:space="preserve">The analytical core of BoviWatch. Described in detail in Section 4.</w:t></w:r></w:p><w:p><w:pPr><w:spacing w:after="80" w:before="200"/></w:pPr><w:r><w:rPr><w:rFonts w:ascii="Arial" w:cs="Arial" w:eastAsia="Arial" w:hAnsi="Arial"/><w:b/><w:bCs/><w:i w:val="false"/><w:iCs w:val="false"/><w:color w:val="1A1A1A"/><w:sz w:val="22"/><w:szCs w:val="22"/></w:rPr><w:t xml:space="preserve">Layer 4 — Digital Twin and Scenario Simulation</w:t></w:r></w:p><w:p><w:pPr><w:spacing w:after="160"/></w:pPr><w:r><w:rPr><w:rFonts w:ascii="Arial" w:cs="Arial" w:eastAsia="Arial" w:hAnsi="Arial"/><w:b w:val="false"/><w:bCs w:val="false"/><w:i w:val="false"/><w:iCs w:val="false"/><w:color w:val="1A1A1A"/><w:sz w:val="22"/><w:szCs w:val="22"/></w:rPr><w:t xml:space="preserve">Each animal is represented by a digital twin that integrates its current physiological state, its 24-month historical memory, and the environmental conditions of its zone. The platform allows simulation of the impact of management interventions — ventilation changes, regrouping, bedding changes — before executing them, with quantified impact estimates on welfare and production.</w:t></w:r></w:p><w:p><w:pPr><w:spacing w:after="80" w:before="200"/></w:pPr><w:r><w:rPr><w:rFonts w:ascii="Arial" w:cs="Arial" w:eastAsia="Arial" w:hAnsi="Arial"/><w:b/><w:bCs/><w:i w:val="false"/><w:iCs w:val="false"/><w:color w:val="1A1A1A"/><w:sz w:val="22"/><w:szCs w:val="22"/></w:rPr><w:t xml:space="preserve">Layer 5 — Dashboard, Alerts, and Reports</w:t></w:r></w:p><w:p><w:pPr><w:spacing w:after="160"/></w:pPr><w:r><w:rPr><w:rFonts w:ascii="Arial" w:cs="Arial" w:eastAsia="Arial" w:hAnsi="Arial"/><w:b w:val="false"/><w:bCs w:val="false"/><w:i w:val="false"/><w:iCs w:val="false"/><w:color w:val="1A1A1A"/><w:sz w:val="22"/><w:szCs w:val="22"/></w:rPr><w:t xml:space="preserve">Multilingual interface (PT, EN, FR, IT, DE, ZH) with a georeferenced farm map, individual herd view, evolution charts, predictive alerts classified by urgency, and PDF export of Welfair Quality audit reports — traceable, digitally signed, and compatible with Seeker&apos;s internal certificate criteria.</w:t></w:r></w:p><w:p><w:pPr><w:spacing w:after="80"/></w:pPr><w:r><w:rPr><w:rFonts w:ascii="Arial" w:cs="Arial" w:eastAsia="Arial" w:hAnsi="Arial"/><w:b w:val="false"/><w:bCs w:val="false"/><w:i w:val="false"/><w:iCs w:val="false"/><w:color w:val="1A1A1A"/><w:sz w:val="22"/><w:szCs w:val="22"/></w:rPr><w:t xml:space="preserve"></w:t></w:r></w:p><w:p><w:pPr><w:pStyle w:val="Heading2"/><w:spacing w:after="120" w:before="300"/></w:pPr><w:r><w:rPr><w:rFonts w:ascii="Arial" w:cs="Arial" w:eastAsia="Arial" w:hAnsi="Arial"/><w:b/><w:bCs/><w:i w:val="false"/><w:iCs w:val="false"/><w:color w:val="0F6E56"/><w:sz w:val="26"/><w:szCs w:val="26"/></w:rPr><w:t xml:space="preserve">3.2 Coverage of the 7 Technical Modules (Annex I)</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1100"/><w:gridCol w:w="3500"/><w:gridCol w:w="4600"/></w:tblGrid><w:tr><0/></w:tr><w:tr><w:tc><w:tcPr><w:tcW w:type="dxa" w:w="1100"/><w:tcBorders><w:top w:val="single" w:color="CCCCCC" w:sz="1"/><w:left w:val="single" w:color="CCCCCC" w:sz="1"/><w:bottom w:val="single" w:color="CCCCCC" w:sz="1"/><w:right w:val="single" w:color="CCCCCC" w:sz="1"/></w:tcBorders><w:shd w:fill="F0FAF6"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M1</w:t></w:r></w:p></w:tc><w:tc><w:tcPr><w:tcW w:type="dxa" w:w="35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w:bCs/><w:i w:val="false"/><w:iCs w:val="false"/><w:color w:val="1A1A1A"/><w:sz w:val="19"/><w:szCs w:val="19"/></w:rPr><w:t xml:space="preserve">Biomechanics &amp; Locomotor Behaviour</w:t></w:r></w:p></w:tc><w:tc><w:tcPr><w:tcW w:type="dxa" w:w="46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 w:val="false"/><w:bCs w:val="false"/><w:i w:val="false"/><w:iCs w:val="false"/><w:color w:val="666666"/><w:sz w:val="19"/><w:szCs w:val="19"/></w:rPr><w:t xml:space="preserve">3D skeletal analysis, lameness detection, cubicle occupancy, gait pattern, corridor obstruction detection, bed comfort analysis (thickness, humidity, cleanliness)</w:t></w:r></w:p></w:tc></w:tr><w:tr><w:tc><w:tcPr><w:tcW w:type="dxa" w:w="1100"/><w:tcBorders><w:top w:val="single" w:color="CCCCCC" w:sz="1"/><w:left w:val="single" w:color="CCCCCC" w:sz="1"/><w:bottom w:val="single" w:color="CCCCCC" w:sz="1"/><w:right w:val="single" w:color="CCCCCC" w:sz="1"/></w:tcBorders><w:shd w:fill="FFFFFF"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M2</w:t></w:r></w:p></w:tc><w:tc><w:tcPr><w:tcW w:type="dxa" w:w="35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w:bCs/><w:i w:val="false"/><w:iCs w:val="false"/><w:color w:val="1A1A1A"/><w:sz w:val="19"/><w:szCs w:val="19"/></w:rPr><w:t xml:space="preserve">Physiology &amp; Body Condition</w:t></w:r></w:p></w:tc><w:tc><w:tcPr><w:tcW w:type="dxa" w:w="4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 w:val="false"/><w:bCs w:val="false"/><w:i w:val="false"/><w:iCs w:val="false"/><w:color w:val="666666"/><w:sz w:val="19"/><w:szCs w:val="19"/></w:rPr><w:t xml:space="preserve">HLI index per animal and zone with 12h forecast, rumination analysis (cadence and regularity), eye temperature, predictive detection of mastitis and subclinical acidosis</w:t></w:r></w:p></w:tc></w:tr><w:tr><w:tc><w:tcPr><w:tcW w:type="dxa" w:w="1100"/><w:tcBorders><w:top w:val="single" w:color="CCCCCC" w:sz="1"/><w:left w:val="single" w:color="CCCCCC" w:sz="1"/><w:bottom w:val="single" w:color="CCCCCC" w:sz="1"/><w:right w:val="single" w:color="CCCCCC" w:sz="1"/></w:tcBorders><w:shd w:fill="F0FAF6"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M3</w:t></w:r></w:p></w:tc><w:tc><w:tcPr><w:tcW w:type="dxa" w:w="35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w:bCs/><w:i w:val="false"/><w:iCs w:val="false"/><w:color w:val="1A1A1A"/><w:sz w:val="19"/><w:szCs w:val="19"/></w:rPr><w:t xml:space="preserve">Environment, Air Quality &amp; Microclimate</w:t></w:r></w:p></w:tc><w:tc><w:tcPr><w:tcW w:type="dxa" w:w="46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 w:val="false"/><w:bCs w:val="false"/><w:i w:val="false"/><w:iCs w:val="false"/><w:color w:val="666666"/><w:sz w:val="19"/><w:szCs w:val="19"/></w:rPr><w:t xml:space="preserve">Continuous monitoring of NH₃, humidity, temperature and air flow per zone; intra-facility climate forecasting system with automatic ventilation and repositioning recommendations</w:t></w:r></w:p></w:tc></w:tr><w:tr><w:tc><w:tcPr><w:tcW w:type="dxa" w:w="1100"/><w:tcBorders><w:top w:val="single" w:color="CCCCCC" w:sz="1"/><w:left w:val="single" w:color="CCCCCC" w:sz="1"/><w:bottom w:val="single" w:color="CCCCCC" w:sz="1"/><w:right w:val="single" w:color="CCCCCC" w:sz="1"/></w:tcBorders><w:shd w:fill="FFFFFF"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M4</w:t></w:r></w:p></w:tc><w:tc><w:tcPr><w:tcW w:type="dxa" w:w="35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w:bCs/><w:i w:val="false"/><w:iCs w:val="false"/><w:color w:val="1A1A1A"/><w:sz w:val="19"/><w:szCs w:val="19"/></w:rPr><w:t xml:space="preserve">Social Behaviour &amp; Emotional State</w:t></w:r></w:p></w:tc><w:tc><w:tcPr><w:tcW w:type="dxa" w:w="4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 w:val="false"/><w:bCs w:val="false"/><w:i w:val="false"/><w:iCs w:val="false"/><w:color w:val="666666"/><w:sz w:val="19"/><w:szCs w:val="19"/></w:rPr><w:t xml:space="preserve">AI-driven automatic QBA (posture, tail, ears, facial expression), vocalisation analysis, bovine-adapted FACS, dominance and social interaction assessment</w:t></w:r></w:p></w:tc></w:tr><w:tr><w:tc><w:tcPr><w:tcW w:type="dxa" w:w="1100"/><w:tcBorders><w:top w:val="single" w:color="CCCCCC" w:sz="1"/><w:left w:val="single" w:color="CCCCCC" w:sz="1"/><w:bottom w:val="single" w:color="CCCCCC" w:sz="1"/><w:right w:val="single" w:color="CCCCCC" w:sz="1"/></w:tcBorders><w:shd w:fill="F0FAF6"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M5</w:t></w:r></w:p></w:tc><w:tc><w:tcPr><w:tcW w:type="dxa" w:w="35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w:bCs/><w:i w:val="false"/><w:iCs w:val="false"/><w:color w:val="1A1A1A"/><w:sz w:val="19"/><w:szCs w:val="19"/></w:rPr><w:t xml:space="preserve">Handling &amp; Productivity Scenario Simulation</w:t></w:r></w:p></w:tc><w:tc><w:tcPr><w:tcW w:type="dxa" w:w="46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 w:val="false"/><w:bCs w:val="false"/><w:i w:val="false"/><w:iCs w:val="false"/><w:color w:val="666666"/><w:sz w:val="19"/><w:szCs w:val="19"/></w:rPr><w:t xml:space="preserve">Simulation platform for intervention impact on welfare and productivity, milking parlour sensor integration, complete unit Digital Twin</w:t></w:r></w:p></w:tc></w:tr><w:tr><w:tc><w:tcPr><w:tcW w:type="dxa" w:w="1100"/><w:tcBorders><w:top w:val="single" w:color="CCCCCC" w:sz="1"/><w:left w:val="single" w:color="CCCCCC" w:sz="1"/><w:bottom w:val="single" w:color="CCCCCC" w:sz="1"/><w:right w:val="single" w:color="CCCCCC" w:sz="1"/></w:tcBorders><w:shd w:fill="FFFFFF"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M6</w:t></w:r></w:p></w:tc><w:tc><w:tcPr><w:tcW w:type="dxa" w:w="35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w:bCs/><w:i w:val="false"/><w:iCs w:val="false"/><w:color w:val="1A1A1A"/><w:sz w:val="19"/><w:szCs w:val="19"/></w:rPr><w:t xml:space="preserve">Calf-Specific Module</w:t></w:r></w:p></w:tc><w:tc><w:tcPr><w:tcW w:type="dxa" w:w="4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 w:val="false"/><w:bCs w:val="false"/><w:i w:val="false"/><w:iCs w:val="false"/><w:color w:val="666666"/><w:sz w:val="19"/><w:szCs w:val="19"/></w:rPr><w:t xml:space="preserve">Neonatal monitoring, early detection of diarrhoea and pneumonia, bedding quality and hygiene, rest-activity balance, microclimate with 12h HLI forecast</w:t></w:r></w:p></w:tc></w:tr><w:tr><w:tc><w:tcPr><w:tcW w:type="dxa" w:w="1100"/><w:tcBorders><w:top w:val="single" w:color="CCCCCC" w:sz="1"/><w:left w:val="single" w:color="CCCCCC" w:sz="1"/><w:bottom w:val="single" w:color="CCCCCC" w:sz="1"/><w:right w:val="single" w:color="CCCCCC" w:sz="1"/></w:tcBorders><w:shd w:fill="F0FAF6"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M7</w:t></w:r></w:p></w:tc><w:tc><w:tcPr><w:tcW w:type="dxa" w:w="35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w:bCs/><w:i w:val="false"/><w:iCs w:val="false"/><w:color w:val="1A1A1A"/><w:sz w:val="19"/><w:szCs w:val="19"/></w:rPr><w:t xml:space="preserve">Integration with Existing Commercial Systems</w:t></w:r></w:p></w:tc><w:tc><w:tcPr><w:tcW w:type="dxa" w:w="46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 w:val="false"/><w:bCs w:val="false"/><w:i w:val="false"/><w:iCs w:val="false"/><w:color w:val="666666"/><w:sz w:val="19"/><w:szCs w:val="19"/></w:rPr><w:t xml:space="preserve">Interoperable API, manufacturer-agnostic; native integration with collars, thermal cameras, accelerometers, and existing milking systems on Seeker farms</w:t></w:r></w:p></w:tc></w:tr></w:tbl><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4. D/M* Predictive Engine — The Central Differentiator</w:t></w:r></w:p><w:p><w:pPr><w:spacing w:after="160"/></w:pPr><w:r><w:rPr><w:rFonts w:ascii="Arial" w:cs="Arial" w:eastAsia="Arial" w:hAnsi="Arial"/><w:b w:val="false"/><w:bCs w:val="false"/><w:i w:val="false"/><w:iCs w:val="false"/><w:color w:val="1A1A1A"/><w:sz w:val="22"/><w:szCs w:val="22"/></w:rPr><w:t xml:space="preserve">BoviWatch&apos;s predictive engine was developed on the basis of a proprietary mathematical model that goes substantially beyond simple threshold detection. Its design resolves a fundamental problem that no existing commercial system adequately addresses: risk in animal welfare does not emerge from isolated factors — it emerges from the combination of multiple factors that reinforce each other in a non-linear manner.</w:t></w:r></w:p><w:p><w:pPr><w:pStyle w:val="Heading2"/><w:spacing w:after="120" w:before="300"/></w:pPr><w:r><w:rPr><w:rFonts w:ascii="Arial" w:cs="Arial" w:eastAsia="Arial" w:hAnsi="Arial"/><w:b/><w:bCs/><w:i w:val="false"/><w:iCs w:val="false"/><w:color w:val="0F6E56"/><w:sz w:val="26"/><w:szCs w:val="26"/></w:rPr><w:t xml:space="preserve">4.1 The Principle of Multivariate Analysis with Covariances</w:t></w:r></w:p><w:p><w:pPr><w:spacing w:after="160"/></w:pPr><w:r><w:rPr><w:rFonts w:ascii="Arial" w:cs="Arial" w:eastAsia="Arial" w:hAnsi="Arial"/><w:b w:val="false"/><w:bCs w:val="false"/><w:i w:val="false"/><w:iCs w:val="false"/><w:color w:val="1A1A1A"/><w:sz w:val="22"/><w:szCs w:val="22"/></w:rPr><w:t xml:space="preserve">The engine simultaneously analyses four physiological dimensions of each animal:</w:t></w:r></w:p><w:p><w:pPr><w:pStyle w:val="ListParagraph"/><w:numPr><w:ilvl w:val="0"/><w:numId w:val="2"/></w:numPr><w:spacing w:after="100"/></w:pPr><w:r><w:rPr><w:rFonts w:ascii="Arial" w:cs="Arial" w:eastAsia="Arial" w:hAnsi="Arial"/><w:b w:val="false"/><w:bCs w:val="false"/><w:i w:val="false"/><w:iCs w:val="false"/><w:color w:val="1A1A1A"/><w:sz w:val="21"/><w:szCs w:val="21"/></w:rPr><w:t xml:space="preserve">Body temperature deviation relative to the individual historical baseline</w:t></w:r></w:p><w:p><w:pPr><w:pStyle w:val="ListParagraph"/><w:numPr><w:ilvl w:val="0"/><w:numId w:val="2"/></w:numPr><w:spacing w:after="100"/></w:pPr><w:r><w:rPr><w:rFonts w:ascii="Arial" w:cs="Arial" w:eastAsia="Arial" w:hAnsi="Arial"/><w:b w:val="false"/><w:bCs w:val="false"/><w:i w:val="false"/><w:iCs w:val="false"/><w:color w:val="1A1A1A"/><w:sz w:val="21"/><w:szCs w:val="21"/></w:rPr><w:t xml:space="preserve">Rumination drop relative to the calibrated historical average</w:t></w:r></w:p><w:p><w:pPr><w:pStyle w:val="ListParagraph"/><w:numPr><w:ilvl w:val="0"/><w:numId w:val="2"/></w:numPr><w:spacing w:after="100"/></w:pPr><w:r><w:rPr><w:rFonts w:ascii="Arial" w:cs="Arial" w:eastAsia="Arial" w:hAnsi="Arial"/><w:b w:val="false"/><w:bCs w:val="false"/><w:i w:val="false"/><w:iCs w:val="false"/><w:color w:val="1A1A1A"/><w:sz w:val="21"/><w:szCs w:val="21"/></w:rPr><w:t xml:space="preserve">Locomotor activity anomaly — prolonged immobility or abnormal agitation</w:t></w:r></w:p><w:p><w:pPr><w:pStyle w:val="ListParagraph"/><w:numPr><w:ilvl w:val="0"/><w:numId w:val="2"/></w:numPr><w:spacing w:after="100"/></w:pPr><w:r><w:rPr><w:rFonts w:ascii="Arial" w:cs="Arial" w:eastAsia="Arial" w:hAnsi="Arial"/><w:b w:val="false"/><w:bCs w:val="false"/><w:i w:val="false"/><w:iCs w:val="false"/><w:color w:val="1A1A1A"/><w:sz w:val="21"/><w:szCs w:val="21"/></w:rPr><w:t xml:space="preserve">Environmental heat stress index (HLI) of the zone in which the animal is located</w:t></w:r></w:p><w:p><w:pPr><w:spacing w:after="200"/></w:pPr><w:r><w:rPr><w:rFonts w:ascii="Arial" w:cs="Arial" w:eastAsia="Arial" w:hAnsi="Arial"/><w:b w:val="false"/><w:bCs w:val="false"/><w:i w:val="false"/><w:iCs w:val="false"/><w:color w:val="1A1A1A"/><w:sz w:val="22"/><w:szCs w:val="22"/></w:rPr><w:t xml:space="preserve">The critical differentiator is the capture of interactions between these factors. An animal with slightly elevated temperature and slightly reduced rumination does not merely represent the sum of two problems — it represents a substantially higher risk state. The engine detects and quantifies exactly this mutual amplification, which is invisible to systems based on individual thresholds.</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9200"/></w:tblGrid><w:tr><w:tc><w:tcPr><w:tcW w:type="dxa" w:w="9200"/><w:tcBorders><w:top w:val="single" w:color="CCCCCC" w:sz="1"/><w:left w:val="single" w:color="CCCCCC" w:sz="1"/><w:bottom w:val="single" w:color="CCCCCC" w:sz="1"/><w:right w:val="single" w:color="CCCCCC" w:sz="1"/></w:tcBorders><w:shd w:fill="E1F5EE" w:val="clear"/><w:tcMar><w:top w:type="dxa" w:w="160"/><w:left w:type="dxa" w:w="200"/><w:bottom w:type="dxa" w:w="160"/><w:right w:type="dxa" w:w="200"/></w:tcMar></w:tcPr><w:p><w:pPr><w:spacing w:after="80"/></w:pPr><w:r><w:rPr><w:rFonts w:ascii="Arial" w:cs="Arial" w:eastAsia="Arial" w:hAnsi="Arial"/><w:b/><w:bCs/><w:i w:val="false"/><w:iCs w:val="false"/><w:color w:val="0F6E56"/><w:sz w:val="22"/><w:szCs w:val="22"/></w:rPr><w:t xml:space="preserve">Core Principle</w:t></w:r></w:p><w:p><w:pPr><w:spacing w:after="80"/></w:pPr><w:r><w:rPr><w:rFonts w:ascii="Arial" w:cs="Arial" w:eastAsia="Arial" w:hAnsi="Arial"/><w:b w:val="false"/><w:bCs w:val="false"/><w:i w:val="false"/><w:iCs w:val="false"/><w:color w:val="0F4A3A"/><w:sz w:val="20"/><w:szCs w:val="20"/></w:rPr><w:t xml:space="preserve">The bovine organism is a non-linear system. It can compensate for isolated stresses, but when multiple risk factors accumulate simultaneously, physiological collapse is not gradual — it is abrupt and accelerated.</w:t></w:r></w:p><w:p><w:pPr><w:spacing w:after="80"/></w:pPr><w:r><w:rPr><w:rFonts w:ascii="Arial" w:cs="Arial" w:eastAsia="Arial" w:hAnsi="Arial"/><w:b w:val="false"/><w:bCs w:val="false"/><w:i w:val="false"/><w:iCs w:val="false"/><w:color w:val="0F4A3A"/><w:sz w:val="20"/><w:szCs w:val="20"/></w:rPr><w:t xml:space="preserve">The D/M* predictive engine was specifically designed to detect this inflection point before it becomes clinically visible.</w:t></w:r></w:p></w:tc></w:tr></w:tbl><w:p><w:pPr><w:spacing w:after="80"/></w:pPr><w:r><w:rPr><w:rFonts w:ascii="Arial" w:cs="Arial" w:eastAsia="Arial" w:hAnsi="Arial"/><w:b w:val="false"/><w:bCs w:val="false"/><w:i w:val="false"/><w:iCs w:val="false"/><w:color w:val="1A1A1A"/><w:sz w:val="22"/><w:szCs w:val="22"/></w:rPr><w:t xml:space="preserve"></w:t></w:r></w:p><w:p><w:pPr><w:pStyle w:val="Heading2"/><w:spacing w:after="120" w:before="300"/></w:pPr><w:r><w:rPr><w:rFonts w:ascii="Arial" w:cs="Arial" w:eastAsia="Arial" w:hAnsi="Arial"/><w:b/><w:bCs/><w:i w:val="false"/><w:iCs w:val="false"/><w:color w:val="0F6E56"/><w:sz w:val="26"/><w:szCs w:val="26"/></w:rPr><w:t xml:space="preserve">4.2 Dual Biological Memory — What Distinguishes BoviWatch</w:t></w:r></w:p><w:p><w:pPr><w:spacing w:after="160"/></w:pPr><w:r><w:rPr><w:rFonts w:ascii="Arial" w:cs="Arial" w:eastAsia="Arial" w:hAnsi="Arial"/><w:b w:val="false"/><w:bCs w:val="false"/><w:i w:val="false"/><w:iCs w:val="false"/><w:color w:val="1A1A1A"/><w:sz w:val="22"/><w:szCs w:val="22"/></w:rPr><w:t xml:space="preserve">The engine&apos;s most significant innovation lies in its dual temporal memory mechanism, which replicates the concept of accumulated biological memory:</w:t></w:r></w:p><w:p><w:pPr><w:spacing w:after="80" w:before="200"/></w:pPr><w:r><w:rPr><w:rFonts w:ascii="Arial" w:cs="Arial" w:eastAsia="Arial" w:hAnsi="Arial"/><w:b/><w:bCs/><w:i w:val="false"/><w:iCs w:val="false"/><w:color w:val="1A1A1A"/><w:sz w:val="22"/><w:szCs w:val="22"/></w:rPr><w:t xml:space="preserve">Long-Term Memory — σ (24-month window)</w:t></w:r></w:p><w:p><w:pPr><w:spacing w:after="160"/></w:pPr><w:r><w:rPr><w:rFonts w:ascii="Arial" w:cs="Arial" w:eastAsia="Arial" w:hAnsi="Arial"/><w:b w:val="false"/><w:bCs w:val="false"/><w:i w:val="false"/><w:iCs w:val="false"/><w:color w:val="1A1A1A"/><w:sz w:val="22"/><w:szCs w:val="22"/></w:rPr><w:t xml:space="preserve">Tracks the structural trend of each animal over two years. An animal subjected to repeated episodes of heat stress, disease, or handling trauma carries a chronic vulnerability profile that the engine incorporates into every assessment. This layer detects patterns of slow degradation — the type of deterioration that escapes daily observation but which, over months, compromises the animal&apos;s longevity and productivity.</w:t></w:r></w:p><w:p><w:pPr><w:spacing w:after="80" w:before="200"/></w:pPr><w:r><w:rPr><w:rFonts w:ascii="Arial" w:cs="Arial" w:eastAsia="Arial" w:hAnsi="Arial"/><w:b/><w:bCs/><w:i w:val="false"/><w:iCs w:val="false"/><w:color w:val="1A1A1A"/><w:sz w:val="22"/><w:szCs w:val="22"/></w:rPr><w:t xml:space="preserve">Short-Term Memory — φ (6-month window)</w:t></w:r></w:p><w:p><w:pPr><w:spacing w:after="160"/></w:pPr><w:r><w:rPr><w:rFonts w:ascii="Arial" w:cs="Arial" w:eastAsia="Arial" w:hAnsi="Arial"/><w:b w:val="false"/><w:bCs w:val="false"/><w:i w:val="false"/><w:iCs w:val="false"/><w:color w:val="1A1A1A"/><w:sz w:val="22"/><w:szCs w:val="22"/></w:rPr><w:t xml:space="preserve">Tracks the echo of recent physiological events: post-partum recovery, disease episode, acute heat stress exposure. The impact of a physiological shock does not disappear immediately — it leaves a measurable signature in the animal&apos;s behaviour and indicators for weeks or months. The engine quantifies this decay and incorporates it into the risk index.</w:t></w:r></w:p><w:p><w:pPr><w:spacing w:after="160"/></w:pPr><w:r><w:rPr><w:rFonts w:ascii="Arial" w:cs="Arial" w:eastAsia="Arial" w:hAnsi="Arial"/><w:b w:val="false"/><w:bCs w:val="false"/><w:i w:val="false"/><w:iCs w:val="false"/><w:color w:val="1A1A1A"/><w:sz w:val="22"/><w:szCs w:val="22"/></w:rPr><w:t xml:space="preserve">The combination of these two memory layers gives the engine an unprecedented anticipation capacity:</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4600"/><w:gridCol w:w="4600"/></w:tblGrid><w:tr><w:tc><w:tcPr><w:tcW w:type="dxa" w:w="4600"/><w:tcBorders><w:top w:val="single" w:color="CCCCCC" w:sz="1"/><w:left w:val="single" w:color="CCCCCC" w:sz="1"/><w:bottom w:val="single" w:color="CCCCCC" w:sz="1"/><w:right w:val="single" w:color="CCCCCC" w:sz="1"/></w:tcBorders><w:shd w:fill="E1F5EE" w:val="clear"/><w:tcMar><w:top w:type="dxa" w:w="120"/><w:left w:type="dxa" w:w="160"/><w:bottom w:type="dxa" w:w="120"/><w:right w:type="dxa" w:w="160"/></w:tcMar></w:tcPr><w:p><w:pPr><w:spacing w:after="40"/></w:pPr><w:r><w:rPr><w:rFonts w:ascii="Arial" w:cs="Arial" w:eastAsia="Arial" w:hAnsi="Arial"/><w:b/><w:bCs/><w:i w:val="false"/><w:iCs w:val="false"/><w:color w:val="0F6E56"/><w:sz w:val="20"/><w:szCs w:val="20"/></w:rPr><w:t xml:space="preserve">Strong chronic trend (high σ)</w:t></w:r></w:p><w:p><w:r><w:rPr><w:rFonts w:ascii="Arial" w:cs="Arial" w:eastAsia="Arial" w:hAnsi="Arial"/><w:b w:val="false"/><w:bCs w:val="false"/><w:i w:val="false"/><w:iCs w:val="false"/><w:color w:val="1A1A1A"/><w:sz w:val="20"/><w:szCs w:val="20"/></w:rPr><w:t xml:space="preserve">Up to 18 months ahead</w:t></w:r></w:p></w:tc><w:tc><w:tcPr><w:tcW w:type="dxa" w:w="4600"/><w:tcBorders><w:top w:val="single" w:color="CCCCCC" w:sz="1"/><w:left w:val="single" w:color="CCCCCC" w:sz="1"/><w:bottom w:val="single" w:color="CCCCCC" w:sz="1"/><w:right w:val="single" w:color="CCCCCC" w:sz="1"/></w:tcBorders><w:shd w:fill="FAEEDA" w:val="clear"/><w:tcMar><w:top w:type="dxa" w:w="120"/><w:left w:type="dxa" w:w="160"/><w:bottom w:type="dxa" w:w="120"/><w:right w:type="dxa" w:w="160"/></w:tcMar></w:tcPr><w:p><w:pPr><w:spacing w:after="40"/></w:pPr><w:r><w:rPr><w:rFonts w:ascii="Arial" w:cs="Arial" w:eastAsia="Arial" w:hAnsi="Arial"/><w:b/><w:bCs/><w:i w:val="false"/><w:iCs w:val="false"/><w:color w:val="854F0B"/><w:sz w:val="20"/><w:szCs w:val="20"/></w:rPr><w:t xml:space="preserve">Moderate trend (mid σ)</w:t></w:r></w:p><w:p><w:r><w:rPr><w:rFonts w:ascii="Arial" w:cs="Arial" w:eastAsia="Arial" w:hAnsi="Arial"/><w:b w:val="false"/><w:bCs w:val="false"/><w:i w:val="false"/><w:iCs w:val="false"/><w:color w:val="1A1A1A"/><w:sz w:val="20"/><w:szCs w:val="20"/></w:rPr><w:t xml:space="preserve">Up to 12 months ahead</w:t></w:r></w:p></w:tc></w:tr><w:tr><w:tc><w:tcPr><w:tcW w:type="dxa" w:w="4600"/><w:tcBorders><w:top w:val="single" w:color="CCCCCC" w:sz="1"/><w:left w:val="single" w:color="CCCCCC" w:sz="1"/><w:bottom w:val="single" w:color="CCCCCC" w:sz="1"/><w:right w:val="single" w:color="CCCCCC" w:sz="1"/></w:tcBorders><w:shd w:fill="FAECE7" w:val="clear"/><w:tcMar><w:top w:type="dxa" w:w="120"/><w:left w:type="dxa" w:w="160"/><w:bottom w:type="dxa" w:w="120"/><w:right w:type="dxa" w:w="160"/></w:tcMar></w:tcPr><w:p><w:pPr><w:spacing w:after="40"/></w:pPr><w:r><w:rPr><w:rFonts w:ascii="Arial" w:cs="Arial" w:eastAsia="Arial" w:hAnsi="Arial"/><w:b/><w:bCs/><w:i w:val="false"/><w:iCs w:val="false"/><w:color w:val="993C1D"/><w:sz w:val="20"/><w:szCs w:val="20"/></w:rPr><w:t xml:space="preserve">Recent shock (high φ)</w:t></w:r></w:p><w:p><w:r><w:rPr><w:rFonts w:ascii="Arial" w:cs="Arial" w:eastAsia="Arial" w:hAnsi="Arial"/><w:b w:val="false"/><w:bCs w:val="false"/><w:i w:val="false"/><w:iCs w:val="false"/><w:color w:val="1A1A1A"/><w:sz w:val="20"/><w:szCs w:val="20"/></w:rPr><w:t xml:space="preserve">Up to 6 months ahead</w:t></w:r></w:p></w:tc><w:tc><w:tcPr><w:tcW w:type="dxa" w:w="4600"/><w:tcBorders><w:top w:val="single" w:color="CCCCCC" w:sz="1"/><w:left w:val="single" w:color="CCCCCC" w:sz="1"/><w:bottom w:val="single" w:color="CCCCCC" w:sz="1"/><w:right w:val="single" w:color="CCCCCC" w:sz="1"/></w:tcBorders><w:shd w:fill="FCEBEB" w:val="clear"/><w:tcMar><w:top w:type="dxa" w:w="120"/><w:left w:type="dxa" w:w="160"/><w:bottom w:type="dxa" w:w="120"/><w:right w:type="dxa" w:w="160"/></w:tcMar></w:tcPr><w:p><w:pPr><w:spacing w:after="40"/></w:pPr><w:r><w:rPr><w:rFonts w:ascii="Arial" w:cs="Arial" w:eastAsia="Arial" w:hAnsi="Arial"/><w:b/><w:bCs/><w:i w:val="false"/><w:iCs w:val="false"/><w:color w:val="A32D2D"/><w:sz w:val="20"/><w:szCs w:val="20"/></w:rPr><w:t xml:space="preserve">Acute crisis (D/M* &gt; 1.2)</w:t></w:r></w:p><w:p><w:r><w:rPr><w:rFonts w:ascii="Arial" w:cs="Arial" w:eastAsia="Arial" w:hAnsi="Arial"/><w:b w:val="false"/><w:bCs w:val="false"/><w:i w:val="false"/><w:iCs w:val="false"/><w:color w:val="1A1A1A"/><w:sz w:val="20"/><w:szCs w:val="20"/></w:rPr><w:t xml:space="preserve">Critical alert — immediate action</w:t></w:r></w:p></w:tc></w:tr></w:tbl><w:p><w:pPr><w:spacing w:after="80"/></w:pPr><w:r><w:rPr><w:rFonts w:ascii="Arial" w:cs="Arial" w:eastAsia="Arial" w:hAnsi="Arial"/><w:b w:val="false"/><w:bCs w:val="false"/><w:i w:val="false"/><w:iCs w:val="false"/><w:color w:val="1A1A1A"/><w:sz w:val="22"/><w:szCs w:val="22"/></w:rPr><w:t xml:space="preserve"></w:t></w:r></w:p><w:p><w:pPr><w:pStyle w:val="Heading2"/><w:spacing w:after="120" w:before="300"/></w:pPr><w:r><w:rPr><w:rFonts w:ascii="Arial" w:cs="Arial" w:eastAsia="Arial" w:hAnsi="Arial"/><w:b/><w:bCs/><w:i w:val="false"/><w:iCs w:val="false"/><w:color w:val="0F6E56"/><w:sz w:val="26"/><w:szCs w:val="26"/></w:rPr><w:t xml:space="preserve">4.3 Action Thresholds and Decision Support</w:t></w:r></w:p><w:p><w:pPr><w:spacing w:after="160"/></w:pPr><w:r><w:rPr><w:rFonts w:ascii="Arial" w:cs="Arial" w:eastAsia="Arial" w:hAnsi="Arial"/><w:b w:val="false"/><w:bCs w:val="false"/><w:i w:val="false"/><w:iCs w:val="false"/><w:color w:val="1A1A1A"/><w:sz w:val="22"/><w:szCs w:val="22"/></w:rPr><w:t xml:space="preserve">The D/M* index is continuous and calibrated across four action zones, each with automatic recommendations generated by the system:</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1600"/><w:gridCol w:w="1800"/><w:gridCol w:w="5800"/></w:tblGrid><w:tr><0/></w:tr><w:tr><w:tc><w:tcPr><w:tcW w:type="dxa" w:w="1600"/><w:tcBorders><w:top w:val="single" w:color="CCCCCC" w:sz="1"/><w:left w:val="single" w:color="CCCCCC" w:sz="1"/><w:bottom w:val="single" w:color="CCCCCC" w:sz="1"/><w:right w:val="single" w:color="CCCCCC" w:sz="1"/></w:tcBorders><w:shd w:fill="E1F5EE"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D/M* &lt; 0.3</w:t></w:r></w:p></w:tc><w:tc><w:tcPr><w:tcW w:type="dxa" w:w="1800"/><w:tcBorders><w:top w:val="single" w:color="CCCCCC" w:sz="1"/><w:left w:val="single" w:color="CCCCCC" w:sz="1"/><w:bottom w:val="single" w:color="CCCCCC" w:sz="1"/><w:right w:val="single" w:color="CCCCCC" w:sz="1"/></w:tcBorders><w:shd w:fill="E1F5EE"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INACTIVE</w:t></w:r></w:p></w:tc><w:tc><w:tcPr><w:tcW w:type="dxa" w:w="5800"/><w:tcBorders><w:top w:val="single" w:color="CCCCCC" w:sz="1"/><w:left w:val="single" w:color="CCCCCC" w:sz="1"/><w:bottom w:val="single" w:color="CCCCCC" w:sz="1"/><w:right w:val="single" w:color="CCCCCC" w:sz="1"/></w:tcBorders><w:shd w:fill="E1F5EE"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No intervention required. Standard monitoring. The animal is within its health manifold.</w:t></w:r></w:p></w:tc></w:tr><w:tr><w:tc><w:tcPr><w:tcW w:type="dxa" w:w="1600"/><w:tcBorders><w:top w:val="single" w:color="CCCCCC" w:sz="1"/><w:left w:val="single" w:color="CCCCCC" w:sz="1"/><w:bottom w:val="single" w:color="CCCCCC" w:sz="1"/><w:right w:val="single" w:color="CCCCCC" w:sz="1"/></w:tcBorders><w:shd w:fill="FAEEDA" w:val="clear"/><w:tcMar><w:top w:type="dxa" w:w="80"/><w:left w:type="dxa" w:w="120"/><w:bottom w:type="dxa" w:w="80"/><w:right w:type="dxa" w:w="80"/></w:tcMar><w:vAlign w:val="center"/></w:tcPr><w:p><w:pPr><w:jc w:val="center"/></w:pPr><w:r><w:rPr><w:rFonts w:ascii="Arial" w:cs="Arial" w:eastAsia="Arial" w:hAnsi="Arial"/><w:b/><w:bCs/><w:i w:val="false"/><w:iCs w:val="false"/><w:color w:val="854F0B"/><w:sz w:val="19"/><w:szCs w:val="19"/></w:rPr><w:t xml:space="preserve">0.3 – 0.8</w:t></w:r></w:p></w:tc><w:tc><w:tcPr><w:tcW w:type="dxa" w:w="1800"/><w:tcBorders><w:top w:val="single" w:color="CCCCCC" w:sz="1"/><w:left w:val="single" w:color="CCCCCC" w:sz="1"/><w:bottom w:val="single" w:color="CCCCCC" w:sz="1"/><w:right w:val="single" w:color="CCCCCC" w:sz="1"/></w:tcBorders><w:shd w:fill="FAEEDA" w:val="clear"/><w:tcMar><w:top w:type="dxa" w:w="80"/><w:left w:type="dxa" w:w="120"/><w:bottom w:type="dxa" w:w="80"/><w:right w:type="dxa" w:w="80"/></w:tcMar><w:vAlign w:val="center"/></w:tcPr><w:p><w:pPr><w:jc w:val="center"/></w:pPr><w:r><w:rPr><w:rFonts w:ascii="Arial" w:cs="Arial" w:eastAsia="Arial" w:hAnsi="Arial"/><w:b/><w:bCs/><w:i w:val="false"/><w:iCs w:val="false"/><w:color w:val="854F0B"/><w:sz w:val="19"/><w:szCs w:val="19"/></w:rPr><w:t xml:space="preserve">MONITOR</w:t></w:r></w:p></w:tc><w:tc><w:tcPr><w:tcW w:type="dxa" w:w="5800"/><w:tcBorders><w:top w:val="single" w:color="CCCCCC" w:sz="1"/><w:left w:val="single" w:color="CCCCCC" w:sz="1"/><w:bottom w:val="single" w:color="CCCCCC" w:sz="1"/><w:right w:val="single" w:color="CCCCCC" w:sz="1"/></w:tcBorders><w:shd w:fill="FAEEDA"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Increase reading frequency. Check rumination and temperature over the next 24h. Observe social behaviour.</w:t></w:r></w:p></w:tc></w:tr><w:tr><w:tc><w:tcPr><w:tcW w:type="dxa" w:w="1600"/><w:tcBorders><w:top w:val="single" w:color="CCCCCC" w:sz="1"/><w:left w:val="single" w:color="CCCCCC" w:sz="1"/><w:bottom w:val="single" w:color="CCCCCC" w:sz="1"/><w:right w:val="single" w:color="CCCCCC" w:sz="1"/></w:tcBorders><w:shd w:fill="FAECE7" w:val="clear"/><w:tcMar><w:top w:type="dxa" w:w="80"/><w:left w:type="dxa" w:w="120"/><w:bottom w:type="dxa" w:w="80"/><w:right w:type="dxa" w:w="80"/></w:tcMar><w:vAlign w:val="center"/></w:tcPr><w:p><w:pPr><w:jc w:val="center"/></w:pPr><w:r><w:rPr><w:rFonts w:ascii="Arial" w:cs="Arial" w:eastAsia="Arial" w:hAnsi="Arial"/><w:b/><w:bCs/><w:i w:val="false"/><w:iCs w:val="false"/><w:color w:val="993C1D"/><w:sz w:val="19"/><w:szCs w:val="19"/></w:rPr><w:t xml:space="preserve">0.8 – 1.2</w:t></w:r></w:p></w:tc><w:tc><w:tcPr><w:tcW w:type="dxa" w:w="1800"/><w:tcBorders><w:top w:val="single" w:color="CCCCCC" w:sz="1"/><w:left w:val="single" w:color="CCCCCC" w:sz="1"/><w:bottom w:val="single" w:color="CCCCCC" w:sz="1"/><w:right w:val="single" w:color="CCCCCC" w:sz="1"/></w:tcBorders><w:shd w:fill="FAECE7" w:val="clear"/><w:tcMar><w:top w:type="dxa" w:w="80"/><w:left w:type="dxa" w:w="120"/><w:bottom w:type="dxa" w:w="80"/><w:right w:type="dxa" w:w="80"/></w:tcMar><w:vAlign w:val="center"/></w:tcPr><w:p><w:pPr><w:jc w:val="center"/></w:pPr><w:r><w:rPr><w:rFonts w:ascii="Arial" w:cs="Arial" w:eastAsia="Arial" w:hAnsi="Arial"/><w:b/><w:bCs/><w:i w:val="false"/><w:iCs w:val="false"/><w:color w:val="993C1D"/><w:sz w:val="19"/><w:szCs w:val="19"/></w:rPr><w:t xml:space="preserve">ACT</w:t></w:r></w:p></w:tc><w:tc><w:tcPr><w:tcW w:type="dxa" w:w="5800"/><w:tcBorders><w:top w:val="single" w:color="CCCCCC" w:sz="1"/><w:left w:val="single" w:color="CCCCCC" w:sz="1"/><w:bottom w:val="single" w:color="CCCCCC" w:sz="1"/><w:right w:val="single" w:color="CCCCCC" w:sz="1"/></w:tcBorders><w:shd w:fill="FAECE7"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Contact veterinarian. Review feeding and handling. Consider repositioning within the facility. Assess zone heat stress.</w:t></w:r></w:p></w:tc></w:tr><w:tr><w:tc><w:tcPr><w:tcW w:type="dxa" w:w="1600"/><w:tcBorders><w:top w:val="single" w:color="CCCCCC" w:sz="1"/><w:left w:val="single" w:color="CCCCCC" w:sz="1"/><w:bottom w:val="single" w:color="CCCCCC" w:sz="1"/><w:right w:val="single" w:color="CCCCCC" w:sz="1"/></w:tcBorders><w:shd w:fill="FCEBEB" w:val="clear"/><w:tcMar><w:top w:type="dxa" w:w="80"/><w:left w:type="dxa" w:w="120"/><w:bottom w:type="dxa" w:w="80"/><w:right w:type="dxa" w:w="80"/></w:tcMar><w:vAlign w:val="center"/></w:tcPr><w:p><w:pPr><w:jc w:val="center"/></w:pPr><w:r><w:rPr><w:rFonts w:ascii="Arial" w:cs="Arial" w:eastAsia="Arial" w:hAnsi="Arial"/><w:b/><w:bCs/><w:i w:val="false"/><w:iCs w:val="false"/><w:color w:val="A32D2D"/><w:sz w:val="19"/><w:szCs w:val="19"/></w:rPr><w:t xml:space="preserve">D/M* &gt; 1.2</w:t></w:r></w:p></w:tc><w:tc><w:tcPr><w:tcW w:type="dxa" w:w="1800"/><w:tcBorders><w:top w:val="single" w:color="CCCCCC" w:sz="1"/><w:left w:val="single" w:color="CCCCCC" w:sz="1"/><w:bottom w:val="single" w:color="CCCCCC" w:sz="1"/><w:right w:val="single" w:color="CCCCCC" w:sz="1"/></w:tcBorders><w:shd w:fill="FCEBEB" w:val="clear"/><w:tcMar><w:top w:type="dxa" w:w="80"/><w:left w:type="dxa" w:w="120"/><w:bottom w:type="dxa" w:w="80"/><w:right w:type="dxa" w:w="80"/></w:tcMar><w:vAlign w:val="center"/></w:tcPr><w:p><w:pPr><w:jc w:val="center"/></w:pPr><w:r><w:rPr><w:rFonts w:ascii="Arial" w:cs="Arial" w:eastAsia="Arial" w:hAnsi="Arial"/><w:b/><w:bCs/><w:i w:val="false"/><w:iCs w:val="false"/><w:color w:val="A32D2D"/><w:sz w:val="19"/><w:szCs w:val="19"/></w:rPr><w:t xml:space="preserve">CRITICAL</w:t></w:r></w:p></w:tc><w:tc><w:tcPr><w:tcW w:type="dxa" w:w="5800"/><w:tcBorders><w:top w:val="single" w:color="CCCCCC" w:sz="1"/><w:left w:val="single" w:color="CCCCCC" w:sz="1"/><w:bottom w:val="single" w:color="CCCCCC" w:sz="1"/><w:right w:val="single" w:color="CCCCCC" w:sz="1"/></w:tcBorders><w:shd w:fill="FCEBEB"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MAXIMUM ALERT — preventive isolation and urgent veterinary assessment. Automatic notification sent. Automatic log for Welfair Quality audit.</w:t></w:r></w:p></w:tc></w:tr></w:tbl><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5. Scientific Foundation</w:t></w:r></w:p><w:p><w:pPr><w:spacing w:after="160"/></w:pPr><w:r><w:rPr><w:rFonts w:ascii="Arial" w:cs="Arial" w:eastAsia="Arial" w:hAnsi="Arial"/><w:b w:val="false"/><w:bCs w:val="false"/><w:i w:val="false"/><w:iCs w:val="false"/><w:color w:val="1A1A1A"/><w:sz w:val="22"/><w:szCs w:val="22"/></w:rPr><w:t xml:space="preserve">Every variable monitored by BoviWatch is anchored in established veterinary evidence. The engine does not operate on arbitrary indicators — it operates on documented physiological correlations that give the system credibility before technical evaluators and regulators.</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2600"/><w:gridCol w:w="6600"/></w:tblGrid><w:tr><0/></w:tr><w:tr><w:tc><w:tcPr><w:tcW w:type="dxa" w:w="26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w:bCs/><w:i w:val="false"/><w:iCs w:val="false"/><w:color w:val="0F6E56"/><w:sz w:val="19"/><w:szCs w:val="19"/></w:rPr><w:t xml:space="preserve">Rumination drop &lt; 400 min/day</w:t></w:r></w:p></w:tc><w:tc><w:tcPr><w:tcW w:type="dxa" w:w="66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Validated indicator of ketosis risk, subclinical acidosis, and digestive disorders. Documented correlation with milk production reduction in the following 72h.</w:t></w:r></w:p></w:tc></w:tr><w:tr><w:tc><w:tcPr><w:tcW w:type="dxa" w:w="2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w:bCs/><w:i w:val="false"/><w:iCs w:val="false"/><w:color w:val="0F6E56"/><w:sz w:val="19"/><w:szCs w:val="19"/></w:rPr><w:t xml:space="preserve">Temperature deviation &gt; 0.5°C for 3 consecutive cycles</w:t></w:r></w:p></w:tc><w:tc><w:tcPr><w:tcW w:type="dxa" w:w="6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Precedes clinical manifestation of mastitis by an average of 48–72h. Enables preventive intervention before productive collapse.</w:t></w:r></w:p></w:tc></w:tr><w:tr><w:tc><w:tcPr><w:tcW w:type="dxa" w:w="26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w:bCs/><w:i w:val="false"/><w:iCs w:val="false"/><w:color w:val="0F6E56"/><w:sz w:val="19"/><w:szCs w:val="19"/></w:rPr><w:t xml:space="preserve">Locomotor activity reduction &gt; 20%</w:t></w:r></w:p></w:tc><w:tc><w:tcPr><w:tcW w:type="dxa" w:w="66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Early lameness indicator. Detectable 7–14 days before gait abnormality is visible to the naked eye.</w:t></w:r></w:p></w:tc></w:tr><w:tr><w:tc><w:tcPr><w:tcW w:type="dxa" w:w="2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w:bCs/><w:i w:val="false"/><w:iCs w:val="false"/><w:color w:val="0F6E56"/><w:sz w:val="19"/><w:szCs w:val="19"/></w:rPr><w:t xml:space="preserve">HLI &gt; 86 for more than 6h</w:t></w:r></w:p></w:tc><w:tc><w:tcPr><w:tcW w:type="dxa" w:w="6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Severe heat stress threshold in dairy cattle, with documented impact on fertility, production, and immunity.</w:t></w:r></w:p></w:tc></w:tr><w:tr><w:tc><w:tcPr><w:tcW w:type="dxa" w:w="26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w:bCs/><w:i w:val="false"/><w:iCs w:val="false"/><w:color w:val="0F6E56"/><w:sz w:val="19"/><w:szCs w:val="19"/></w:rPr><w:t xml:space="preserve">Social isolation (absence of interactions &gt; 4h)</w:t></w:r></w:p></w:tc><w:tc><w:tcPr><w:tcW w:type="dxa" w:w="6600"/><w:tcBorders><w:top w:val="single" w:color="CCCCCC" w:sz="1"/><w:left w:val="single" w:color="CCCCCC" w:sz="1"/><w:bottom w:val="single" w:color="CCCCCC" w:sz="1"/><w:right w:val="single" w:color="CCCCCC" w:sz="1"/></w:tcBorders><w:shd w:fill="F0FAF6"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Correlated with negative affective states and predisposition to infectious diseases through immune suppression.</w:t></w:r></w:p></w:tc></w:tr><w:tr><w:tc><w:tcPr><w:tcW w:type="dxa" w:w="2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w:bCs/><w:i w:val="false"/><w:iCs w:val="false"/><w:color w:val="0F6E56"/><w:sz w:val="19"/><w:szCs w:val="19"/></w:rPr><w:t xml:space="preserve">Tail posture variation (QBA)</w:t></w:r></w:p></w:tc><w:tc><w:tcPr><w:tcW w:type="dxa" w:w="6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Validated emotional state marker in bovine welfare studies. Elevated position correlates with agitation; rigid position with pain.</w:t></w:r></w:p></w:tc></w:tr></w:tbl><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6. Alignment with Welfair Quality and Seeker Internal Certificate</w:t></w:r></w:p><w:p><w:pPr><w:spacing w:after="160"/></w:pPr><w:r><w:rPr><w:rFonts w:ascii="Arial" w:cs="Arial" w:eastAsia="Arial" w:hAnsi="Arial"/><w:b w:val="false"/><w:bCs w:val="false"/><w:i w:val="false"/><w:iCs w:val="false"/><w:color w:val="1A1A1A"/><w:sz w:val="22"/><w:szCs w:val="22"/></w:rPr><w:t xml:space="preserve">BoviWatch was designed with the Welfair Quality certification framework and the Seeker internal certificate as central design references — not as requirements to be addressed after the fact. Every module of the system produces traceable data that directly feeds the audit criteria.</w:t></w:r></w:p><w:p><w:pPr><w:pStyle w:val="Heading2"/><w:spacing w:after="120" w:before="300"/></w:pPr><w:r><w:rPr><w:rFonts w:ascii="Arial" w:cs="Arial" w:eastAsia="Arial" w:hAnsi="Arial"/><w:b/><w:bCs/><w:i w:val="false"/><w:iCs w:val="false"/><w:color w:val="0F6E56"/><w:sz w:val="26"/><w:szCs w:val="26"/></w:rPr><w:t xml:space="preserve">6.1 From Periodic Audit to Continuous Certification</w:t></w:r></w:p><w:p><w:pPr><w:spacing w:after="160"/></w:pPr><w:r><w:rPr><w:rFonts w:ascii="Arial" w:cs="Arial" w:eastAsia="Arial" w:hAnsi="Arial"/><w:b w:val="false"/><w:bCs w:val="false"/><w:i w:val="false"/><w:iCs w:val="false"/><w:color w:val="1A1A1A"/><w:sz w:val="22"/><w:szCs w:val="22"/></w:rPr><w:t xml:space="preserve">Seeker&apos;s current audit model depends on periodic visits and manual observation — a subjective, point-in-time process that is impossible to scale proportionally with the growth of the producer network. BoviWatch transforms this model:</w:t></w:r></w:p><w:p><w:pPr><w:pStyle w:val="ListParagraph"/><w:numPr><w:ilvl w:val="0"/><w:numId w:val="2"/></w:numPr><w:spacing w:after="100"/></w:pPr><w:r><w:rPr><w:rFonts w:ascii="Arial" w:cs="Arial" w:eastAsia="Arial" w:hAnsi="Arial"/><w:b w:val="false"/><w:bCs w:val="false"/><w:i w:val="false"/><w:iCs w:val="false"/><w:color w:val="1A1A1A"/><w:sz w:val="21"/><w:szCs w:val="21"/></w:rPr><w:t xml:space="preserve">Each animal is assessed continuously — not at audit moments, but at every sensor cycle</w:t></w:r></w:p><w:p><w:pPr><w:pStyle w:val="ListParagraph"/><w:numPr><w:ilvl w:val="0"/><w:numId w:val="2"/></w:numPr><w:spacing w:after="100"/></w:pPr><w:r><w:rPr><w:rFonts w:ascii="Arial" w:cs="Arial" w:eastAsia="Arial" w:hAnsi="Arial"/><w:b w:val="false"/><w:bCs w:val="false"/><w:i w:val="false"/><w:iCs w:val="false"/><w:color w:val="1A1A1A"/><w:sz w:val="21"/><w:szCs w:val="21"/></w:rPr><w:t xml:space="preserve">Every alert, intervention, and outcome is logged with a full timestamp and traceability chain</w:t></w:r></w:p><w:p><w:pPr><w:pStyle w:val="ListParagraph"/><w:numPr><w:ilvl w:val="0"/><w:numId w:val="2"/></w:numPr><w:spacing w:after="100"/></w:pPr><w:r><w:rPr><w:rFonts w:ascii="Arial" w:cs="Arial" w:eastAsia="Arial" w:hAnsi="Arial"/><w:b w:val="false"/><w:bCs w:val="false"/><w:i w:val="false"/><w:iCs w:val="false"/><w:color w:val="1A1A1A"/><w:sz w:val="21"/><w:szCs w:val="21"/></w:rPr><w:t xml:space="preserve">The Welfair Quality report is generated automatically, at any moment, with data from the last 30/90/365 days</w:t></w:r></w:p><w:p><w:pPr><w:pStyle w:val="ListParagraph"/><w:numPr><w:ilvl w:val="0"/><w:numId w:val="2"/></w:numPr><w:spacing w:after="100"/></w:pPr><w:r><w:rPr><w:rFonts w:ascii="Arial" w:cs="Arial" w:eastAsia="Arial" w:hAnsi="Arial"/><w:b w:val="false"/><w:bCs w:val="false"/><w:i w:val="false"/><w:iCs w:val="false"/><w:color w:val="1A1A1A"/><w:sz w:val="21"/><w:szCs w:val="21"/></w:rPr><w:t xml:space="preserve">The Seeker internal certificate is fed in real time — eliminating dependence on subjective assessment methods</w:t></w:r></w:p><w:p><w:pPr><w:pStyle w:val="Heading2"/><w:spacing w:after="120" w:before="300"/></w:pPr><w:r><w:rPr><w:rFonts w:ascii="Arial" w:cs="Arial" w:eastAsia="Arial" w:hAnsi="Arial"/><w:b/><w:bCs/><w:i w:val="false"/><w:iCs w:val="false"/><w:color w:val="0F6E56"/><w:sz w:val="26"/><w:szCs w:val="26"/></w:rPr><w:t xml:space="preserve">6.2 Extension of the Internal Certificate</w:t></w:r></w:p><w:p><w:pPr><w:spacing w:after="160"/></w:pPr><w:r><w:rPr><w:rFonts w:ascii="Arial" w:cs="Arial" w:eastAsia="Arial" w:hAnsi="Arial"/><w:b w:val="false"/><w:bCs w:val="false"/><w:i w:val="false"/><w:iCs w:val="false"/><w:color w:val="1A1A1A"/><w:sz w:val="22"/><w:szCs w:val="22"/></w:rPr><w:t xml:space="preserve">BoviWatch specifically covers the additional indicators of the Seeker internal certificate described in Annex II:</w:t></w:r></w:p><w:p><w:pPr><w:pStyle w:val="ListParagraph"/><w:numPr><w:ilvl w:val="0"/><w:numId w:val="2"/></w:numPr><w:spacing w:after="100"/></w:pPr><w:r><w:rPr><w:rFonts w:ascii="Arial" w:cs="Arial" w:eastAsia="Arial" w:hAnsi="Arial"/><w:b w:val="false"/><w:bCs w:val="false"/><w:i w:val="false"/><w:iCs w:val="false"/><w:color w:val="1A1A1A"/><w:sz w:val="21"/><w:szCs w:val="21"/></w:rPr><w:t xml:space="preserve">Calf assessment and housing conditions — dedicated M6 module</w:t></w:r></w:p><w:p><w:pPr><w:pStyle w:val="ListParagraph"/><w:numPr><w:ilvl w:val="0"/><w:numId w:val="2"/></w:numPr><w:spacing w:after="100"/></w:pPr><w:r><w:rPr><w:rFonts w:ascii="Arial" w:cs="Arial" w:eastAsia="Arial" w:hAnsi="Arial"/><w:b w:val="false"/><w:bCs w:val="false"/><w:i w:val="false"/><w:iCs w:val="false"/><w:color w:val="1A1A1A"/><w:sz w:val="21"/><w:szCs w:val="21"/></w:rPr><w:t xml:space="preserve">Milking equipment cleanliness and maintenance — milking parlour sensor integration</w:t></w:r></w:p><w:p><w:pPr><w:pStyle w:val="ListParagraph"/><w:numPr><w:ilvl w:val="0"/><w:numId w:val="2"/></w:numPr><w:spacing w:after="100"/></w:pPr><w:r><w:rPr><w:rFonts w:ascii="Arial" w:cs="Arial" w:eastAsia="Arial" w:hAnsi="Arial"/><w:b w:val="false"/><w:bCs w:val="false"/><w:i w:val="false"/><w:iCs w:val="false"/><w:color w:val="1A1A1A"/><w:sz w:val="21"/><w:szCs w:val="21"/></w:rPr><w:t xml:space="preserve">Animal production indicators — direct correlation with D/M* index and production forecasts</w:t></w:r></w:p><w:p><w:pPr><w:pStyle w:val="ListParagraph"/><w:numPr><w:ilvl w:val="0"/><w:numId w:val="2"/></w:numPr><w:spacing w:after="100"/></w:pPr><w:r><w:rPr><w:rFonts w:ascii="Arial" w:cs="Arial" w:eastAsia="Arial" w:hAnsi="Arial"/><w:b w:val="false"/><w:bCs w:val="false"/><w:i w:val="false"/><w:iCs w:val="false"/><w:color w:val="1A1A1A"/><w:sz w:val="21"/><w:szCs w:val="21"/></w:rPr><w:t xml:space="preserve">Number of brushes and environmental enrichment — monitored via cameras with object detection</w:t></w:r></w:p><w:p><w:pPr><w:pStyle w:val="ListParagraph"/><w:numPr><w:ilvl w:val="0"/><w:numId w:val="2"/></w:numPr><w:spacing w:after="100"/></w:pPr><w:r><w:rPr><w:rFonts w:ascii="Arial" w:cs="Arial" w:eastAsia="Arial" w:hAnsi="Arial"/><w:b w:val="false"/><w:bCs w:val="false"/><w:i w:val="false"/><w:iCs w:val="false"/><w:color w:val="1A1A1A"/><w:sz w:val="21"/><w:szCs w:val="21"/></w:rPr><w:t xml:space="preserve">Bedding comfort rating — volumetric and optical sensor for thickness, humidity, and cleanliness</w:t></w:r></w:p><w:p><w:pPr><w:pStyle w:val="ListParagraph"/><w:numPr><w:ilvl w:val="0"/><w:numId w:val="2"/></w:numPr><w:spacing w:after="100"/></w:pPr><w:r><w:rPr><w:rFonts w:ascii="Arial" w:cs="Arial" w:eastAsia="Arial" w:hAnsi="Arial"/><w:b w:val="false"/><w:bCs w:val="false"/><w:i w:val="false"/><w:iCs w:val="false"/><w:color w:val="1A1A1A"/><w:sz w:val="21"/><w:szCs w:val="21"/></w:rPr><w:t xml:space="preserve">Ventilation and heat stress — HLI module per zone with automatic recommendations</w:t></w:r></w:p><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7. Implementation and Pilot Plan</w:t></w:r></w:p><w:p><w:pPr><w:spacing w:after="160"/></w:pPr><w:r><w:rPr><w:rFonts w:ascii="Arial" w:cs="Arial" w:eastAsia="Arial" w:hAnsi="Arial"/><w:b w:val="false"/><w:bCs w:val="false"/><w:i w:val="false"/><w:iCs w:val="false"/><w:color w:val="1A1A1A"/><w:sz w:val="22"/><w:szCs w:val="22"/></w:rPr><w:t xml:space="preserve">BoviWatch is not a conceptual promise — it is a platform with a complete functional prototype, ready to be validated under real conditions. The implementation plan is structured across four progressive phases, designed to minimise technical risk and maximise value generation for Seeker at each stage.</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1000"/><w:gridCol w:w="1600"/><w:gridCol w:w="6600"/></w:tblGrid><w:tr><0/></w:tr><w:tr><w:tc><w:tcPr><w:tcW w:type="dxa" w:w="1000"/><w:tcBorders><w:top w:val="single" w:color="CCCCCC" w:sz="1"/><w:left w:val="single" w:color="CCCCCC" w:sz="1"/><w:bottom w:val="single" w:color="CCCCCC" w:sz="1"/><w:right w:val="single" w:color="CCCCCC" w:sz="1"/></w:tcBorders><w:shd w:fill="E1F5EE"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Phase 1</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Completed</w:t></w:r></w:p></w:tc><w:tc><w:tcPr><w:tcW w:type="dxa" w:w="6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Functional prototype — Digital Twin with 4+ animals, calibrated D/M* predictive engine, multilingual dashboard with Welfair Quality PDF export</w:t></w:r></w:p></w:tc></w:tr><w:tr><w:tc><w:tcPr><w:tcW w:type="dxa" w:w="1000"/><w:tcBorders><w:top w:val="single" w:color="CCCCCC" w:sz="1"/><w:left w:val="single" w:color="CCCCCC" w:sz="1"/><w:bottom w:val="single" w:color="CCCCCC" w:sz="1"/><w:right w:val="single" w:color="CCCCCC" w:sz="1"/></w:tcBorders><w:shd w:fill="E1F5EE"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Phase 2</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80"/></w:tcMar><w:vAlign w:val="center"/></w:tcPr><w:p><w:pPr><w:jc w:val="center"/></w:pPr><w:r><w:rPr><w:rFonts w:ascii="Arial" w:cs="Arial" w:eastAsia="Arial" w:hAnsi="Arial"/><w:b/><w:bCs/><w:i w:val="false"/><w:iCs w:val="false"/><w:color w:val="854F0B"/><w:sz w:val="19"/><w:szCs w:val="19"/></w:rPr><w:t xml:space="preserve">Months 1–6</w:t></w:r></w:p></w:tc><w:tc><w:tcPr><w:tcW w:type="dxa" w:w="6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Pilot on a real farm (50–100 animals) — calibration of the D/M* index with real data, integration with existing collars (Allflex, SCR), validation of 6 to 18-month forecasts</w:t></w:r></w:p></w:tc></w:tr><w:tr><w:tc><w:tcPr><w:tcW w:type="dxa" w:w="1000"/><w:tcBorders><w:top w:val="single" w:color="CCCCCC" w:sz="1"/><w:left w:val="single" w:color="CCCCCC" w:sz="1"/><w:bottom w:val="single" w:color="CCCCCC" w:sz="1"/><w:right w:val="single" w:color="CCCCCC" w:sz="1"/></w:tcBorders><w:shd w:fill="E1F5EE"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Phase 3</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80"/></w:tcMar><w:vAlign w:val="center"/></w:tcPr><w:p><w:pPr><w:jc w:val="center"/></w:pPr><w:r><w:rPr><w:rFonts w:ascii="Arial" w:cs="Arial" w:eastAsia="Arial" w:hAnsi="Arial"/><w:b/><w:bCs/><w:i w:val="false"/><w:iCs w:val="false"/><w:color w:val="185FA5"/><w:sz w:val="19"/><w:szCs w:val="19"/></w:rPr><w:t xml:space="preserve">Months 7–18</w:t></w:r></w:p></w:tc><w:tc><w:tcPr><w:tcW w:type="dxa" w:w="6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Expansion to Seeker farm network — multi-farm integration, open API for third-party systems, 3D computer vision module for gait analysis</w:t></w:r></w:p></w:tc></w:tr><w:tr><w:tc><w:tcPr><w:tcW w:type="dxa" w:w="1000"/><w:tcBorders><w:top w:val="single" w:color="CCCCCC" w:sz="1"/><w:left w:val="single" w:color="CCCCCC" w:sz="1"/><w:bottom w:val="single" w:color="CCCCCC" w:sz="1"/><w:right w:val="single" w:color="CCCCCC" w:sz="1"/></w:tcBorders><w:shd w:fill="E1F5EE" w:val="clear"/><w:tcMar><w:top w:type="dxa" w:w="80"/><w:left w:type="dxa" w:w="120"/><w:bottom w:type="dxa" w:w="80"/><w:right w:type="dxa" w:w="80"/></w:tcMar><w:vAlign w:val="center"/></w:tcPr><w:p><w:pPr><w:jc w:val="center"/></w:pPr><w:r><w:rPr><w:rFonts w:ascii="Arial" w:cs="Arial" w:eastAsia="Arial" w:hAnsi="Arial"/><w:b/><w:bCs/><w:i w:val="false"/><w:iCs w:val="false"/><w:color w:val="0F6E56"/><w:sz w:val="19"/><w:szCs w:val="19"/></w:rPr><w:t xml:space="preserve">Phase 4</w:t></w:r></w:p></w:tc><w:tc><w:tcPr><w:tcW w:type="dxa" w:w="1600"/><w:tcBorders><w:top w:val="single" w:color="CCCCCC" w:sz="1"/><w:left w:val="single" w:color="CCCCCC" w:sz="1"/><w:bottom w:val="single" w:color="CCCCCC" w:sz="1"/><w:right w:val="single" w:color="CCCCCC" w:sz="1"/></w:tcBorders><w:shd w:fill="FFFFFF" w:val="clear"/><w:tcMar><w:top w:type="dxa" w:w="80"/><w:left w:type="dxa" w:w="120"/><w:bottom w:type="dxa" w:w="80"/><w:right w:type="dxa" w:w="80"/></w:tcMar><w:vAlign w:val="center"/></w:tcPr><w:p><w:pPr><w:jc w:val="center"/></w:pPr><w:r><w:rPr><w:rFonts w:ascii="Arial" w:cs="Arial" w:eastAsia="Arial" w:hAnsi="Arial"/><w:b/><w:bCs/><w:i w:val="false"/><w:iCs w:val="false"/><w:color w:val="6B3FA0"/><w:sz w:val="19"/><w:szCs w:val="19"/></w:rPr><w:t xml:space="preserve">Months 19–36</w:t></w:r></w:p></w:tc><w:tc><w:tcPr><w:tcW w:type="dxa" w:w="6600"/><w:tcBorders><w:top w:val="single" w:color="CCCCCC" w:sz="1"/><w:left w:val="single" w:color="CCCCCC" w:sz="1"/><w:bottom w:val="single" w:color="CCCCCC" w:sz="1"/><w:right w:val="single" w:color="CCCCCC" w:sz="1"/></w:tcBorders><w:shd w:fill="FFFFFF" w:val="clear"/><w:tcMar><w:top w:type="dxa" w:w="80"/><w:left w:type="dxa" w:w="120"/><w:bottom w:type="dxa" w:w="80"/><w:right w:type="dxa" w:w="80"/></w:tcMar></w:tcPr><w:p><w:r><w:rPr><w:rFonts w:ascii="Arial" w:cs="Arial" w:eastAsia="Arial" w:hAnsi="Arial"/><w:b w:val="false"/><w:bCs w:val="false"/><w:i w:val="false"/><w:iCs w:val="false"/><w:color w:val="1A1A1A"/><w:sz w:val="19"/><w:szCs w:val="19"/></w:rPr><w:t xml:space="preserve">National scale and certification — physiological pattern repository by breed, continuous self-learning model, intellectual property protection application</w:t></w:r></w:p></w:tc></w:tr></w:tbl><w:p><w:pPr><w:spacing w:after="80"/></w:pPr><w:r><w:rPr><w:rFonts w:ascii="Arial" w:cs="Arial" w:eastAsia="Arial" w:hAnsi="Arial"/><w:b w:val="false"/><w:bCs w:val="false"/><w:i w:val="false"/><w:iCs w:val="false"/><w:color w:val="1A1A1A"/><w:sz w:val="22"/><w:szCs w:val="22"/></w:rPr><w:t xml:space="preserve"></w:t></w:r></w:p><w:p><w:pPr><w:pStyle w:val="Heading2"/><w:spacing w:after="120" w:before="300"/></w:pPr><w:r><w:rPr><w:rFonts w:ascii="Arial" w:cs="Arial" w:eastAsia="Arial" w:hAnsi="Arial"/><w:b/><w:bCs/><w:i w:val="false"/><w:iCs w:val="false"/><w:color w:val="0F6E56"/><w:sz w:val="26"/><w:szCs w:val="26"/></w:rPr><w:t xml:space="preserve">7.1 Pilot Success Metrics (Phase 2)</w:t></w:r></w:p><w:p><w:pPr><w:spacing w:after="160"/></w:pPr><w:r><w:rPr><w:rFonts w:ascii="Arial" w:cs="Arial" w:eastAsia="Arial" w:hAnsi="Arial"/><w:b w:val="false"/><w:bCs w:val="false"/><w:i w:val="false"/><w:iCs w:val="false"/><w:color w:val="1A1A1A"/><w:sz w:val="22"/><w:szCs w:val="22"/></w:rPr><w:t xml:space="preserve">The pilot on the real farm will be evaluated against the following quantifiable metrics:</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3200"/><w:gridCol w:w="6000"/></w:tblGrid><w:tr><w:tc><w:tcPr><w:tcW w:type="dxa" w:w="3200"/><w:tcBorders><w:top w:val="single" w:color="CCCCCC" w:sz="1"/><w:left w:val="single" w:color="CCCCCC" w:sz="1"/><w:bottom w:val="single" w:color="CCCCCC" w:sz="1"/><w:right w:val="single" w:color="CCCCCC" w:sz="1"/></w:tcBorders><w:shd w:fill="F0FAF6" w:val="clear"/><w:tcMar><w:top w:type="dxa" w:w="90"/><w:left w:type="dxa" w:w="120"/><w:bottom w:type="dxa" w:w="90"/><w:right w:type="dxa" w:w="80"/></w:tcMar></w:tcPr><w:p><w:r><w:rPr><w:rFonts w:ascii="Arial" w:cs="Arial" w:eastAsia="Arial" w:hAnsi="Arial"/><w:b/><w:bCs/><w:i w:val="false"/><w:iCs w:val="false"/><w:color w:val="0F6E56"/><w:sz w:val="20"/><w:szCs w:val="20"/></w:rPr><w:t xml:space="preserve">Detection lead time</w:t></w:r></w:p></w:tc><w:tc><w:tcPr><w:tcW w:type="dxa" w:w="6000"/><w:tcBorders><w:top w:val="single" w:color="CCCCCC" w:sz="1"/><w:left w:val="single" w:color="CCCCCC" w:sz="1"/><w:bottom w:val="single" w:color="CCCCCC" w:sz="1"/><w:right w:val="single" w:color="CCCCCC" w:sz="1"/></w:tcBorders><w:shd w:fill="F0FAF6" w:val="clear"/><w:tcMar><w:top w:type="dxa" w:w="90"/><w:left w:type="dxa" w:w="120"/><w:bottom w:type="dxa" w:w="90"/><w:right w:type="dxa" w:w="80"/></w:tcMar></w:tcPr><w:p><w:r><w:rPr><w:rFonts w:ascii="Arial" w:cs="Arial" w:eastAsia="Arial" w:hAnsi="Arial"/><w:b w:val="false"/><w:bCs w:val="false"/><w:i w:val="false"/><w:iCs w:val="false"/><w:color w:val="1A1A1A"/><w:sz w:val="20"/><w:szCs w:val="20"/></w:rPr><w:t xml:space="preserve">Minimum 48h before visible clinical symptom for mastitis and lameness</w:t></w:r></w:p></w:tc></w:tr><w:tr><w:tc><w:tcPr><w:tcW w:type="dxa" w:w="3200"/><w:tcBorders><w:top w:val="single" w:color="CCCCCC" w:sz="1"/><w:left w:val="single" w:color="CCCCCC" w:sz="1"/><w:bottom w:val="single" w:color="CCCCCC" w:sz="1"/><w:right w:val="single" w:color="CCCCCC" w:sz="1"/></w:tcBorders><w:shd w:fill="FFFFFF" w:val="clear"/><w:tcMar><w:top w:type="dxa" w:w="90"/><w:left w:type="dxa" w:w="120"/><w:bottom w:type="dxa" w:w="90"/><w:right w:type="dxa" w:w="80"/></w:tcMar></w:tcPr><w:p><w:r><w:rPr><w:rFonts w:ascii="Arial" w:cs="Arial" w:eastAsia="Arial" w:hAnsi="Arial"/><w:b/><w:bCs/><w:i w:val="false"/><w:iCs w:val="false"/><w:color w:val="0F6E56"/><w:sz w:val="20"/><w:szCs w:val="20"/></w:rPr><w:t xml:space="preserve">False positive rate</w:t></w:r></w:p></w:tc><w:tc><w:tcPr><w:tcW w:type="dxa" w:w="6000"/><w:tcBorders><w:top w:val="single" w:color="CCCCCC" w:sz="1"/><w:left w:val="single" w:color="CCCCCC" w:sz="1"/><w:bottom w:val="single" w:color="CCCCCC" w:sz="1"/><w:right w:val="single" w:color="CCCCCC" w:sz="1"/></w:tcBorders><w:shd w:fill="FFFFFF" w:val="clear"/><w:tcMar><w:top w:type="dxa" w:w="90"/><w:left w:type="dxa" w:w="120"/><w:bottom w:type="dxa" w:w="90"/><w:right w:type="dxa" w:w="80"/></w:tcMar></w:tcPr><w:p><w:r><w:rPr><w:rFonts w:ascii="Arial" w:cs="Arial" w:eastAsia="Arial" w:hAnsi="Arial"/><w:b w:val="false"/><w:bCs w:val="false"/><w:i w:val="false"/><w:iCs w:val="false"/><w:color w:val="1A1A1A"/><w:sz w:val="20"/><w:szCs w:val="20"/></w:rPr><w:t xml:space="preserve">Below 8% of generated alerts</w:t></w:r></w:p></w:tc></w:tr><w:tr><w:tc><w:tcPr><w:tcW w:type="dxa" w:w="3200"/><w:tcBorders><w:top w:val="single" w:color="CCCCCC" w:sz="1"/><w:left w:val="single" w:color="CCCCCC" w:sz="1"/><w:bottom w:val="single" w:color="CCCCCC" w:sz="1"/><w:right w:val="single" w:color="CCCCCC" w:sz="1"/></w:tcBorders><w:shd w:fill="F0FAF6" w:val="clear"/><w:tcMar><w:top w:type="dxa" w:w="90"/><w:left w:type="dxa" w:w="120"/><w:bottom w:type="dxa" w:w="90"/><w:right w:type="dxa" w:w="80"/></w:tcMar></w:tcPr><w:p><w:r><w:rPr><w:rFonts w:ascii="Arial" w:cs="Arial" w:eastAsia="Arial" w:hAnsi="Arial"/><w:b/><w:bCs/><w:i w:val="false"/><w:iCs w:val="false"/><w:color w:val="0F6E56"/><w:sz w:val="20"/><w:szCs w:val="20"/></w:rPr><w:t xml:space="preserve">Welfair Quality coverage</w:t></w:r></w:p></w:tc><w:tc><w:tcPr><w:tcW w:type="dxa" w:w="6000"/><w:tcBorders><w:top w:val="single" w:color="CCCCCC" w:sz="1"/><w:left w:val="single" w:color="CCCCCC" w:sz="1"/><w:bottom w:val="single" w:color="CCCCCC" w:sz="1"/><w:right w:val="single" w:color="CCCCCC" w:sz="1"/></w:tcBorders><w:shd w:fill="F0FAF6" w:val="clear"/><w:tcMar><w:top w:type="dxa" w:w="90"/><w:left w:type="dxa" w:w="120"/><w:bottom w:type="dxa" w:w="90"/><w:right w:type="dxa" w:w="80"/></w:tcMar></w:tcPr><w:p><w:r><w:rPr><w:rFonts w:ascii="Arial" w:cs="Arial" w:eastAsia="Arial" w:hAnsi="Arial"/><w:b w:val="false"/><w:bCs w:val="false"/><w:i w:val="false"/><w:iCs w:val="false"/><w:color w:val="1A1A1A"/><w:sz w:val="20"/><w:szCs w:val="20"/></w:rPr><w:t xml:space="preserve">Minimum 90% of auditable indicators covered by automatic data</w:t></w:r></w:p></w:tc></w:tr><w:tr><w:tc><w:tcPr><w:tcW w:type="dxa" w:w="3200"/><w:tcBorders><w:top w:val="single" w:color="CCCCCC" w:sz="1"/><w:left w:val="single" w:color="CCCCCC" w:sz="1"/><w:bottom w:val="single" w:color="CCCCCC" w:sz="1"/><w:right w:val="single" w:color="CCCCCC" w:sz="1"/></w:tcBorders><w:shd w:fill="FFFFFF" w:val="clear"/><w:tcMar><w:top w:type="dxa" w:w="90"/><w:left w:type="dxa" w:w="120"/><w:bottom w:type="dxa" w:w="90"/><w:right w:type="dxa" w:w="80"/></w:tcMar></w:tcPr><w:p><w:r><w:rPr><w:rFonts w:ascii="Arial" w:cs="Arial" w:eastAsia="Arial" w:hAnsi="Arial"/><w:b/><w:bCs/><w:i w:val="false"/><w:iCs w:val="false"/><w:color w:val="0F6E56"/><w:sz w:val="20"/><w:szCs w:val="20"/></w:rPr><w:t xml:space="preserve">System uptime</w:t></w:r></w:p></w:tc><w:tc><w:tcPr><w:tcW w:type="dxa" w:w="6000"/><w:tcBorders><w:top w:val="single" w:color="CCCCCC" w:sz="1"/><w:left w:val="single" w:color="CCCCCC" w:sz="1"/><w:bottom w:val="single" w:color="CCCCCC" w:sz="1"/><w:right w:val="single" w:color="CCCCCC" w:sz="1"/></w:tcBorders><w:shd w:fill="FFFFFF" w:val="clear"/><w:tcMar><w:top w:type="dxa" w:w="90"/><w:left w:type="dxa" w:w="120"/><w:bottom w:type="dxa" w:w="90"/><w:right w:type="dxa" w:w="80"/></w:tcMar></w:tcPr><w:p><w:r><w:rPr><w:rFonts w:ascii="Arial" w:cs="Arial" w:eastAsia="Arial" w:hAnsi="Arial"/><w:b w:val="false"/><w:bCs w:val="false"/><w:i w:val="false"/><w:iCs w:val="false"/><w:color w:val="1A1A1A"/><w:sz w:val="20"/><w:szCs w:val="20"/></w:rPr><w:t xml:space="preserve">99.5% availability during the pilot period</w:t></w:r></w:p></w:tc></w:tr><w:tr><w:tc><w:tcPr><w:tcW w:type="dxa" w:w="3200"/><w:tcBorders><w:top w:val="single" w:color="CCCCCC" w:sz="1"/><w:left w:val="single" w:color="CCCCCC" w:sz="1"/><w:bottom w:val="single" w:color="CCCCCC" w:sz="1"/><w:right w:val="single" w:color="CCCCCC" w:sz="1"/></w:tcBorders><w:shd w:fill="F0FAF6" w:val="clear"/><w:tcMar><w:top w:type="dxa" w:w="90"/><w:left w:type="dxa" w:w="120"/><w:bottom w:type="dxa" w:w="90"/><w:right w:type="dxa" w:w="80"/></w:tcMar></w:tcPr><w:p><w:r><w:rPr><w:rFonts w:ascii="Arial" w:cs="Arial" w:eastAsia="Arial" w:hAnsi="Arial"/><w:b/><w:bCs/><w:i w:val="false"/><w:iCs w:val="false"/><w:color w:val="0F6E56"/><w:sz w:val="20"/><w:szCs w:val="20"/></w:rPr><w:t xml:space="preserve">Reduction in manual audits</w:t></w:r></w:p></w:tc><w:tc><w:tcPr><w:tcW w:type="dxa" w:w="6000"/><w:tcBorders><w:top w:val="single" w:color="CCCCCC" w:sz="1"/><w:left w:val="single" w:color="CCCCCC" w:sz="1"/><w:bottom w:val="single" w:color="CCCCCC" w:sz="1"/><w:right w:val="single" w:color="CCCCCC" w:sz="1"/></w:tcBorders><w:shd w:fill="F0FAF6" w:val="clear"/><w:tcMar><w:top w:type="dxa" w:w="90"/><w:left w:type="dxa" w:w="120"/><w:bottom w:type="dxa" w:w="90"/><w:right w:type="dxa" w:w="80"/></w:tcMar></w:tcPr><w:p><w:r><w:rPr><w:rFonts w:ascii="Arial" w:cs="Arial" w:eastAsia="Arial" w:hAnsi="Arial"/><w:b w:val="false"/><w:bCs w:val="false"/><w:i w:val="false"/><w:iCs w:val="false"/><w:color w:val="1A1A1A"/><w:sz w:val="20"/><w:szCs w:val="20"/></w:rPr><w:t xml:space="preserve">60% reduction in on-site audit time per farm</w:t></w:r></w:p></w:tc></w:tr><w:tr><w:tc><w:tcPr><w:tcW w:type="dxa" w:w="3200"/><w:tcBorders><w:top w:val="single" w:color="CCCCCC" w:sz="1"/><w:left w:val="single" w:color="CCCCCC" w:sz="1"/><w:bottom w:val="single" w:color="CCCCCC" w:sz="1"/><w:right w:val="single" w:color="CCCCCC" w:sz="1"/></w:tcBorders><w:shd w:fill="FFFFFF" w:val="clear"/><w:tcMar><w:top w:type="dxa" w:w="90"/><w:left w:type="dxa" w:w="120"/><w:bottom w:type="dxa" w:w="90"/><w:right w:type="dxa" w:w="80"/></w:tcMar></w:tcPr><w:p><w:r><w:rPr><w:rFonts w:ascii="Arial" w:cs="Arial" w:eastAsia="Arial" w:hAnsi="Arial"/><w:b/><w:bCs/><w:i w:val="false"/><w:iCs w:val="false"/><w:color w:val="0F6E56"/><w:sz w:val="20"/><w:szCs w:val="20"/></w:rPr><w:t xml:space="preserve">Producer satisfaction</w:t></w:r></w:p></w:tc><w:tc><w:tcPr><w:tcW w:type="dxa" w:w="6000"/><w:tcBorders><w:top w:val="single" w:color="CCCCCC" w:sz="1"/><w:left w:val="single" w:color="CCCCCC" w:sz="1"/><w:bottom w:val="single" w:color="CCCCCC" w:sz="1"/><w:right w:val="single" w:color="CCCCCC" w:sz="1"/></w:tcBorders><w:shd w:fill="FFFFFF" w:val="clear"/><w:tcMar><w:top w:type="dxa" w:w="90"/><w:left w:type="dxa" w:w="120"/><w:bottom w:type="dxa" w:w="90"/><w:right w:type="dxa" w:w="80"/></w:tcMar></w:tcPr><w:p><w:r><w:rPr><w:rFonts w:ascii="Arial" w:cs="Arial" w:eastAsia="Arial" w:hAnsi="Arial"/><w:b w:val="false"/><w:bCs w:val="false"/><w:i w:val="false"/><w:iCs w:val="false"/><w:color w:val="1A1A1A"/><w:sz w:val="20"/><w:szCs w:val="20"/></w:rPr><w:t xml:space="preserve">NPS ≥ 8/10 at the end of Phase 2</w:t></w:r></w:p></w:tc></w:tr></w:tbl><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8. Data Security, Privacy, and Compliance</w:t></w:r></w:p><w:p><w:pPr><w:spacing w:after="160"/></w:pPr><w:r><w:rPr><w:rFonts w:ascii="Arial" w:cs="Arial" w:eastAsia="Arial" w:hAnsi="Arial"/><w:b w:val="false"/><w:bCs w:val="false"/><w:i w:val="false"/><w:iCs w:val="false"/><w:color w:val="1A1A1A"/><w:sz w:val="22"/><w:szCs w:val="22"/></w:rPr><w:t xml:space="preserve">BoviWatch was designed from its base architecture with the principles of Privacy by Design and Security by Default, in compliance with the GDPR and the security standards applicable to the European agri-food sector.</w:t></w:r></w:p><w:p><w:pPr><w:pStyle w:val="Heading2"/><w:spacing w:after="120" w:before="300"/></w:pPr><w:r><w:rPr><w:rFonts w:ascii="Arial" w:cs="Arial" w:eastAsia="Arial" w:hAnsi="Arial"/><w:b/><w:bCs/><w:i w:val="false"/><w:iCs w:val="false"/><w:color w:val="0F6E56"/><w:sz w:val="26"/><w:szCs w:val="26"/></w:rPr><w:t xml:space="preserve">8.1 Security Architecture</w:t></w:r></w:p><w:p><w:pPr><w:pStyle w:val="ListParagraph"/><w:numPr><w:ilvl w:val="0"/><w:numId w:val="2"/></w:numPr><w:spacing w:after="100"/></w:pPr><w:r><w:rPr><w:rFonts w:ascii="Arial" w:cs="Arial" w:eastAsia="Arial" w:hAnsi="Arial"/><w:b w:val="false"/><w:bCs w:val="false"/><w:i w:val="false"/><w:iCs w:val="false"/><w:color w:val="1A1A1A"/><w:sz w:val="21"/><w:szCs w:val="21"/></w:rPr><w:t xml:space="preserve">Data transmission encrypted via TLS 1.3 between sensors, server, and user interface</w:t></w:r></w:p><w:p><w:pPr><w:pStyle w:val="ListParagraph"/><w:numPr><w:ilvl w:val="0"/><w:numId w:val="2"/></w:numPr><w:spacing w:after="100"/></w:pPr><w:r><w:rPr><w:rFonts w:ascii="Arial" w:cs="Arial" w:eastAsia="Arial" w:hAnsi="Arial"/><w:b w:val="false"/><w:bCs w:val="false"/><w:i w:val="false"/><w:iCs w:val="false"/><w:color w:val="1A1A1A"/><w:sz w:val="21"/><w:szCs w:val="21"/></w:rPr><w:t xml:space="preserve">Data for each farm stored in an isolated tenant — no sharing between producers</w:t></w:r></w:p><w:p><w:pPr><w:pStyle w:val="ListParagraph"/><w:numPr><w:ilvl w:val="0"/><w:numId w:val="2"/></w:numPr><w:spacing w:after="100"/></w:pPr><w:r><w:rPr><w:rFonts w:ascii="Arial" w:cs="Arial" w:eastAsia="Arial" w:hAnsi="Arial"/><w:b w:val="false"/><w:bCs w:val="false"/><w:i w:val="false"/><w:iCs w:val="false"/><w:color w:val="1A1A1A"/><w:sz w:val="21"/><w:szCs w:val="21"/></w:rPr><w:t xml:space="preserve">Automatic anonymisation of producer identifiers in shared reports</w:t></w:r></w:p><w:p><w:pPr><w:pStyle w:val="ListParagraph"/><w:numPr><w:ilvl w:val="0"/><w:numId w:val="2"/></w:numPr><w:spacing w:after="100"/></w:pPr><w:r><w:rPr><w:rFonts w:ascii="Arial" w:cs="Arial" w:eastAsia="Arial" w:hAnsi="Arial"/><w:b w:val="false"/><w:bCs w:val="false"/><w:i w:val="false"/><w:iCs w:val="false"/><w:color w:val="1A1A1A"/><w:sz w:val="21"/><w:szCs w:val="21"/></w:rPr><w:t xml:space="preserve">Automatic backups with 365-day retention and guaranteed recovery in under 4 hours</w:t></w:r></w:p><w:p><w:pPr><w:pStyle w:val="Heading2"/><w:spacing w:after="120" w:before="300"/></w:pPr><w:r><w:rPr><w:rFonts w:ascii="Arial" w:cs="Arial" w:eastAsia="Arial" w:hAnsi="Arial"/><w:b/><w:bCs/><w:i w:val="false"/><w:iCs w:val="false"/><w:color w:val="0F6E56"/><w:sz w:val="26"/><w:szCs w:val="26"/></w:rPr><w:t xml:space="preserve">8.2 Auditability and Traceability</w:t></w:r></w:p><w:p><w:pPr><w:pStyle w:val="ListParagraph"/><w:numPr><w:ilvl w:val="0"/><w:numId w:val="2"/></w:numPr><w:spacing w:after="100"/></w:pPr><w:r><w:rPr><w:rFonts w:ascii="Arial" w:cs="Arial" w:eastAsia="Arial" w:hAnsi="Arial"/><w:b w:val="false"/><w:bCs w:val="false"/><w:i w:val="false"/><w:iCs w:val="false"/><w:color w:val="1A1A1A"/><w:sz w:val="21"/><w:szCs w:val="21"/></w:rPr><w:t xml:space="preserve">Every alert, intervention, and report generated by the system is logged with a timestamp, unique identifier, and integrity hash</w:t></w:r></w:p><w:p><w:pPr><w:pStyle w:val="ListParagraph"/><w:numPr><w:ilvl w:val="0"/><w:numId w:val="2"/></w:numPr><w:spacing w:after="100"/></w:pPr><w:r><w:rPr><w:rFonts w:ascii="Arial" w:cs="Arial" w:eastAsia="Arial" w:hAnsi="Arial"/><w:b w:val="false"/><w:bCs w:val="false"/><w:i w:val="false"/><w:iCs w:val="false"/><w:color w:val="1A1A1A"/><w:sz w:val="21"/><w:szCs w:val="21"/></w:rPr><w:t xml:space="preserve">Immutable log of all predictive engine decisions — allows reconstruction of the system&apos;s reasoning at any past moment</w:t></w:r></w:p><w:p><w:pPr><w:pStyle w:val="ListParagraph"/><w:numPr><w:ilvl w:val="0"/><w:numId w:val="2"/></w:numPr><w:spacing w:after="100"/></w:pPr><w:r><w:rPr><w:rFonts w:ascii="Arial" w:cs="Arial" w:eastAsia="Arial" w:hAnsi="Arial"/><w:b w:val="false"/><w:bCs w:val="false"/><w:i w:val="false"/><w:iCs w:val="false"/><w:color w:val="1A1A1A"/><w:sz w:val="21"/><w:szCs w:val="21"/></w:rPr><w:t xml:space="preserve">Audit report export in digitally signed PDF format, compatible with Welfair Quality requirements</w:t></w:r></w:p><w:p><w:pPr><w:pStyle w:val="ListParagraph"/><w:numPr><w:ilvl w:val="0"/><w:numId w:val="2"/></w:numPr><w:spacing w:after="100"/></w:pPr><w:r><w:rPr><w:rFonts w:ascii="Arial" w:cs="Arial" w:eastAsia="Arial" w:hAnsi="Arial"/><w:b w:val="false"/><w:bCs w:val="false"/><w:i w:val="false"/><w:iCs w:val="false"/><w:color w:val="1A1A1A"/><w:sz w:val="21"/><w:szCs w:val="21"/></w:rPr><w:t xml:space="preserve">External audit API — allows Seeker or certified auditors to access data from any farm directly, in real time or historical view</w:t></w:r></w:p><w:p><w:pPr><w:pStyle w:val="Heading2"/><w:spacing w:after="120" w:before="300"/></w:pPr><w:r><w:rPr><w:rFonts w:ascii="Arial" w:cs="Arial" w:eastAsia="Arial" w:hAnsi="Arial"/><w:b/><w:bCs/><w:i w:val="false"/><w:iCs w:val="false"/><w:color w:val="0F6E56"/><w:sz w:val="26"/><w:szCs w:val="26"/></w:rPr><w:t xml:space="preserve">8.3 Regulatory Compliance</w:t></w:r></w:p><w:p><w:pPr><w:pStyle w:val="ListParagraph"/><w:numPr><w:ilvl w:val="0"/><w:numId w:val="2"/></w:numPr><w:spacing w:after="100"/></w:pPr><w:r><w:rPr><w:rFonts w:ascii="Arial" w:cs="Arial" w:eastAsia="Arial" w:hAnsi="Arial"/><w:b w:val="false"/><w:bCs w:val="false"/><w:i w:val="false"/><w:iCs w:val="false"/><w:color w:val="1A1A1A"/><w:sz w:val="21"/><w:szCs w:val="21"/></w:rPr><w:t xml:space="preserve">GDPR (General Data Protection Regulation) — full compliance</w:t></w:r></w:p><w:p><w:pPr><w:pStyle w:val="ListParagraph"/><w:numPr><w:ilvl w:val="0"/><w:numId w:val="2"/></w:numPr><w:spacing w:after="100"/></w:pPr><w:r><w:rPr><w:rFonts w:ascii="Arial" w:cs="Arial" w:eastAsia="Arial" w:hAnsi="Arial"/><w:b w:val="false"/><w:bCs w:val="false"/><w:i w:val="false"/><w:iCs w:val="false"/><w:color w:val="1A1A1A"/><w:sz w:val="21"/><w:szCs w:val="21"/></w:rPr><w:t xml:space="preserve">ISO 27001 — architecture designed according to the standard&apos;s controls</w:t></w:r></w:p><w:p><w:pPr><w:pStyle w:val="ListParagraph"/><w:numPr><w:ilvl w:val="0"/><w:numId w:val="2"/></w:numPr><w:spacing w:after="100"/></w:pPr><w:r><w:rPr><w:rFonts w:ascii="Arial" w:cs="Arial" w:eastAsia="Arial" w:hAnsi="Arial"/><w:b w:val="false"/><w:bCs w:val="false"/><w:i w:val="false"/><w:iCs w:val="false"/><w:color w:val="1A1A1A"/><w:sz w:val="21"/><w:szCs w:val="21"/></w:rPr><w:t xml:space="preserve">European animal welfare legislation (Directive 98/58/EC and subsequent regulations)</w:t></w:r></w:p><w:p><w:pPr><w:pStyle w:val="ListParagraph"/><w:numPr><w:ilvl w:val="0"/><w:numId w:val="2"/></w:numPr><w:spacing w:after="100"/></w:pPr><w:r><w:rPr><w:rFonts w:ascii="Arial" w:cs="Arial" w:eastAsia="Arial" w:hAnsi="Arial"/><w:b w:val="false"/><w:bCs w:val="false"/><w:i w:val="false"/><w:iCs w:val="false"/><w:color w:val="1A1A1A"/><w:sz w:val="21"/><w:szCs w:val="21"/></w:rPr><w:t xml:space="preserve">Welfair Quality standard — all indicators exportable in the required format</w:t></w:r></w:p><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9. Strategic Impact for Seeker</w:t></w:r></w:p><w:p><w:pPr><w:spacing w:after="160"/></w:pPr><w:r><w:rPr><w:rFonts w:ascii="Arial" w:cs="Arial" w:eastAsia="Arial" w:hAnsi="Arial"/><w:b w:val="false"/><w:bCs w:val="false"/><w:i w:val="false"/><w:iCs w:val="false"/><w:color w:val="1A1A1A"/><w:sz w:val="22"/><w:szCs w:val="22"/></w:rPr><w:t xml:space="preserve">BoviWatch is not a monitoring system — it is a strategic differentiation platform that positions Seeker as the European reference in the digitalisation of the dairy value chain.</w:t></w:r></w:p><w:p><w:pPr><w:pStyle w:val="Heading2"/><w:spacing w:after="120" w:before="300"/></w:pPr><w:r><w:rPr><w:rFonts w:ascii="Arial" w:cs="Arial" w:eastAsia="Arial" w:hAnsi="Arial"/><w:b/><w:bCs/><w:i w:val="false"/><w:iCs w:val="false"/><w:color w:val="0F6E56"/><w:sz w:val="26"/><w:szCs w:val="26"/></w:rPr><w:t xml:space="preserve">9.1 Direct Operational Impact</w:t></w:r></w:p><w:p><w:pPr><w:pStyle w:val="ListParagraph"/><w:numPr><w:ilvl w:val="0"/><w:numId w:val="2"/></w:numPr><w:spacing w:after="100"/></w:pPr><w:r><w:rPr><w:rFonts w:ascii="Arial" w:cs="Arial" w:eastAsia="Arial" w:hAnsi="Arial"/><w:b w:val="false"/><w:bCs w:val="false"/><w:i w:val="false"/><w:iCs w:val="false"/><w:color w:val="1A1A1A"/><w:sz w:val="21"/><w:szCs w:val="21"/></w:rPr><w:t xml:space="preserve">Estimated 40–60% reduction in costs associated with undetected mastitis, lameness, and heat stress</w:t></w:r></w:p><w:p><w:pPr><w:pStyle w:val="ListParagraph"/><w:numPr><w:ilvl w:val="0"/><w:numId w:val="2"/></w:numPr><w:spacing w:after="100"/></w:pPr><w:r><w:rPr><w:rFonts w:ascii="Arial" w:cs="Arial" w:eastAsia="Arial" w:hAnsi="Arial"/><w:b w:val="false"/><w:bCs w:val="false"/><w:i w:val="false"/><w:iCs w:val="false"/><w:color w:val="1A1A1A"/><w:sz w:val="21"/><w:szCs w:val="21"/></w:rPr><w:t xml:space="preserve">Improved stability and physico-chemical quality of delivered milk through greater control of production conditions</w:t></w:r></w:p><w:p><w:pPr><w:pStyle w:val="ListParagraph"/><w:numPr><w:ilvl w:val="0"/><w:numId w:val="2"/></w:numPr><w:spacing w:after="100"/></w:pPr><w:r><w:rPr><w:rFonts w:ascii="Arial" w:cs="Arial" w:eastAsia="Arial" w:hAnsi="Arial"/><w:b w:val="false"/><w:bCs w:val="false"/><w:i w:val="false"/><w:iCs w:val="false"/><w:color w:val="1A1A1A"/><w:sz w:val="21"/><w:szCs w:val="21"/></w:rPr><w:t xml:space="preserve">Reduced Welfair Quality audit cost through automation of data collection and verification</w:t></w:r></w:p><w:p><w:pPr><w:pStyle w:val="ListParagraph"/><w:numPr><w:ilvl w:val="0"/><w:numId w:val="2"/></w:numPr><w:spacing w:after="100"/></w:pPr><w:r><w:rPr><w:rFonts w:ascii="Arial" w:cs="Arial" w:eastAsia="Arial" w:hAnsi="Arial"/><w:b w:val="false"/><w:bCs w:val="false"/><w:i w:val="false"/><w:iCs w:val="false"/><w:color w:val="1A1A1A"/><w:sz w:val="21"/><w:szCs w:val="21"/></w:rPr><w:t xml:space="preserve">Extended animal productive life through early intervention in chronic degradation trajectories</w:t></w:r></w:p><w:p><w:pPr><w:pStyle w:val="Heading2"/><w:spacing w:after="120" w:before="300"/></w:pPr><w:r><w:rPr><w:rFonts w:ascii="Arial" w:cs="Arial" w:eastAsia="Arial" w:hAnsi="Arial"/><w:b/><w:bCs/><w:i w:val="false"/><w:iCs w:val="false"/><w:color w:val="0F6E56"/><w:sz w:val="26"/><w:szCs w:val="26"/></w:rPr><w:t xml:space="preserve">9.2 ESG Positioning and Market</w:t></w:r></w:p><w:p><w:pPr><w:pStyle w:val="ListParagraph"/><w:numPr><w:ilvl w:val="0"/><w:numId w:val="2"/></w:numPr><w:spacing w:after="100"/></w:pPr><w:r><w:rPr><w:rFonts w:ascii="Arial" w:cs="Arial" w:eastAsia="Arial" w:hAnsi="Arial"/><w:b w:val="false"/><w:bCs w:val="false"/><w:i w:val="false"/><w:iCs w:val="false"/><w:color w:val="1A1A1A"/><w:sz w:val="21"/><w:szCs w:val="21"/></w:rPr><w:t xml:space="preserve">Clear differentiation in European markets with growing ESG, traceability, and transparency requirements</w:t></w:r></w:p><w:p><w:pPr><w:pStyle w:val="ListParagraph"/><w:numPr><w:ilvl w:val="0"/><w:numId w:val="2"/></w:numPr><w:spacing w:after="100"/></w:pPr><w:r><w:rPr><w:rFonts w:ascii="Arial" w:cs="Arial" w:eastAsia="Arial" w:hAnsi="Arial"/><w:b w:val="false"/><w:bCs w:val="false"/><w:i w:val="false"/><w:iCs w:val="false"/><w:color w:val="1A1A1A"/><w:sz w:val="21"/><w:szCs w:val="21"/></w:rPr><w:t xml:space="preserve">Verifiable animal welfare communication capability to the end consumer — with data, not declarations</w:t></w:r></w:p><w:p><w:pPr><w:pStyle w:val="ListParagraph"/><w:numPr><w:ilvl w:val="0"/><w:numId w:val="2"/></w:numPr><w:spacing w:after="100"/></w:pPr><w:r><w:rPr><w:rFonts w:ascii="Arial" w:cs="Arial" w:eastAsia="Arial" w:hAnsi="Arial"/><w:b w:val="false"/><w:bCs w:val="false"/><w:i w:val="false"/><w:iCs w:val="false"/><w:color w:val="1A1A1A"/><w:sz w:val="21"/><w:szCs w:val="21"/></w:rPr><w:t xml:space="preserve">Strengthened producer relationships through a tool that generates direct value for their operations</w:t></w:r></w:p><w:p><w:pPr><w:pStyle w:val="ListParagraph"/><w:numPr><w:ilvl w:val="0"/><w:numId w:val="2"/></w:numPr><w:spacing w:after="100"/></w:pPr><w:r><w:rPr><w:rFonts w:ascii="Arial" w:cs="Arial" w:eastAsia="Arial" w:hAnsi="Arial"/><w:b w:val="false"/><w:bCs w:val="false"/><w:i w:val="false"/><w:iCs w:val="false"/><w:color w:val="1A1A1A"/><w:sz w:val="21"/><w:szCs w:val="21"/></w:rPr><w:t xml:space="preserve">Positioning as the sectoral benchmark in animal welfare digitalisation at national and European level</w:t></w:r></w:p><w:p><w:pPr><w:pStyle w:val="Heading2"/><w:spacing w:after="120" w:before="300"/></w:pPr><w:r><w:rPr><w:rFonts w:ascii="Arial" w:cs="Arial" w:eastAsia="Arial" w:hAnsi="Arial"/><w:b/><w:bCs/><w:i w:val="false"/><w:iCs w:val="false"/><w:color w:val="0F6E56"/><w:sz w:val="26"/><w:szCs w:val="26"/></w:rPr><w:t xml:space="preserve">9.3 Intellectual Property</w:t></w:r></w:p><w:p><w:pPr><w:spacing w:after="160"/></w:pPr><w:r><w:rPr><w:rFonts w:ascii="Arial" w:cs="Arial" w:eastAsia="Arial" w:hAnsi="Arial"/><w:b w:val="false"/><w:bCs w:val="false"/><w:i w:val="false"/><w:iCs w:val="false"/><w:color w:val="1A1A1A"/><w:sz w:val="22"/><w:szCs w:val="22"/></w:rPr><w:t xml:space="preserve">The D/M* predictive engine and its dual memory mechanisms constitute a technical innovation with intellectual property protection potential. Seeker, as pilot and validation partner, would hold a preferential position in any future licensing, co-development, or joint protection agreements — creating a sustainable and defensible competitive advantage in the European market.</w:t></w:r></w:p><w:p><w:r><w:br w:type="page"/></w:r></w:p><w:p><w:pPr><w:pStyle w:val="Heading1"/><w:pBdr><w:bottom w:val="single" w:color="1D9E75" w:sz="4" w:space="4"/></w:pBdr><w:spacing w:after="160" w:before="400"/></w:pPr><w:r><w:rPr><w:rFonts w:ascii="Arial" w:cs="Arial" w:eastAsia="Arial" w:hAnsi="Arial"/><w:b/><w:bCs/><w:i w:val="false"/><w:iCs w:val="false"/><w:color w:val="0F6E56"/><w:sz w:val="34"/><w:szCs w:val="34"/></w:rPr><w:t xml:space="preserve">10. Conclusion</w:t></w:r></w:p><w:p><w:pPr><w:spacing w:after="160"/></w:pPr><w:r><w:rPr><w:rFonts w:ascii="Arial" w:cs="Arial" w:eastAsia="Arial" w:hAnsi="Arial"/><w:b w:val="false"/><w:bCs w:val="false"/><w:i w:val="false"/><w:iCs w:val="false"/><w:color w:val="1A1A1A"/><w:sz w:val="22"/><w:szCs w:val="22"/></w:rPr><w:t xml:space="preserve">Seeker faces a singular window of opportunity: to be the first company in the Portuguese and European dairy sector to implement a genuinely predictive animal welfare Digital Twin — not reactive, not periodic, not subjective.</w:t></w:r></w:p><w:p><w:pPr><w:spacing w:after="160"/></w:pPr><w:r><w:rPr><w:rFonts w:ascii="Arial" w:cs="Arial" w:eastAsia="Arial" w:hAnsi="Arial"/><w:b w:val="false"/><w:bCs w:val="false"/><w:i w:val="false"/><w:iCs w:val="false"/><w:color w:val="1A1A1A"/><w:sz w:val="22"/><w:szCs w:val="22"/></w:rPr><w:t xml:space="preserve">BoviWatch is ready for that step. The prototype works. The predictive engine is calibrated. The architecture is scalable. The integration with Welfair Quality and the Seeker internal certificate is embedded in the platform&apos;s design from day one.</w:t></w:r></w:p><w:p><w:pPr><w:spacing w:after="160"/></w:pPr><w:r><w:rPr><w:rFonts w:ascii="Arial" w:cs="Arial" w:eastAsia="Arial" w:hAnsi="Arial"/><w:b w:val="false"/><w:bCs w:val="false"/><w:i w:val="false"/><w:iCs w:val="false"/><w:color w:val="1A1A1A"/><w:sz w:val="22"/><w:szCs w:val="22"/></w:rPr><w:t xml:space="preserve">What we propose is not a research project. It is an implementation partnership — with a demonstrable prototype today, a structured pilot over the next six months, and a scalable platform that can transform the way Seeker manages, certifies, and communicates animal welfare across its value chain.</w:t></w:r></w:p><w:p><w:pPr><w:spacing w:after="80"/></w:pPr><w:r><w:rPr><w:rFonts w:ascii="Arial" w:cs="Arial" w:eastAsia="Arial" w:hAnsi="Arial"/><w:b w:val="false"/><w:bCs w:val="false"/><w:i w:val="false"/><w:iCs w:val="false"/><w:color w:val="1A1A1A"/><w:sz w:val="22"/><w:szCs w:val="22"/></w:rPr><w:t xml:space="preserve"></w:t></w:r></w:p><w:tbl><w:tblPr><w:tblW w:type="dxa" w:w="9200"/><w:tblBorders><w:top w:val="single" w:color="auto" w:sz="4"/><w:left w:val="single" w:color="auto" w:sz="4"/><w:bottom w:val="single" w:color="auto" w:sz="4"/><w:right w:val="single" w:color="auto" w:sz="4"/><w:insideH w:val="single" w:color="auto" w:sz="4"/><w:insideV w:val="single" w:color="auto" w:sz="4"/></w:tblBorders></w:tblPr><w:tblGrid><w:gridCol w:w="9200"/></w:tblGrid><w:tr><w:tc><w:tcPr><w:tcW w:type="dxa" w:w="9200"/><w:tcBorders><w:top w:val="single" w:color="CCCCCC" w:sz="1"/><w:left w:val="single" w:color="CCCCCC" w:sz="1"/><w:bottom w:val="single" w:color="CCCCCC" w:sz="1"/><w:right w:val="single" w:color="CCCCCC" w:sz="1"/></w:tcBorders><w:shd w:fill="E1F5EE" w:val="clear"/><w:tcMar><w:top w:type="dxa" w:w="160"/><w:left w:type="dxa" w:w="200"/><w:bottom w:type="dxa" w:w="160"/><w:right w:type="dxa" w:w="200"/></w:tcMar></w:tcPr><w:p><w:pPr><w:spacing w:after="80"/></w:pPr><w:r><w:rPr><w:rFonts w:ascii="Arial" w:cs="Arial" w:eastAsia="Arial" w:hAnsi="Arial"/><w:b/><w:bCs/><w:i w:val="false"/><w:iCs w:val="false"/><w:color w:val="0F6E56"/><w:sz w:val="22"/><w:szCs w:val="22"/></w:rPr><w:t xml:space="preserve">Final Commitment</w:t></w:r></w:p><w:p><w:pPr><w:spacing w:after="80"/></w:pPr><w:r><w:rPr><w:rFonts w:ascii="Arial" w:cs="Arial" w:eastAsia="Arial" w:hAnsi="Arial"/><w:b w:val="false"/><w:bCs w:val="false"/><w:i w:val="false"/><w:iCs w:val="false"/><w:color w:val="0F4A3A"/><w:sz w:val="20"/><w:szCs w:val="20"/></w:rPr><w:t xml:space="preserve">BoviWatch was designed to do exactly what Seeker needs: transform continuous sensor data into anticipated decisions — before the animal suffers, before production falls, before an audit reveals a problem that was already avoidable.</w:t></w:r></w:p><w:p><w:pPr><w:spacing w:after="80"/></w:pPr><w:r><w:rPr><w:rFonts w:ascii="Arial" w:cs="Arial" w:eastAsia="Arial" w:hAnsi="Arial"/><w:b w:val="false"/><w:bCs w:val="false"/><w:i w:val="false"/><w:iCs w:val="false"/><w:color w:val="0F4A3A"/><w:sz w:val="20"/><w:szCs w:val="20"/></w:rPr><w:t xml:space="preserve">This is not future technology. It is technology available now, ready to be validated with Seeker as a partner.</w:t></w:r></w:p></w:tc></w:tr></w:tbl><w:p><w:pPr><w:spacing w:after="80"/></w:pPr><w:r><w:rPr><w:rFonts w:ascii="Arial" w:cs="Arial" w:eastAsia="Arial" w:hAnsi="Arial"/><w:b w:val="false"/><w:bCs w:val="false"/><w:i w:val="false"/><w:iCs w:val="false"/><w:color w:val="1A1A1A"/><w:sz w:val="22"/><w:szCs w:val="22"/></w:rPr><w:t xml:space="preserve"></w:t></w:r></w:p><w:p><w:pPr><w:spacing w:after="80"/></w:pPr><w:r><w:rPr><w:rFonts w:ascii="Arial" w:cs="Arial" w:eastAsia="Arial" w:hAnsi="Arial"/><w:b w:val="false"/><w:bCs w:val="false"/><w:i w:val="false"/><w:iCs w:val="false"/><w:color w:val="1A1A1A"/><w:sz w:val="22"/><w:szCs w:val="22"/></w:rPr><w:t xml:space="preserve"></w:t></w:r></w:p><w:p><w:pPr><w:spacing w:after="80"/><w:jc w:val="right"/></w:pPr><w:r><w:rPr><w:rFonts w:ascii="Arial" w:cs="Arial" w:eastAsia="Arial" w:hAnsi="Arial"/><w:b/><w:bCs/><w:i w:val="false"/><w:iCs w:val="false"/><w:color w:val="1A1A1A"/><w:sz w:val="22"/><w:szCs w:val="22"/></w:rPr><w:t xml:space="preserve">Cesar Agliardi Pereira</w:t></w:r></w:p><w:p><w:pPr><w:spacing w:after="80"/><w:jc w:val="right"/></w:pPr><w:r><w:rPr><w:rFonts w:ascii="Arial" w:cs="Arial" w:eastAsia="Arial" w:hAnsi="Arial"/><w:b w:val="false"/><w:bCs w:val="false"/><w:i/><w:iCs/><w:color w:val="666666"/><w:sz w:val="20"/><w:szCs w:val="20"/></w:rPr><w:t xml:space="preserve">Independent Researcher — Theoretical Physics &amp; Risk Modelling</w:t></w:r></w:p><w:p><w:pPr><w:spacing w:after="80"/><w:jc w:val="right"/></w:pPr><w:r><w:rPr><w:rFonts w:ascii="Arial" w:cs="Arial" w:eastAsia="Arial" w:hAnsi="Arial"/><w:b w:val="false"/><w:bCs w:val="false"/><w:i w:val="false"/><w:iCs w:val="false"/><w:color w:val="666666"/><w:sz w:val="20"/><w:szCs w:val="20"/></w:rPr><w:t xml:space="preserve">Gravataí, RS, Brazil · April 2026</w:t></w:r></w:p><w:sectPr><w:headerReference w:type="default" r:id="rId7"/><w:footerReference w:type="default" r:id="rId8"/><w:pgSz w:w="11906" w:h="16838" w:orient="portrait"/><w:pgMar w:top="1440" w:right="1200" w:bottom="1440" w:left="12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0"/>
    </w:pPr>
    <w:r>
      <w:rPr>
        <w:rFonts w:ascii="Arial" w:cs="Arial" w:eastAsia="Arial" w:hAnsi="Arial"/>
        <w:b w:val="false"/>
        <w:bCs w:val="false"/>
        <w:i w:val="false"/>
        <w:iCs w:val="false"/>
        <w:color w:val="666666"/>
        <w:sz w:val="16"/>
        <w:szCs w:val="16"/>
      </w:rPr>
      <w:t xml:space="preserve">Confidential · All rights reserved · Cesar Agliardi Pereira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tabs>
        <w:tab w:val="right" w:pos="9026"/>
      </w:tabs>
      <w:spacing w:after="0"/>
    </w:pPr>
    <w:r>
      <w:rPr>
        <w:rFonts w:ascii="Arial" w:cs="Arial" w:eastAsia="Arial" w:hAnsi="Arial"/>
        <w:b/>
        <w:bCs/>
        <w:i w:val="false"/>
        <w:iCs w:val="false"/>
        <w:color w:val="0F6E56"/>
        <w:sz w:val="20"/>
        <w:szCs w:val="20"/>
      </w:rPr>
      <w:t xml:space="preserve">BoviWatch</w:t>
    </w:r>
    <w:r>
      <w:rPr>
        <w:rFonts w:ascii="Arial" w:cs="Arial" w:eastAsia="Arial" w:hAnsi="Arial"/>
        <w:b w:val="false"/>
        <w:bCs w:val="false"/>
        <w:i w:val="false"/>
        <w:iCs w:val="false"/>
        <w:color w:val="666666"/>
        <w:sz w:val="18"/>
        <w:szCs w:val="18"/>
      </w:rPr>
      <w:t xml:space="preserve">  ·  Digital Twin for Animal Welfare in Dairy Cattle</w:t>
    </w:r>
    <w:r>
      <w:rPr>
        <w:rFonts w:ascii="Arial" w:cs="Arial" w:eastAsia="Arial" w:hAnsi="Arial"/>
        <w:b w:val="false"/>
        <w:bCs w:val="false"/>
        <w:i w:val="false"/>
        <w:iCs w:val="false"/>
        <w:color w:val="1A1A1A"/>
        <w:sz w:val="18"/>
        <w:szCs w:val="18"/>
      </w:rPr>
      <w:t xml:space="preserve">	</w:t>
    </w:r>
    <w:r>
      <w:rPr>
        <w:rFonts w:ascii="Arial" w:cs="Arial" w:eastAsia="Arial" w:hAnsi="Arial"/>
        <w:b w:val="false"/>
        <w:bCs w:val="false"/>
        <w:i/>
        <w:iCs/>
        <w:color w:val="666666"/>
        <w:sz w:val="18"/>
        <w:szCs w:val="18"/>
      </w:rPr>
      <w:t xml:space="preserve">InoCrowd Submission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6E56"/>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2026-04-02T13:41:13.158Z</dcterms:created>
  <dcterms:modified xsi:type="dcterms:W3CDTF">2026-04-02T13:41:13.159Z</dcterms:modified>
</cp:coreProperties>
</file>

<file path=docProps/custom.xml><?xml version="1.0" encoding="utf-8"?>
<Properties xmlns="http://schemas.openxmlformats.org/officeDocument/2006/custom-properties" xmlns:vt="http://schemas.openxmlformats.org/officeDocument/2006/docPropsVTypes"/>
</file>