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0"/>
          <w:szCs w:val="40"/>
        </w:rPr>
        <w:t xml:space="preserve"/>
      </w:r>
    </w:p>
    <w:p>
      <w:pPr>
        <w:spacing w:after="80" w:before="0"/>
        <w:jc w:val="center"/>
      </w:pPr>
      <w:r>
        <w:rPr>
          <w:rFonts w:ascii="Arial" w:cs="Arial" w:eastAsia="Arial" w:hAnsi="Arial"/>
          <w:b/>
          <w:bCs/>
          <w:color w:val="1F7A4D"/>
          <w:sz w:val="64"/>
          <w:szCs w:val="64"/>
        </w:rPr>
        <w:t xml:space="preserve">BoviWatch</w:t>
      </w:r>
    </w:p>
    <w:p>
      <w:pPr>
        <w:spacing w:after="200" w:before="0"/>
        <w:jc w:val="center"/>
      </w:pPr>
      <w:r>
        <w:rPr>
          <w:rFonts w:ascii="Arial" w:cs="Arial" w:eastAsia="Arial" w:hAnsi="Arial"/>
          <w:color w:val="2E8B6E"/>
          <w:sz w:val="32"/>
          <w:szCs w:val="32"/>
        </w:rPr>
        <w:t xml:space="preserve">Animal Welfare Digital Twin in Dairy Cattle</w:t>
      </w:r>
    </w:p>
    <w:p>
      <w:pPr>
        <w:pBdr>
          <w:bottom w:val="single" w:color="1F7A4D" w:sz="6" w:space="6"/>
        </w:pBdr>
        <w:spacing w:after="80" w:before="0"/>
        <w:jc w:val="center"/>
      </w:pPr>
      <w:r>
        <w:rPr>
          <w:rFonts w:ascii="Arial" w:cs="Arial" w:eastAsia="Arial" w:hAnsi="Arial"/>
          <w:color w:val="444444"/>
          <w:sz w:val="26"/>
          <w:szCs w:val="26"/>
        </w:rPr>
        <w:t xml:space="preserve">Submission to the InoCrowd Challenge</w:t>
      </w:r>
    </w:p>
    <w:p>
      <w:pPr>
        <w:spacing w:after="0" w:before="0"/>
      </w:pPr>
      <w:r>
        <w:rPr>
          <w:sz w:val="20"/>
          <w:szCs w:val="20"/>
        </w:rPr>
        <w:t xml:space="preserve"/>
      </w:r>
    </w:p>
    <w:p>
      <w:pPr>
        <w:spacing w:after="60" w:before="0"/>
        <w:jc w:val="center"/>
      </w:pPr>
      <w:r>
        <w:rPr>
          <w:rFonts w:ascii="Arial" w:cs="Arial" w:eastAsia="Arial" w:hAnsi="Arial"/>
          <w:i/>
          <w:iCs/>
          <w:color w:val="444444"/>
          <w:sz w:val="22"/>
          <w:szCs w:val="22"/>
        </w:rPr>
        <w:t xml:space="preserve">Advanced and Predictive Monitoring of Animal Welfare in a Dairy Cattle Production Unit</w:t>
      </w:r>
    </w:p>
    <w:p>
      <w:pPr>
        <w:spacing w:after="200" w:before="0"/>
        <w:jc w:val="center"/>
      </w:pPr>
      <w:r>
        <w:rPr>
          <w:rFonts w:ascii="Arial" w:cs="Arial" w:eastAsia="Arial" w:hAnsi="Arial"/>
          <w:color w:val="444444"/>
          <w:sz w:val="22"/>
          <w:szCs w:val="22"/>
        </w:rPr>
        <w:t xml:space="preserve">Seeker · Welfair Quality · 2026</w:t>
      </w:r>
    </w:p>
    <w:p>
      <w:pPr>
        <w:spacing w:after="0" w:before="0"/>
      </w:pPr>
      <w:r>
        <w:rPr>
          <w:sz w:val="30"/>
          <w:szCs w:val="30"/>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tcPr>
          <w:p>
            <w:r>
              <w:rPr>
                <w:rFonts w:ascii="Arial" w:cs="Arial" w:eastAsia="Arial" w:hAnsi="Arial"/>
                <w:b/>
                <w:bCs/>
                <w:color w:val="1F7A4D"/>
                <w:sz w:val="20"/>
                <w:szCs w:val="20"/>
              </w:rPr>
              <w:t xml:space="preserve">Proposer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Cesar Agliardi Pereira</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tcPr>
          <w:p>
            <w:r>
              <w:rPr>
                <w:rFonts w:ascii="Arial" w:cs="Arial" w:eastAsia="Arial" w:hAnsi="Arial"/>
                <w:b/>
                <w:bCs/>
                <w:color w:val="1F7A4D"/>
                <w:sz w:val="20"/>
                <w:szCs w:val="20"/>
              </w:rPr>
              <w:t xml:space="preserve">Location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Gravataí, RS, Brazil</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tcPr>
          <w:p>
            <w:r>
              <w:rPr>
                <w:rFonts w:ascii="Arial" w:cs="Arial" w:eastAsia="Arial" w:hAnsi="Arial"/>
                <w:b/>
                <w:bCs/>
                <w:color w:val="1F7A4D"/>
                <w:sz w:val="20"/>
                <w:szCs w:val="20"/>
              </w:rPr>
              <w:t xml:space="preserve">Contact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Independent Researcher — Theoretical Physics &amp; Risk Modelling</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tcPr>
          <w:p>
            <w:r>
              <w:rPr>
                <w:rFonts w:ascii="Arial" w:cs="Arial" w:eastAsia="Arial" w:hAnsi="Arial"/>
                <w:b/>
                <w:bCs/>
                <w:color w:val="1F7A4D"/>
                <w:sz w:val="20"/>
                <w:szCs w:val="20"/>
              </w:rPr>
              <w:t xml:space="preserve">Classification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Confidential · Own Intellectual Property</w:t>
            </w:r>
          </w:p>
        </w:tc>
      </w:tr>
      <w:tr>
        <w:tc>
          <w:tcPr>
            <w:tcW w:type="dxa" w:w="2200"/>
            <w:tcBorders>
              <w:top w:val="single" w:color="CCCCCC" w:sz="1"/>
              <w:left w:val="single" w:color="CCCCCC" w:sz="1"/>
              <w:bottom w:val="single" w:color="CCCCCC" w:sz="1"/>
              <w:right w:val="single" w:color="CCCCCC" w:sz="1"/>
            </w:tcBorders>
            <w:shd w:fill="E8F5EE" w:val="clear"/>
            <w:tcMar>
              <w:top w:type="dxa" w:w="80"/>
              <w:left w:type="dxa" w:w="160"/>
              <w:bottom w:type="dxa" w:w="80"/>
              <w:right w:type="dxa" w:w="160"/>
            </w:tcMar>
          </w:tcPr>
          <w:p>
            <w:r>
              <w:rPr>
                <w:rFonts w:ascii="Arial" w:cs="Arial" w:eastAsia="Arial" w:hAnsi="Arial"/>
                <w:b/>
                <w:bCs/>
                <w:color w:val="1F7A4D"/>
                <w:sz w:val="20"/>
                <w:szCs w:val="20"/>
              </w:rPr>
              <w:t xml:space="preserve">Date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April 2026</w:t>
            </w:r>
          </w:p>
        </w:tc>
      </w:tr>
    </w:tbl>
    <w:p>
      <w:r>
        <w:br w:type="page"/>
      </w:r>
    </w:p>
    <w:p>
      <w:pPr>
        <w:pStyle w:val="Heading1"/>
        <w:pBdr>
          <w:bottom w:val="single" w:color="1F7A4D" w:sz="8" w:space="4"/>
        </w:pBdr>
        <w:spacing w:after="160" w:before="360"/>
      </w:pPr>
      <w:r>
        <w:rPr>
          <w:rFonts w:ascii="Arial" w:cs="Arial" w:eastAsia="Arial" w:hAnsi="Arial"/>
          <w:b/>
          <w:bCs/>
          <w:color w:val="1F7A4D"/>
          <w:sz w:val="36"/>
          <w:szCs w:val="36"/>
        </w:rPr>
        <w:t xml:space="preserve">1. Executive Summary</w:t>
      </w:r>
    </w:p>
    <w:p>
      <w:pPr>
        <w:spacing w:after="120" w:before="80"/>
        <w:jc w:val="both"/>
      </w:pPr>
      <w:r>
        <w:rPr>
          <w:rFonts w:ascii="Arial" w:cs="Arial" w:eastAsia="Arial" w:hAnsi="Arial"/>
          <w:b w:val="false"/>
          <w:bCs w:val="false"/>
          <w:i w:val="false"/>
          <w:iCs w:val="false"/>
          <w:color w:val="1A1A1A"/>
          <w:sz w:val="22"/>
          <w:szCs w:val="22"/>
        </w:rPr>
        <w:t xml:space="preserve">BoviWatch is a next-generation Digital Twin platform, designed to radically transform how Seeker evaluates, certifies and improves animal welfare across its dairy production units.</w:t>
      </w:r>
    </w:p>
    <w:p>
      <w:pPr>
        <w:spacing w:after="120" w:before="80"/>
        <w:jc w:val="both"/>
      </w:pPr>
      <w:r>
        <w:rPr>
          <w:rFonts w:ascii="Arial" w:cs="Arial" w:eastAsia="Arial" w:hAnsi="Arial"/>
          <w:b w:val="false"/>
          <w:bCs w:val="false"/>
          <w:i w:val="false"/>
          <w:iCs w:val="false"/>
          <w:color w:val="1A1A1A"/>
          <w:sz w:val="22"/>
          <w:szCs w:val="22"/>
        </w:rPr>
        <w:t xml:space="preserve">The system is not an alert dashboard. It is a living digital replica of each animal — a computational entity that learns the unique physiological pattern of each cow over time, models its present state across multiple simultaneous dimensions, and detects deviations up to 18 months before any clinical sign becomes visible.</w:t>
      </w:r>
    </w:p>
    <w:p>
      <w:pPr>
        <w:spacing w:after="120" w:before="80"/>
        <w:jc w:val="both"/>
      </w:pPr>
      <w:r>
        <w:rPr>
          <w:rFonts w:ascii="Arial" w:cs="Arial" w:eastAsia="Arial" w:hAnsi="Arial"/>
          <w:b w:val="false"/>
          <w:bCs w:val="false"/>
          <w:i w:val="false"/>
          <w:iCs w:val="false"/>
          <w:color w:val="1A1A1A"/>
          <w:sz w:val="22"/>
          <w:szCs w:val="22"/>
        </w:rPr>
        <w:t xml:space="preserve">This proposal fully addresses the 7 technical modules defined in Annex I, the Welfair Quality certification framework described in Annex II, and positions Seeker as the European benchmark in digital animal welfare — with direct potential for ESG differentiation, traceability and intellectual property protection.</w:t>
      </w:r>
    </w:p>
    <w:p>
      <w:pPr>
        <w:spacing w:after="0" w:before="0"/>
      </w:pPr>
      <w:r>
        <w:rPr>
          <w:sz w:val="10"/>
          <w:szCs w:val="10"/>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1F7A4D" w:sz="4"/>
              <w:left w:val="thick" w:color="1F7A4D" w:sz="12"/>
              <w:bottom w:val="single" w:color="1F7A4D" w:sz="4"/>
              <w:right w:val="single" w:color="1F7A4D" w:sz="4"/>
            </w:tcBorders>
            <w:shd w:fill="E8F5EE" w:val="clear"/>
            <w:tcMar>
              <w:top w:type="dxa" w:w="200"/>
              <w:left w:type="dxa" w:w="280"/>
              <w:bottom w:type="dxa" w:w="200"/>
              <w:right w:type="dxa" w:w="240"/>
            </w:tcMar>
          </w:tcPr>
          <w:p>
            <w:pPr>
              <w:spacing w:after="120" w:before="0"/>
            </w:pPr>
            <w:r>
              <w:rPr>
                <w:rFonts w:ascii="Arial" w:cs="Arial" w:eastAsia="Arial" w:hAnsi="Arial"/>
                <w:b/>
                <w:bCs/>
                <w:color w:val="1F7A4D"/>
                <w:sz w:val="24"/>
                <w:szCs w:val="24"/>
              </w:rPr>
              <w:t xml:space="preserve">Value Proposition in Three Statements</w:t>
            </w:r>
          </w:p>
          <w:p>
            <w:pPr>
              <w:spacing w:after="80" w:before="80"/>
            </w:pPr>
            <w:r>
              <w:rPr>
                <w:rFonts w:ascii="Arial" w:cs="Arial" w:eastAsia="Arial" w:hAnsi="Arial"/>
                <w:b/>
                <w:bCs/>
                <w:color w:val="1F7A4D"/>
                <w:sz w:val="22"/>
                <w:szCs w:val="22"/>
              </w:rPr>
              <w:t xml:space="preserve">① </w:t>
            </w:r>
            <w:r>
              <w:rPr>
                <w:rFonts w:ascii="Arial" w:cs="Arial" w:eastAsia="Arial" w:hAnsi="Arial"/>
                <w:color w:val="1A1A1A"/>
                <w:sz w:val="22"/>
                <w:szCs w:val="22"/>
              </w:rPr>
              <w:t xml:space="preserve">BoviWatch creates an individual digital twin for each animal — not a herd average — capturing its physiological history, environment and social interactions in real time.</w:t>
            </w:r>
          </w:p>
          <w:p>
            <w:pPr>
              <w:spacing w:after="80" w:before="80"/>
            </w:pPr>
            <w:r>
              <w:rPr>
                <w:rFonts w:ascii="Arial" w:cs="Arial" w:eastAsia="Arial" w:hAnsi="Arial"/>
                <w:b/>
                <w:bCs/>
                <w:color w:val="1F7A4D"/>
                <w:sz w:val="22"/>
                <w:szCs w:val="22"/>
              </w:rPr>
              <w:t xml:space="preserve">② </w:t>
            </w:r>
            <w:r>
              <w:rPr>
                <w:rFonts w:ascii="Arial" w:cs="Arial" w:eastAsia="Arial" w:hAnsi="Arial"/>
                <w:color w:val="1A1A1A"/>
                <w:sz w:val="22"/>
                <w:szCs w:val="22"/>
              </w:rPr>
              <w:t xml:space="preserve">The D/M* predictive engine detects risk factor combinations that conventional systems cannot see, anticipating mastitis, subclinical acidosis, heat stress and lameness weeks or months before clinical collapse.</w:t>
            </w:r>
          </w:p>
          <w:p>
            <w:pPr>
              <w:spacing w:after="0" w:before="80"/>
            </w:pPr>
            <w:r>
              <w:rPr>
                <w:rFonts w:ascii="Arial" w:cs="Arial" w:eastAsia="Arial" w:hAnsi="Arial"/>
                <w:b/>
                <w:bCs/>
                <w:color w:val="1F7A4D"/>
                <w:sz w:val="22"/>
                <w:szCs w:val="22"/>
              </w:rPr>
              <w:t xml:space="preserve">③ </w:t>
            </w:r>
            <w:r>
              <w:rPr>
                <w:rFonts w:ascii="Arial" w:cs="Arial" w:eastAsia="Arial" w:hAnsi="Arial"/>
                <w:color w:val="1A1A1A"/>
                <w:sz w:val="22"/>
                <w:szCs w:val="22"/>
              </w:rPr>
              <w:t xml:space="preserve">Every generated alert is traceable, auditable and exportable as a Welfair Quality report — transforming certification from a periodic subjective process into a continuous, objective stream of verifiable data.</w:t>
            </w:r>
          </w:p>
        </w:tc>
      </w:tr>
    </w:tbl>
    <w:p>
      <w:pPr>
        <w:spacing w:after="0" w:before="0"/>
      </w:pPr>
      <w:r>
        <w:rPr>
          <w:sz w:val="20"/>
          <w:szCs w:val="20"/>
        </w:rPr>
        <w:t xml:space="preserve"/>
      </w:r>
    </w:p>
    <w:p>
      <w:pPr>
        <w:pStyle w:val="Heading1"/>
        <w:pBdr>
          <w:bottom w:val="single" w:color="1F7A4D" w:sz="8" w:space="4"/>
        </w:pBdr>
        <w:spacing w:after="160" w:before="360"/>
      </w:pPr>
      <w:r>
        <w:rPr>
          <w:rFonts w:ascii="Arial" w:cs="Arial" w:eastAsia="Arial" w:hAnsi="Arial"/>
          <w:b/>
          <w:bCs/>
          <w:color w:val="1F7A4D"/>
          <w:sz w:val="36"/>
          <w:szCs w:val="36"/>
        </w:rPr>
        <w:t xml:space="preserve">2. The Problem We Solve</w:t>
      </w:r>
    </w:p>
    <w:p>
      <w:pPr>
        <w:spacing w:after="120" w:before="80"/>
        <w:jc w:val="both"/>
      </w:pPr>
      <w:r>
        <w:rPr>
          <w:rFonts w:ascii="Arial" w:cs="Arial" w:eastAsia="Arial" w:hAnsi="Arial"/>
          <w:b w:val="false"/>
          <w:bCs w:val="false"/>
          <w:i w:val="false"/>
          <w:iCs w:val="false"/>
          <w:color w:val="1A1A1A"/>
          <w:sz w:val="22"/>
          <w:szCs w:val="22"/>
        </w:rPr>
        <w:t xml:space="preserve">Seeker faces growing structural pressure: European markets, consumers and auditors demand continuous, objective and traceable evidence of animal welfare — something current methods cannot provide.</w:t>
      </w:r>
    </w:p>
    <w:p>
      <w:pPr>
        <w:pStyle w:val="Heading2"/>
        <w:spacing w:after="120" w:before="280"/>
      </w:pPr>
      <w:r>
        <w:rPr>
          <w:rFonts w:ascii="Arial" w:cs="Arial" w:eastAsia="Arial" w:hAnsi="Arial"/>
          <w:b/>
          <w:bCs/>
          <w:color w:val="2E8B6E"/>
          <w:sz w:val="26"/>
          <w:szCs w:val="26"/>
        </w:rPr>
        <w:t xml:space="preserve">2.1 Limitations of the Current Model</w:t>
      </w:r>
    </w:p>
    <w:p>
      <w:pPr>
        <w:spacing w:after="120" w:before="80"/>
        <w:jc w:val="both"/>
      </w:pPr>
      <w:r>
        <w:rPr>
          <w:rFonts w:ascii="Arial" w:cs="Arial" w:eastAsia="Arial" w:hAnsi="Arial"/>
          <w:b w:val="false"/>
          <w:bCs w:val="false"/>
          <w:i w:val="false"/>
          <w:iCs w:val="false"/>
          <w:color w:val="1A1A1A"/>
          <w:sz w:val="22"/>
          <w:szCs w:val="22"/>
        </w:rPr>
        <w:t xml:space="preserve">Market-available monitoring systems — collars, thermal cameras, periodic audits — offer a fragmented and reactive view. Each sensor responds to a single parameter. None integrates the animal's history. None detects the moment when multiple risk factors converge into a trajectory of imminent collapse.</w:t>
      </w:r>
    </w:p>
    <w:p>
      <w:pPr>
        <w:spacing w:after="120" w:before="80"/>
        <w:jc w:val="both"/>
      </w:pPr>
      <w:r>
        <w:rPr>
          <w:rFonts w:ascii="Arial" w:cs="Arial" w:eastAsia="Arial" w:hAnsi="Arial"/>
          <w:b w:val="false"/>
          <w:bCs w:val="false"/>
          <w:i w:val="false"/>
          <w:iCs w:val="false"/>
          <w:color w:val="1A1A1A"/>
          <w:sz w:val="22"/>
          <w:szCs w:val="22"/>
        </w:rPr>
        <w:t xml:space="preserve">The result is predictable: problems are detected late. Mastitis is confirmed after productive collapse. Lameness is identified when locomotion is already impaired. Heat stress is registered when metabolic damage has already occurred.</w:t>
      </w:r>
    </w:p>
    <w:p>
      <w:pPr>
        <w:spacing w:after="120" w:before="80"/>
        <w:jc w:val="both"/>
      </w:pPr>
      <w:r>
        <w:rPr>
          <w:rFonts w:ascii="Arial" w:cs="Arial" w:eastAsia="Arial" w:hAnsi="Arial"/>
          <w:b w:val="false"/>
          <w:bCs w:val="false"/>
          <w:i w:val="false"/>
          <w:iCs w:val="false"/>
          <w:color w:val="1A1A1A"/>
          <w:sz w:val="22"/>
          <w:szCs w:val="22"/>
        </w:rPr>
        <w:t xml:space="preserve">Assessment of social and emotional behaviour — dominance, interactions, affective states — depends entirely on human observation, subjective by nature and impossible to scale.</w:t>
      </w:r>
    </w:p>
    <w:p>
      <w:pPr>
        <w:pStyle w:val="Heading2"/>
        <w:spacing w:after="120" w:before="280"/>
      </w:pPr>
      <w:r>
        <w:rPr>
          <w:rFonts w:ascii="Arial" w:cs="Arial" w:eastAsia="Arial" w:hAnsi="Arial"/>
          <w:b/>
          <w:bCs/>
          <w:color w:val="2E8B6E"/>
          <w:sz w:val="26"/>
          <w:szCs w:val="26"/>
        </w:rPr>
        <w:t xml:space="preserve">2.2 The Real Cost of This Gap</w:t>
      </w:r>
    </w:p>
    <w:p>
      <w:pPr>
        <w:spacing w:after="120" w:before="80"/>
        <w:jc w:val="both"/>
      </w:pPr>
      <w:r>
        <w:rPr>
          <w:rFonts w:ascii="Arial" w:cs="Arial" w:eastAsia="Arial" w:hAnsi="Arial"/>
          <w:b w:val="false"/>
          <w:bCs w:val="false"/>
          <w:i w:val="false"/>
          <w:iCs w:val="false"/>
          <w:color w:val="1A1A1A"/>
          <w:sz w:val="22"/>
          <w:szCs w:val="22"/>
        </w:rPr>
        <w:t xml:space="preserve">Every undetected mastitis episode represents production losses, veterinary costs and direct impact on the physico-chemical quality of milk. Every unidentified heat-stressed animal contributes to the variability of the raw material that Seeker needs to control. Every Welfair Quality audit conducted without continuous data is a vulnerability in the certification chain.</w:t>
      </w:r>
    </w:p>
    <w:p>
      <w:pPr>
        <w:spacing w:after="120" w:before="80"/>
        <w:jc w:val="both"/>
      </w:pPr>
      <w:r>
        <w:rPr>
          <w:rFonts w:ascii="Arial" w:cs="Arial" w:eastAsia="Arial" w:hAnsi="Arial"/>
          <w:b w:val="false"/>
          <w:bCs w:val="false"/>
          <w:i w:val="false"/>
          <w:iCs w:val="false"/>
          <w:color w:val="1A1A1A"/>
          <w:sz w:val="22"/>
          <w:szCs w:val="22"/>
        </w:rPr>
        <w:t xml:space="preserve">BoviWatch was designed to eliminate exactly this gap — not with another isolated sensor, but with an integrated architecture that thinks about the animal as a complex dynamic system.</w:t>
      </w:r>
    </w:p>
    <w:p>
      <w:pPr>
        <w:spacing w:after="0" w:before="0"/>
      </w:pPr>
      <w:r>
        <w:rPr>
          <w:sz w:val="10"/>
          <w:szCs w:val="10"/>
        </w:rPr>
        <w:t xml:space="preserve"/>
      </w:r>
    </w:p>
    <w:p>
      <w:pPr>
        <w:pStyle w:val="Heading1"/>
        <w:pBdr>
          <w:bottom w:val="single" w:color="1F7A4D" w:sz="8" w:space="4"/>
        </w:pBdr>
        <w:spacing w:after="160" w:before="360"/>
      </w:pPr>
      <w:r>
        <w:rPr>
          <w:rFonts w:ascii="Arial" w:cs="Arial" w:eastAsia="Arial" w:hAnsi="Arial"/>
          <w:b/>
          <w:bCs/>
          <w:color w:val="1F7A4D"/>
          <w:sz w:val="36"/>
          <w:szCs w:val="36"/>
        </w:rPr>
        <w:t xml:space="preserve">3. The Solution: BoviWatch Digital Twin</w:t>
      </w:r>
    </w:p>
    <w:p>
      <w:pPr>
        <w:spacing w:after="120" w:before="80"/>
        <w:jc w:val="both"/>
      </w:pPr>
      <w:r>
        <w:rPr>
          <w:rFonts w:ascii="Arial" w:cs="Arial" w:eastAsia="Arial" w:hAnsi="Arial"/>
          <w:b w:val="false"/>
          <w:bCs w:val="false"/>
          <w:i w:val="false"/>
          <w:iCs w:val="false"/>
          <w:color w:val="1A1A1A"/>
          <w:sz w:val="22"/>
          <w:szCs w:val="22"/>
        </w:rPr>
        <w:t xml:space="preserve">BoviWatch is a modular, scalable and interoperable platform that creates and maintains a Digital Twin for each animal and the production unit as a whole. The architecture integrates five functional layers operating in real time and in synchrony.</w:t>
      </w:r>
    </w:p>
    <w:p>
      <w:pPr>
        <w:pStyle w:val="Heading2"/>
        <w:spacing w:after="120" w:before="280"/>
      </w:pPr>
      <w:r>
        <w:rPr>
          <w:rFonts w:ascii="Arial" w:cs="Arial" w:eastAsia="Arial" w:hAnsi="Arial"/>
          <w:b/>
          <w:bCs/>
          <w:color w:val="2E8B6E"/>
          <w:sz w:val="26"/>
          <w:szCs w:val="26"/>
        </w:rPr>
        <w:t xml:space="preserve">3.1 System Architecture</w:t>
      </w:r>
    </w:p>
    <w:p>
      <w:pPr>
        <w:spacing w:after="0" w:before="0"/>
      </w:pPr>
      <w:r>
        <w:rPr>
          <w:sz w:val="10"/>
          <w:szCs w:val="10"/>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F7A4D" w:val="clear"/>
            <w:vAlign w:val="top"/>
          </w:tcPr>
          <w:p/>
        </w:tc>
        <w:tc>
          <w:tcPr>
            <w:tcW w:type="dxa" w:w="8826"/>
            <w:tcBorders>
              <w:top w:val="none" w:color="FFFFFF" w:sz="0"/>
              <w:left w:val="none" w:color="FFFFFF" w:sz="0"/>
              <w:bottom w:val="none" w:color="FFFFFF" w:sz="0"/>
              <w:right w:val="none" w:color="FFFFFF" w:sz="0"/>
            </w:tcBorders>
            <w:shd w:fill="E8F5EE" w:val="clear"/>
            <w:tcMar>
              <w:top w:type="dxa" w:w="160"/>
              <w:left w:type="dxa" w:w="240"/>
              <w:bottom w:type="dxa" w:w="160"/>
              <w:right w:type="dxa" w:w="240"/>
            </w:tcMar>
          </w:tcPr>
          <w:p>
            <w:pPr>
              <w:spacing w:after="100" w:before="0"/>
            </w:pPr>
            <w:r>
              <w:rPr>
                <w:rFonts w:ascii="Arial" w:cs="Arial" w:eastAsia="Arial" w:hAnsi="Arial"/>
                <w:b/>
                <w:bCs/>
                <w:color w:val="1F7A4D"/>
                <w:sz w:val="22"/>
                <w:szCs w:val="22"/>
              </w:rPr>
              <w:t xml:space="preserve">Layer 1 — Data Ingestion (Hardware-Agnostic)</w:t>
            </w:r>
          </w:p>
          <w:p>
            <w:pPr>
              <w:spacing w:after="120" w:before="80"/>
              <w:jc w:val="both"/>
            </w:pPr>
            <w:r>
              <w:rPr>
                <w:rFonts w:ascii="Arial" w:cs="Arial" w:eastAsia="Arial" w:hAnsi="Arial"/>
                <w:b w:val="false"/>
                <w:bCs w:val="false"/>
                <w:i w:val="false"/>
                <w:iCs w:val="false"/>
                <w:color w:val="1A1A1A"/>
                <w:sz w:val="22"/>
                <w:szCs w:val="22"/>
              </w:rPr>
              <w:t xml:space="preserve">The system natively integrates data from any combination of sources: smart collars (Allflex, SCR, others) — temperature, accelerometer, rumination; RGB and thermal cameras — behavioural analysis, ocular temperature, posture, gait; environmental sensors — temperature, humidity, NH₃, air velocity per zone; milking equipment — physico-chemical milk parameters, heart rate; external data — weather forecast, historical production data.</w:t>
            </w:r>
          </w:p>
        </w:tc>
      </w:tr>
    </w:tbl>
    <w:p>
      <w:pPr>
        <w:spacing w:after="0" w:before="0"/>
      </w:pPr>
      <w:r>
        <w:rPr>
          <w:sz w:val="10"/>
          <w:szCs w:val="10"/>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F7A4D" w:val="clear"/>
            <w:vAlign w:val="top"/>
          </w:tcPr>
          <w:p/>
        </w:tc>
        <w:tc>
          <w:tcPr>
            <w:tcW w:type="dxa" w:w="8826"/>
            <w:tcBorders>
              <w:top w:val="none" w:color="FFFFFF" w:sz="0"/>
              <w:left w:val="none" w:color="FFFFFF" w:sz="0"/>
              <w:bottom w:val="none" w:color="FFFFFF" w:sz="0"/>
              <w:right w:val="none" w:color="FFFFFF" w:sz="0"/>
            </w:tcBorders>
            <w:shd w:fill="E8F5EE" w:val="clear"/>
            <w:tcMar>
              <w:top w:type="dxa" w:w="160"/>
              <w:left w:type="dxa" w:w="240"/>
              <w:bottom w:type="dxa" w:w="160"/>
              <w:right w:type="dxa" w:w="240"/>
            </w:tcMar>
          </w:tcPr>
          <w:p>
            <w:pPr>
              <w:spacing w:after="100" w:before="0"/>
            </w:pPr>
            <w:r>
              <w:rPr>
                <w:rFonts w:ascii="Arial" w:cs="Arial" w:eastAsia="Arial" w:hAnsi="Arial"/>
                <w:b/>
                <w:bCs/>
                <w:color w:val="1F7A4D"/>
                <w:sz w:val="22"/>
                <w:szCs w:val="22"/>
              </w:rPr>
              <w:t xml:space="preserve">Layer 2 — Processing and Normalisation</w:t>
            </w:r>
          </w:p>
          <w:p>
            <w:pPr>
              <w:spacing w:after="120" w:before="80"/>
              <w:jc w:val="both"/>
            </w:pPr>
            <w:r>
              <w:rPr>
                <w:rFonts w:ascii="Arial" w:cs="Arial" w:eastAsia="Arial" w:hAnsi="Arial"/>
                <w:b w:val="false"/>
                <w:bCs w:val="false"/>
                <w:i w:val="false"/>
                <w:iCs w:val="false"/>
                <w:color w:val="1A1A1A"/>
                <w:sz w:val="22"/>
                <w:szCs w:val="22"/>
              </w:rPr>
              <w:t xml:space="preserve">Each data stream is normalised against the individual animal's history — not against population averages. A 0.4°C temperature deviation in an animal with a history of chronic hypothermia carries different significance than the same deviation in a clinically stable animal. The system learns this distinction automatically.</w:t>
            </w:r>
          </w:p>
        </w:tc>
      </w:tr>
    </w:tbl>
    <w:p>
      <w:pPr>
        <w:spacing w:after="0" w:before="0"/>
      </w:pPr>
      <w:r>
        <w:rPr>
          <w:sz w:val="10"/>
          <w:szCs w:val="10"/>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F7A4D" w:val="clear"/>
            <w:vAlign w:val="top"/>
          </w:tcPr>
          <w:p/>
        </w:tc>
        <w:tc>
          <w:tcPr>
            <w:tcW w:type="dxa" w:w="8826"/>
            <w:tcBorders>
              <w:top w:val="none" w:color="FFFFFF" w:sz="0"/>
              <w:left w:val="none" w:color="FFFFFF" w:sz="0"/>
              <w:bottom w:val="none" w:color="FFFFFF" w:sz="0"/>
              <w:right w:val="none" w:color="FFFFFF" w:sz="0"/>
            </w:tcBorders>
            <w:shd w:fill="E8F5EE" w:val="clear"/>
            <w:tcMar>
              <w:top w:type="dxa" w:w="160"/>
              <w:left w:type="dxa" w:w="240"/>
              <w:bottom w:type="dxa" w:w="160"/>
              <w:right w:type="dxa" w:w="240"/>
            </w:tcMar>
          </w:tcPr>
          <w:p>
            <w:pPr>
              <w:spacing w:after="100" w:before="0"/>
            </w:pPr>
            <w:r>
              <w:rPr>
                <w:rFonts w:ascii="Arial" w:cs="Arial" w:eastAsia="Arial" w:hAnsi="Arial"/>
                <w:b/>
                <w:bCs/>
                <w:color w:val="1F7A4D"/>
                <w:sz w:val="22"/>
                <w:szCs w:val="22"/>
              </w:rPr>
              <w:t xml:space="preserve">Layer 3 — D/M* Predictive Engine</w:t>
            </w:r>
          </w:p>
          <w:p>
            <w:pPr>
              <w:spacing w:after="120" w:before="80"/>
              <w:jc w:val="both"/>
            </w:pPr>
            <w:r>
              <w:rPr>
                <w:rFonts w:ascii="Arial" w:cs="Arial" w:eastAsia="Arial" w:hAnsi="Arial"/>
                <w:b w:val="false"/>
                <w:bCs w:val="false"/>
                <w:i w:val="false"/>
                <w:iCs w:val="false"/>
                <w:color w:val="1A1A1A"/>
                <w:sz w:val="22"/>
                <w:szCs w:val="22"/>
              </w:rPr>
              <w:t xml:space="preserve">The analytical core of BoviWatch. Described in detail in Section 4.</w:t>
            </w:r>
          </w:p>
        </w:tc>
      </w:tr>
    </w:tbl>
    <w:p>
      <w:pPr>
        <w:spacing w:after="0" w:before="0"/>
      </w:pPr>
      <w:r>
        <w:rPr>
          <w:sz w:val="10"/>
          <w:szCs w:val="10"/>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F7A4D" w:val="clear"/>
            <w:vAlign w:val="top"/>
          </w:tcPr>
          <w:p/>
        </w:tc>
        <w:tc>
          <w:tcPr>
            <w:tcW w:type="dxa" w:w="8826"/>
            <w:tcBorders>
              <w:top w:val="none" w:color="FFFFFF" w:sz="0"/>
              <w:left w:val="none" w:color="FFFFFF" w:sz="0"/>
              <w:bottom w:val="none" w:color="FFFFFF" w:sz="0"/>
              <w:right w:val="none" w:color="FFFFFF" w:sz="0"/>
            </w:tcBorders>
            <w:shd w:fill="E8F5EE" w:val="clear"/>
            <w:tcMar>
              <w:top w:type="dxa" w:w="160"/>
              <w:left w:type="dxa" w:w="240"/>
              <w:bottom w:type="dxa" w:w="160"/>
              <w:right w:type="dxa" w:w="240"/>
            </w:tcMar>
          </w:tcPr>
          <w:p>
            <w:pPr>
              <w:spacing w:after="100" w:before="0"/>
            </w:pPr>
            <w:r>
              <w:rPr>
                <w:rFonts w:ascii="Arial" w:cs="Arial" w:eastAsia="Arial" w:hAnsi="Arial"/>
                <w:b/>
                <w:bCs/>
                <w:color w:val="1F7A4D"/>
                <w:sz w:val="22"/>
                <w:szCs w:val="22"/>
              </w:rPr>
              <w:t xml:space="preserve">Layer 4 — Digital Twin and Scenario Simulation</w:t>
            </w:r>
          </w:p>
          <w:p>
            <w:pPr>
              <w:spacing w:after="120" w:before="80"/>
              <w:jc w:val="both"/>
            </w:pPr>
            <w:r>
              <w:rPr>
                <w:rFonts w:ascii="Arial" w:cs="Arial" w:eastAsia="Arial" w:hAnsi="Arial"/>
                <w:b w:val="false"/>
                <w:bCs w:val="false"/>
                <w:i w:val="false"/>
                <w:iCs w:val="false"/>
                <w:color w:val="1A1A1A"/>
                <w:sz w:val="22"/>
                <w:szCs w:val="22"/>
              </w:rPr>
              <w:t xml:space="preserve">Each animal is represented by a digital twin integrating its current physiological state, its 24-month historical memory and the environmental conditions of its zone. The platform enables simulation of the impact of management interventions — ventilation changes, regrouping, bedding changes — before execution, with quantified impact estimates on welfare and production.</w:t>
            </w:r>
          </w:p>
        </w:tc>
      </w:tr>
    </w:tbl>
    <w:p>
      <w:pPr>
        <w:spacing w:after="0" w:before="0"/>
      </w:pPr>
      <w:r>
        <w:rPr>
          <w:sz w:val="10"/>
          <w:szCs w:val="10"/>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F7A4D" w:val="clear"/>
            <w:vAlign w:val="top"/>
          </w:tcPr>
          <w:p/>
        </w:tc>
        <w:tc>
          <w:tcPr>
            <w:tcW w:type="dxa" w:w="8826"/>
            <w:tcBorders>
              <w:top w:val="none" w:color="FFFFFF" w:sz="0"/>
              <w:left w:val="none" w:color="FFFFFF" w:sz="0"/>
              <w:bottom w:val="none" w:color="FFFFFF" w:sz="0"/>
              <w:right w:val="none" w:color="FFFFFF" w:sz="0"/>
            </w:tcBorders>
            <w:shd w:fill="E8F5EE" w:val="clear"/>
            <w:tcMar>
              <w:top w:type="dxa" w:w="160"/>
              <w:left w:type="dxa" w:w="240"/>
              <w:bottom w:type="dxa" w:w="160"/>
              <w:right w:type="dxa" w:w="240"/>
            </w:tcMar>
          </w:tcPr>
          <w:p>
            <w:pPr>
              <w:spacing w:after="100" w:before="0"/>
            </w:pPr>
            <w:r>
              <w:rPr>
                <w:rFonts w:ascii="Arial" w:cs="Arial" w:eastAsia="Arial" w:hAnsi="Arial"/>
                <w:b/>
                <w:bCs/>
                <w:color w:val="1F7A4D"/>
                <w:sz w:val="22"/>
                <w:szCs w:val="22"/>
              </w:rPr>
              <w:t xml:space="preserve">Layer 5 — Dashboard, Alerts and Reports</w:t>
            </w:r>
          </w:p>
          <w:p>
            <w:pPr>
              <w:spacing w:after="120" w:before="80"/>
              <w:jc w:val="both"/>
            </w:pPr>
            <w:r>
              <w:rPr>
                <w:rFonts w:ascii="Arial" w:cs="Arial" w:eastAsia="Arial" w:hAnsi="Arial"/>
                <w:b w:val="false"/>
                <w:bCs w:val="false"/>
                <w:i w:val="false"/>
                <w:iCs w:val="false"/>
                <w:color w:val="1A1A1A"/>
                <w:sz w:val="22"/>
                <w:szCs w:val="22"/>
              </w:rPr>
              <w:t xml:space="preserve">Multilingual interface (PT, EN, FR, IT, DE, ZH) with geo-referenced farm map, individual herd view, trend charts, urgency-classified predictive alerts, and Welfair Quality audit report export in PDF — traceable, digitally signed and compatible with Seeker's internal certification criteria.</w:t>
            </w:r>
          </w:p>
        </w:tc>
      </w:tr>
    </w:tbl>
    <w:p>
      <w:pPr>
        <w:spacing w:after="0" w:before="0"/>
      </w:pPr>
      <w:r>
        <w:rPr>
          <w:sz w:val="20"/>
          <w:szCs w:val="20"/>
        </w:rPr>
        <w:t xml:space="preserve"/>
      </w:r>
    </w:p>
    <w:p>
      <w:pPr>
        <w:pStyle w:val="Heading2"/>
        <w:spacing w:after="120" w:before="280"/>
      </w:pPr>
      <w:r>
        <w:rPr>
          <w:rFonts w:ascii="Arial" w:cs="Arial" w:eastAsia="Arial" w:hAnsi="Arial"/>
          <w:b/>
          <w:bCs/>
          <w:color w:val="2E8B6E"/>
          <w:sz w:val="26"/>
          <w:szCs w:val="26"/>
        </w:rPr>
        <w:t xml:space="preserve">3.2 Coverage of the 7 Technical Modules (Annex I)</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26"/>
      </w:tblGrid>
      <w:tr>
        <w:tc>
          <w:tcPr>
            <w:tcW w:type="dxa" w:w="700"/>
            <w:tcBorders>
              <w:top w:val="none" w:color="FFFFFF" w:sz="0"/>
              <w:left w:val="none" w:color="FFFFFF" w:sz="0"/>
              <w:bottom w:val="none" w:color="FFFFFF" w:sz="0"/>
              <w:right w:val="none" w:color="FFFFFF" w:sz="0"/>
            </w:tcBorders>
            <w:shd w:fill="1F7A4D" w:val="clear"/>
            <w:tcMar>
              <w:top w:type="dxa" w:w="100"/>
              <w:left w:type="dxa" w:w="120"/>
              <w:bottom w:type="dxa" w:w="100"/>
              <w:right w:type="dxa" w:w="120"/>
            </w:tcMar>
          </w:tcPr>
          <w:p>
            <w:r>
              <w:rPr>
                <w:rFonts w:ascii="Arial" w:cs="Arial" w:eastAsia="Arial" w:hAnsi="Arial"/>
                <w:b/>
                <w:bCs/>
                <w:color w:val="FFFFFF"/>
                <w:sz w:val="22"/>
                <w:szCs w:val="22"/>
              </w:rPr>
              <w:t xml:space="preserve">Module</w:t>
            </w:r>
          </w:p>
        </w:tc>
        <w:tc>
          <w:tcPr>
            <w:tcW w:type="dxa" w:w="2500"/>
            <w:tcBorders>
              <w:top w:val="none" w:color="FFFFFF" w:sz="0"/>
              <w:left w:val="none" w:color="FFFFFF" w:sz="0"/>
              <w:bottom w:val="none" w:color="FFFFFF" w:sz="0"/>
              <w:right w:val="none" w:color="FFFFFF" w:sz="0"/>
            </w:tcBorders>
            <w:shd w:fill="1F7A4D" w:val="clear"/>
            <w:tcMar>
              <w:top w:type="dxa" w:w="100"/>
              <w:left w:type="dxa" w:w="120"/>
              <w:bottom w:type="dxa" w:w="100"/>
              <w:right w:type="dxa" w:w="120"/>
            </w:tcMar>
          </w:tcPr>
          <w:p>
            <w:r>
              <w:rPr>
                <w:rFonts w:ascii="Arial" w:cs="Arial" w:eastAsia="Arial" w:hAnsi="Arial"/>
                <w:b/>
                <w:bCs/>
                <w:color w:val="FFFFFF"/>
                <w:sz w:val="22"/>
                <w:szCs w:val="22"/>
              </w:rPr>
              <w:t xml:space="preserve">Domain</w:t>
            </w:r>
          </w:p>
        </w:tc>
        <w:tc>
          <w:tcPr>
            <w:tcW w:type="dxa" w:w="5826"/>
            <w:tcBorders>
              <w:top w:val="none" w:color="FFFFFF" w:sz="0"/>
              <w:left w:val="none" w:color="FFFFFF" w:sz="0"/>
              <w:bottom w:val="none" w:color="FFFFFF" w:sz="0"/>
              <w:right w:val="none" w:color="FFFFFF" w:sz="0"/>
            </w:tcBorders>
            <w:shd w:fill="1F7A4D" w:val="clear"/>
            <w:tcMar>
              <w:top w:type="dxa" w:w="100"/>
              <w:left w:type="dxa" w:w="120"/>
              <w:bottom w:type="dxa" w:w="100"/>
              <w:right w:type="dxa" w:w="120"/>
            </w:tcMar>
          </w:tcPr>
          <w:p>
            <w:r>
              <w:rPr>
                <w:rFonts w:ascii="Arial" w:cs="Arial" w:eastAsia="Arial" w:hAnsi="Arial"/>
                <w:b/>
                <w:bCs/>
                <w:color w:val="FFFFFF"/>
                <w:sz w:val="22"/>
                <w:szCs w:val="22"/>
              </w:rPr>
              <w:t xml:space="preserve">BoviWatch Coverage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7A4D"/>
                <w:sz w:val="20"/>
                <w:szCs w:val="20"/>
              </w:rPr>
              <w:t xml:space="preserve">M1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Biomechanics &amp; Locomotor Behaviour</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3D skeleton analysis, lameness detection, cubicle occupancy, gait pattern, corridor obstruction detection, bed comfort analysis (depth, humidity, cleanliness)</w:t>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F7A4D"/>
                <w:sz w:val="20"/>
                <w:szCs w:val="20"/>
              </w:rPr>
              <w:t xml:space="preserve">M2</w:t>
            </w:r>
          </w:p>
        </w:tc>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Physiology &amp; Body Condition</w:t>
            </w:r>
          </w:p>
        </w:tc>
        <w:tc>
          <w:tcPr>
            <w:tcW w:type="dxa" w:w="58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HLI index per animal and zone with 12h forecast, rumination analysis, ocular temperature, predictive detection of mastitis and subclinical acidosis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7A4D"/>
                <w:sz w:val="20"/>
                <w:szCs w:val="20"/>
              </w:rPr>
              <w:t xml:space="preserve">M3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Environment, Air Quality &amp; Microclimate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Continuous monitoring of NH₃, humidity, temperature and airflow per zone; intra-facility climate forecasting with automatic ventilation and repositioning recommendations</w:t>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F7A4D"/>
                <w:sz w:val="20"/>
                <w:szCs w:val="20"/>
              </w:rPr>
              <w:t xml:space="preserve">M4</w:t>
            </w:r>
          </w:p>
        </w:tc>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Social Behaviour &amp; Emotional State</w:t>
            </w:r>
          </w:p>
        </w:tc>
        <w:tc>
          <w:tcPr>
            <w:tcW w:type="dxa" w:w="58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AI-based QBA (posture, tail, ears, facial expression), vocalisation analysis, bovine FACS, dominance and social interaction assessment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7A4D"/>
                <w:sz w:val="20"/>
                <w:szCs w:val="20"/>
              </w:rPr>
              <w:t xml:space="preserve">M5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Husbandry &amp; Productivity Scenario Simulation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Impact simulation of management interventions on welfare and productivity, milking parlour sensor integration, full Digital Twin of the unit</w:t>
            </w:r>
          </w:p>
        </w:tc>
      </w:tr>
      <w:tr>
        <w:tc>
          <w:tcPr>
            <w:tcW w:type="dxa" w:w="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F7A4D"/>
                <w:sz w:val="20"/>
                <w:szCs w:val="20"/>
              </w:rPr>
              <w:t xml:space="preserve">M6</w:t>
            </w:r>
          </w:p>
        </w:tc>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Calf-Specific Module</w:t>
            </w:r>
          </w:p>
        </w:tc>
        <w:tc>
          <w:tcPr>
            <w:tcW w:type="dxa" w:w="58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Neonatal monitoring, early detection of diarrhoea and pneumonia, bedding quality and hygiene, rest-activity balance, microclimate with 12h HLI forecast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7A4D"/>
                <w:sz w:val="20"/>
                <w:szCs w:val="20"/>
              </w:rPr>
              <w:t xml:space="preserve">M7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Integration with Existing Commercial Systems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Interoperable, manufacturer-agnostic API; native integration with existing collars, thermal cameras, accelerometers and milking systems</w:t>
            </w:r>
          </w:p>
        </w:tc>
      </w:tr>
    </w:tbl>
    <w:p>
      <w:pPr>
        <w:spacing w:after="0" w:before="0"/>
      </w:pPr>
      <w:r>
        <w:rPr>
          <w:sz w:val="20"/>
          <w:szCs w:val="20"/>
        </w:rPr>
        <w:t xml:space="preserve"/>
      </w:r>
    </w:p>
    <w:p>
      <w:pPr>
        <w:pStyle w:val="Heading1"/>
        <w:pBdr>
          <w:bottom w:val="single" w:color="1F7A4D" w:sz="8" w:space="4"/>
        </w:pBdr>
        <w:spacing w:after="160" w:before="360"/>
      </w:pPr>
      <w:r>
        <w:rPr>
          <w:rFonts w:ascii="Arial" w:cs="Arial" w:eastAsia="Arial" w:hAnsi="Arial"/>
          <w:b/>
          <w:bCs/>
          <w:color w:val="1F7A4D"/>
          <w:sz w:val="36"/>
          <w:szCs w:val="36"/>
        </w:rPr>
        <w:t xml:space="preserve">4. D/M* Predictive Engine — The Core Differentiator</w:t>
      </w:r>
    </w:p>
    <w:p>
      <w:pPr>
        <w:spacing w:after="120" w:before="80"/>
        <w:jc w:val="both"/>
      </w:pPr>
      <w:r>
        <w:rPr>
          <w:rFonts w:ascii="Arial" w:cs="Arial" w:eastAsia="Arial" w:hAnsi="Arial"/>
          <w:b w:val="false"/>
          <w:bCs w:val="false"/>
          <w:i w:val="false"/>
          <w:iCs w:val="false"/>
          <w:color w:val="1A1A1A"/>
          <w:sz w:val="22"/>
          <w:szCs w:val="22"/>
        </w:rPr>
        <w:t xml:space="preserve">The BoviWatch predictive engine was developed based on a proprietary mathematical model that goes substantially beyond simple threshold detection. Its design solves a fundamental problem that no existing commercial system adequately addresses: risk in animal welfare does not emerge from isolated factors — it emerges from the combination of multiple factors that reinforce each other non-linearly.</w:t>
      </w:r>
    </w:p>
    <w:p>
      <w:pPr>
        <w:pStyle w:val="Heading2"/>
        <w:spacing w:after="120" w:before="280"/>
      </w:pPr>
      <w:r>
        <w:rPr>
          <w:rFonts w:ascii="Arial" w:cs="Arial" w:eastAsia="Arial" w:hAnsi="Arial"/>
          <w:b/>
          <w:bCs/>
          <w:color w:val="2E8B6E"/>
          <w:sz w:val="26"/>
          <w:szCs w:val="26"/>
        </w:rPr>
        <w:t xml:space="preserve">4.1 The Principle of Multivariate Analysis with Covariances</w:t>
      </w:r>
    </w:p>
    <w:p>
      <w:pPr>
        <w:spacing w:after="120" w:before="80"/>
        <w:jc w:val="both"/>
      </w:pPr>
      <w:r>
        <w:rPr>
          <w:rFonts w:ascii="Arial" w:cs="Arial" w:eastAsia="Arial" w:hAnsi="Arial"/>
          <w:b w:val="false"/>
          <w:bCs w:val="false"/>
          <w:i w:val="false"/>
          <w:iCs w:val="false"/>
          <w:color w:val="1A1A1A"/>
          <w:sz w:val="22"/>
          <w:szCs w:val="22"/>
        </w:rPr>
        <w:t xml:space="preserve">The engine simultaneously analyses four physiological dimensions for each animal: body temperature deviation from the individual historical pattern; rumination drop relative to the calibrated historical average; locomotor activity anomaly — prolonged immobility or abnormal agitation; environmental heat stress index (HLI) of the zone where the animal is located.</w:t>
      </w:r>
    </w:p>
    <w:p>
      <w:pPr>
        <w:spacing w:after="120" w:before="80"/>
        <w:jc w:val="both"/>
      </w:pPr>
      <w:r>
        <w:rPr>
          <w:rFonts w:ascii="Arial" w:cs="Arial" w:eastAsia="Arial" w:hAnsi="Arial"/>
          <w:b w:val="false"/>
          <w:bCs w:val="false"/>
          <w:i w:val="false"/>
          <w:iCs w:val="false"/>
          <w:color w:val="1A1A1A"/>
          <w:sz w:val="22"/>
          <w:szCs w:val="22"/>
        </w:rPr>
        <w:t xml:space="preserve">The critical differentiator is the capture of interactions between these factors. An animal with slightly elevated temperature and slightly reduced rumination does not represent merely the sum of two problems — it represents a substantially higher risk state. The engine detects and quantifies exactly this mutual amplification, which is invisible to systems based on individual thresholds.</w:t>
      </w:r>
    </w:p>
    <w:p>
      <w:pPr>
        <w:spacing w:after="0" w:before="0"/>
      </w:pPr>
      <w:r>
        <w:rPr>
          <w:sz w:val="10"/>
          <w:szCs w:val="10"/>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F7A4D" w:val="clear"/>
            <w:vAlign w:val="top"/>
          </w:tcPr>
          <w:p/>
        </w:tc>
        <w:tc>
          <w:tcPr>
            <w:tcW w:type="dxa" w:w="8826"/>
            <w:tcBorders>
              <w:top w:val="none" w:color="FFFFFF" w:sz="0"/>
              <w:left w:val="none" w:color="FFFFFF" w:sz="0"/>
              <w:bottom w:val="none" w:color="FFFFFF" w:sz="0"/>
              <w:right w:val="none" w:color="FFFFFF" w:sz="0"/>
            </w:tcBorders>
            <w:shd w:fill="E8F5EE" w:val="clear"/>
            <w:tcMar>
              <w:top w:type="dxa" w:w="160"/>
              <w:left w:type="dxa" w:w="240"/>
              <w:bottom w:type="dxa" w:w="160"/>
              <w:right w:type="dxa" w:w="240"/>
            </w:tcMar>
          </w:tcPr>
          <w:p>
            <w:pPr>
              <w:spacing w:after="80" w:before="0"/>
            </w:pPr>
            <w:r>
              <w:rPr>
                <w:rFonts w:ascii="Arial" w:cs="Arial" w:eastAsia="Arial" w:hAnsi="Arial"/>
                <w:b/>
                <w:bCs/>
                <w:color w:val="1F7A4D"/>
                <w:sz w:val="22"/>
                <w:szCs w:val="22"/>
              </w:rPr>
              <w:t xml:space="preserve">Fundamental Principle</w:t>
            </w:r>
          </w:p>
          <w:p>
            <w:pPr>
              <w:spacing w:after="120" w:before="80"/>
              <w:jc w:val="both"/>
            </w:pPr>
            <w:r>
              <w:rPr>
                <w:rFonts w:ascii="Arial" w:cs="Arial" w:eastAsia="Arial" w:hAnsi="Arial"/>
                <w:b w:val="false"/>
                <w:bCs w:val="false"/>
                <w:i w:val="false"/>
                <w:iCs w:val="false"/>
                <w:color w:val="1A1A1A"/>
                <w:sz w:val="22"/>
                <w:szCs w:val="22"/>
              </w:rPr>
              <w:t xml:space="preserve">The bovine organism is a non-linear system. It can compensate for isolated stresses, but when multiple risk factors accumulate simultaneously, physiological collapse is not gradual — it is abrupt and accelerated. The D/M* predictive engine was designed specifically to detect this inflection point before it becomes clinically visible.</w:t>
            </w:r>
          </w:p>
        </w:tc>
      </w:tr>
    </w:tbl>
    <w:p>
      <w:pPr>
        <w:spacing w:after="0" w:before="0"/>
      </w:pPr>
      <w:r>
        <w:rPr>
          <w:sz w:val="20"/>
          <w:szCs w:val="20"/>
        </w:rPr>
        <w:t xml:space="preserve"/>
      </w:r>
    </w:p>
    <w:p>
      <w:pPr>
        <w:pStyle w:val="Heading2"/>
        <w:spacing w:after="120" w:before="280"/>
      </w:pPr>
      <w:r>
        <w:rPr>
          <w:rFonts w:ascii="Arial" w:cs="Arial" w:eastAsia="Arial" w:hAnsi="Arial"/>
          <w:b/>
          <w:bCs/>
          <w:color w:val="2E8B6E"/>
          <w:sz w:val="26"/>
          <w:szCs w:val="26"/>
        </w:rPr>
        <w:t xml:space="preserve">4.2 Dual Biological Memory — What Distinguishes BoviWatch</w:t>
      </w:r>
    </w:p>
    <w:p>
      <w:pPr>
        <w:spacing w:after="120" w:before="80"/>
        <w:jc w:val="both"/>
      </w:pPr>
      <w:r>
        <w:rPr>
          <w:rFonts w:ascii="Arial" w:cs="Arial" w:eastAsia="Arial" w:hAnsi="Arial"/>
          <w:b w:val="false"/>
          <w:bCs w:val="false"/>
          <w:i w:val="false"/>
          <w:iCs w:val="false"/>
          <w:color w:val="1A1A1A"/>
          <w:sz w:val="22"/>
          <w:szCs w:val="22"/>
        </w:rPr>
        <w:t xml:space="preserve">The most significant innovation of the engine lies in its dual temporal memory mechanism, which replicates the concept of accumulated biological memory:</w:t>
      </w:r>
    </w:p>
    <w:p>
      <w:pPr>
        <w:spacing w:after="0" w:before="0"/>
      </w:pPr>
      <w:r>
        <w:rPr>
          <w:sz w:val="10"/>
          <w:szCs w:val="10"/>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F7A4D" w:val="clear"/>
            <w:vAlign w:val="top"/>
          </w:tcPr>
          <w:p/>
        </w:tc>
        <w:tc>
          <w:tcPr>
            <w:tcW w:type="dxa" w:w="8826"/>
            <w:tcBorders>
              <w:top w:val="none" w:color="FFFFFF" w:sz="0"/>
              <w:left w:val="none" w:color="FFFFFF" w:sz="0"/>
              <w:bottom w:val="none" w:color="FFFFFF" w:sz="0"/>
              <w:right w:val="none" w:color="FFFFFF" w:sz="0"/>
            </w:tcBorders>
            <w:shd w:fill="E8F5EE" w:val="clear"/>
            <w:tcMar>
              <w:top w:type="dxa" w:w="160"/>
              <w:left w:type="dxa" w:w="240"/>
              <w:bottom w:type="dxa" w:w="160"/>
              <w:right w:type="dxa" w:w="240"/>
            </w:tcMar>
          </w:tcPr>
          <w:p>
            <w:pPr>
              <w:spacing w:after="100" w:before="0"/>
            </w:pPr>
            <w:r>
              <w:rPr>
                <w:rFonts w:ascii="Arial" w:cs="Arial" w:eastAsia="Arial" w:hAnsi="Arial"/>
                <w:b/>
                <w:bCs/>
                <w:color w:val="1F7A4D"/>
                <w:sz w:val="22"/>
                <w:szCs w:val="22"/>
              </w:rPr>
              <w:t xml:space="preserve">Long-Term Memory — σ (24-month window)</w:t>
            </w:r>
          </w:p>
          <w:p>
            <w:pPr>
              <w:spacing w:after="120" w:before="80"/>
              <w:jc w:val="both"/>
            </w:pPr>
            <w:r>
              <w:rPr>
                <w:rFonts w:ascii="Arial" w:cs="Arial" w:eastAsia="Arial" w:hAnsi="Arial"/>
                <w:b w:val="false"/>
                <w:bCs w:val="false"/>
                <w:i w:val="false"/>
                <w:iCs w:val="false"/>
                <w:color w:val="1A1A1A"/>
                <w:sz w:val="22"/>
                <w:szCs w:val="22"/>
              </w:rPr>
              <w:t xml:space="preserve">Tracks the structural trend of each animal over two years. An animal that has experienced repeated episodes of heat stress, disease or management trauma carries a chronic vulnerability profile that the engine incorporates into every assessment. This layer enables detection of slow degradation patterns — the type of deterioration that escapes daily observation but, over months, compromises the animal's longevity and productivity.</w:t>
            </w:r>
          </w:p>
        </w:tc>
      </w:tr>
    </w:tbl>
    <w:p>
      <w:pPr>
        <w:spacing w:after="0" w:before="0"/>
      </w:pPr>
      <w:r>
        <w:rPr>
          <w:sz w:val="10"/>
          <w:szCs w:val="10"/>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1F7A4D" w:val="clear"/>
            <w:vAlign w:val="top"/>
          </w:tcPr>
          <w:p/>
        </w:tc>
        <w:tc>
          <w:tcPr>
            <w:tcW w:type="dxa" w:w="8826"/>
            <w:tcBorders>
              <w:top w:val="none" w:color="FFFFFF" w:sz="0"/>
              <w:left w:val="none" w:color="FFFFFF" w:sz="0"/>
              <w:bottom w:val="none" w:color="FFFFFF" w:sz="0"/>
              <w:right w:val="none" w:color="FFFFFF" w:sz="0"/>
            </w:tcBorders>
            <w:shd w:fill="E8F5EE" w:val="clear"/>
            <w:tcMar>
              <w:top w:type="dxa" w:w="160"/>
              <w:left w:type="dxa" w:w="240"/>
              <w:bottom w:type="dxa" w:w="160"/>
              <w:right w:type="dxa" w:w="240"/>
            </w:tcMar>
          </w:tcPr>
          <w:p>
            <w:pPr>
              <w:spacing w:after="100" w:before="0"/>
            </w:pPr>
            <w:r>
              <w:rPr>
                <w:rFonts w:ascii="Arial" w:cs="Arial" w:eastAsia="Arial" w:hAnsi="Arial"/>
                <w:b/>
                <w:bCs/>
                <w:color w:val="1F7A4D"/>
                <w:sz w:val="22"/>
                <w:szCs w:val="22"/>
              </w:rPr>
              <w:t xml:space="preserve">Short-Term Memory — φ (6-month window)</w:t>
            </w:r>
          </w:p>
          <w:p>
            <w:pPr>
              <w:spacing w:after="120" w:before="80"/>
              <w:jc w:val="both"/>
            </w:pPr>
            <w:r>
              <w:rPr>
                <w:rFonts w:ascii="Arial" w:cs="Arial" w:eastAsia="Arial" w:hAnsi="Arial"/>
                <w:b w:val="false"/>
                <w:bCs w:val="false"/>
                <w:i w:val="false"/>
                <w:iCs w:val="false"/>
                <w:color w:val="1A1A1A"/>
                <w:sz w:val="22"/>
                <w:szCs w:val="22"/>
              </w:rPr>
              <w:t xml:space="preserve">Tracks the echo of recent physiological events: post-partum recovery, disease episode, exposure to acute heat stress. The impact of a physiological shock does not disappear immediately — it leaves a measurable signature in the animal's behaviour and indicators for weeks or months. The engine quantifies this decay and incorporates it into the risk index.</w:t>
            </w:r>
          </w:p>
        </w:tc>
      </w:tr>
    </w:tbl>
    <w:p>
      <w:pPr>
        <w:spacing w:after="0" w:before="0"/>
      </w:pPr>
      <w:r>
        <w:rPr>
          <w:sz w:val="20"/>
          <w:szCs w:val="20"/>
        </w:rPr>
        <w:t xml:space="preserve"/>
      </w:r>
    </w:p>
    <w:p>
      <w:pPr>
        <w:spacing w:after="120" w:before="80"/>
        <w:jc w:val="both"/>
      </w:pPr>
      <w:r>
        <w:rPr>
          <w:rFonts w:ascii="Arial" w:cs="Arial" w:eastAsia="Arial" w:hAnsi="Arial"/>
          <w:b/>
          <w:bCs/>
          <w:i w:val="false"/>
          <w:iCs w:val="false"/>
          <w:color w:val="1A1A1A"/>
          <w:sz w:val="22"/>
          <w:szCs w:val="22"/>
        </w:rPr>
        <w:t xml:space="preserve">The combination of these two memory layers confers unprecedented anticipatory capacity to the engine:</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8F5EE" w:val="clear"/>
            <w:tcMar>
              <w:top w:type="dxa" w:w="120"/>
              <w:left w:type="dxa" w:w="160"/>
              <w:bottom w:type="dxa" w:w="120"/>
              <w:right w:type="dxa" w:w="160"/>
            </w:tcMar>
          </w:tcPr>
          <w:p>
            <w:r>
              <w:rPr>
                <w:rFonts w:ascii="Arial" w:cs="Arial" w:eastAsia="Arial" w:hAnsi="Arial"/>
                <w:b/>
                <w:bCs/>
                <w:color w:val="1A1A1A"/>
                <w:sz w:val="22"/>
                <w:szCs w:val="22"/>
              </w:rPr>
              <w:t xml:space="preserve">🟢  Strong chronic trend (high σ)</w:t>
            </w:r>
          </w:p>
          <w:p>
            <w:r>
              <w:rPr>
                <w:rFonts w:ascii="Arial" w:cs="Arial" w:eastAsia="Arial" w:hAnsi="Arial"/>
                <w:color w:val="2E8B6E"/>
                <w:sz w:val="20"/>
                <w:szCs w:val="20"/>
              </w:rPr>
              <w:t xml:space="preserve">Up to 18 months lead time</w:t>
            </w:r>
          </w:p>
        </w:tc>
        <w:tc>
          <w:tcPr>
            <w:tcW w:type="dxa" w:w="4513"/>
            <w:tcBorders>
              <w:top w:val="single" w:color="CCCCCC" w:sz="1"/>
              <w:left w:val="single" w:color="CCCCCC" w:sz="1"/>
              <w:bottom w:val="single" w:color="CCCCCC" w:sz="1"/>
              <w:right w:val="single" w:color="CCCCCC" w:sz="1"/>
            </w:tcBorders>
            <w:shd w:fill="E8F5EE" w:val="clear"/>
            <w:tcMar>
              <w:top w:type="dxa" w:w="120"/>
              <w:left w:type="dxa" w:w="160"/>
              <w:bottom w:type="dxa" w:w="120"/>
              <w:right w:type="dxa" w:w="160"/>
            </w:tcMar>
          </w:tcPr>
          <w:p>
            <w:r>
              <w:rPr>
                <w:rFonts w:ascii="Arial" w:cs="Arial" w:eastAsia="Arial" w:hAnsi="Arial"/>
                <w:b/>
                <w:bCs/>
                <w:color w:val="1A1A1A"/>
                <w:sz w:val="22"/>
                <w:szCs w:val="22"/>
              </w:rPr>
              <w:t xml:space="preserve">🟡  Moderate trend (mid σ)</w:t>
            </w:r>
          </w:p>
          <w:p>
            <w:r>
              <w:rPr>
                <w:rFonts w:ascii="Arial" w:cs="Arial" w:eastAsia="Arial" w:hAnsi="Arial"/>
                <w:color w:val="2E8B6E"/>
                <w:sz w:val="20"/>
                <w:szCs w:val="20"/>
              </w:rPr>
              <w:t xml:space="preserve">Up to 12 months lead time</w:t>
            </w:r>
          </w:p>
        </w:tc>
      </w:tr>
      <w:tr>
        <w:tc>
          <w:tcPr>
            <w:tcW w:type="dxa" w:w="4513"/>
            <w:tcBorders>
              <w:top w:val="single" w:color="CCCCCC" w:sz="1"/>
              <w:left w:val="single" w:color="CCCCCC" w:sz="1"/>
              <w:bottom w:val="single" w:color="CCCCCC" w:sz="1"/>
              <w:right w:val="single" w:color="CCCCCC" w:sz="1"/>
            </w:tcBorders>
            <w:shd w:fill="E8F5EE" w:val="clear"/>
            <w:tcMar>
              <w:top w:type="dxa" w:w="120"/>
              <w:left w:type="dxa" w:w="160"/>
              <w:bottom w:type="dxa" w:w="120"/>
              <w:right w:type="dxa" w:w="160"/>
            </w:tcMar>
          </w:tcPr>
          <w:p>
            <w:r>
              <w:rPr>
                <w:rFonts w:ascii="Arial" w:cs="Arial" w:eastAsia="Arial" w:hAnsi="Arial"/>
                <w:b/>
                <w:bCs/>
                <w:color w:val="1A1A1A"/>
                <w:sz w:val="22"/>
                <w:szCs w:val="22"/>
              </w:rPr>
              <w:t xml:space="preserve">🔴  Recent shock (high φ)</w:t>
            </w:r>
          </w:p>
          <w:p>
            <w:r>
              <w:rPr>
                <w:rFonts w:ascii="Arial" w:cs="Arial" w:eastAsia="Arial" w:hAnsi="Arial"/>
                <w:color w:val="2E8B6E"/>
                <w:sz w:val="20"/>
                <w:szCs w:val="20"/>
              </w:rPr>
              <w:t xml:space="preserve">Up to 6 months lead time</w:t>
            </w:r>
          </w:p>
        </w:tc>
        <w:tc>
          <w:tcPr>
            <w:tcW w:type="dxa" w:w="4513"/>
            <w:tcBorders>
              <w:top w:val="single" w:color="CCCCCC" w:sz="1"/>
              <w:left w:val="single" w:color="CCCCCC" w:sz="1"/>
              <w:bottom w:val="single" w:color="CCCCCC" w:sz="1"/>
              <w:right w:val="single" w:color="CCCCCC" w:sz="1"/>
            </w:tcBorders>
            <w:shd w:fill="FFF0F0" w:val="clear"/>
            <w:tcMar>
              <w:top w:type="dxa" w:w="120"/>
              <w:left w:type="dxa" w:w="160"/>
              <w:bottom w:type="dxa" w:w="120"/>
              <w:right w:type="dxa" w:w="160"/>
            </w:tcMar>
          </w:tcPr>
          <w:p>
            <w:r>
              <w:rPr>
                <w:rFonts w:ascii="Arial" w:cs="Arial" w:eastAsia="Arial" w:hAnsi="Arial"/>
                <w:b/>
                <w:bCs/>
                <w:color w:val="C0392B"/>
                <w:sz w:val="22"/>
                <w:szCs w:val="22"/>
              </w:rPr>
              <w:t xml:space="preserve">🚨  Acute crisis (D/M* &gt; 1.2)</w:t>
            </w:r>
          </w:p>
          <w:p>
            <w:r>
              <w:rPr>
                <w:rFonts w:ascii="Arial" w:cs="Arial" w:eastAsia="Arial" w:hAnsi="Arial"/>
                <w:color w:val="C0392B"/>
                <w:sz w:val="20"/>
                <w:szCs w:val="20"/>
              </w:rPr>
              <w:t xml:space="preserve">Critical alert — immediate action</w:t>
            </w:r>
          </w:p>
        </w:tc>
      </w:tr>
    </w:tbl>
    <w:p>
      <w:pPr>
        <w:spacing w:after="0" w:before="0"/>
      </w:pPr>
      <w:r>
        <w:rPr>
          <w:sz w:val="20"/>
          <w:szCs w:val="20"/>
        </w:rPr>
        <w:t xml:space="preserve"/>
      </w:r>
    </w:p>
    <w:p>
      <w:pPr>
        <w:pStyle w:val="Heading2"/>
        <w:spacing w:after="120" w:before="280"/>
      </w:pPr>
      <w:r>
        <w:rPr>
          <w:rFonts w:ascii="Arial" w:cs="Arial" w:eastAsia="Arial" w:hAnsi="Arial"/>
          <w:b/>
          <w:bCs/>
          <w:color w:val="2E8B6E"/>
          <w:sz w:val="26"/>
          <w:szCs w:val="26"/>
        </w:rPr>
        <w:t xml:space="preserve">4.3 Action Thresholds and Decision Support</w:t>
      </w:r>
    </w:p>
    <w:p>
      <w:pPr>
        <w:spacing w:after="120" w:before="80"/>
        <w:jc w:val="both"/>
      </w:pPr>
      <w:r>
        <w:rPr>
          <w:rFonts w:ascii="Arial" w:cs="Arial" w:eastAsia="Arial" w:hAnsi="Arial"/>
          <w:b w:val="false"/>
          <w:bCs w:val="false"/>
          <w:i w:val="false"/>
          <w:iCs w:val="false"/>
          <w:color w:val="1A1A1A"/>
          <w:sz w:val="22"/>
          <w:szCs w:val="22"/>
        </w:rPr>
        <w:t xml:space="preserve">The D/M* index is continuous and calibrated across four action zones, each with automatic recommendations generated by the system:</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26"/>
      </w:tblGrid>
      <w:tr>
        <w:tc>
          <w:tcPr>
            <w:tcW w:type="dxa" w:w="1600"/>
            <w:tcBorders>
              <w:top w:val="none" w:color="FFFFFF" w:sz="0"/>
              <w:left w:val="none" w:color="FFFFFF" w:sz="0"/>
              <w:bottom w:val="none" w:color="FFFFFF" w:sz="0"/>
              <w:right w:val="none" w:color="FFFFFF" w:sz="0"/>
            </w:tcBorders>
            <w:shd w:fill="1F7A4D" w:val="clear"/>
            <w:tcMar>
              <w:top w:type="dxa" w:w="80"/>
              <w:left w:type="dxa" w:w="120"/>
              <w:bottom w:type="dxa" w:w="80"/>
              <w:right w:type="dxa" w:w="120"/>
            </w:tcMar>
          </w:tcPr>
          <w:p>
            <w:r>
              <w:rPr>
                <w:rFonts w:ascii="Arial" w:cs="Arial" w:eastAsia="Arial" w:hAnsi="Arial"/>
                <w:b/>
                <w:bCs/>
                <w:color w:val="FFFFFF"/>
                <w:sz w:val="22"/>
                <w:szCs w:val="22"/>
              </w:rPr>
              <w:t xml:space="preserve">D/M* Zone</w:t>
            </w:r>
          </w:p>
        </w:tc>
        <w:tc>
          <w:tcPr>
            <w:tcW w:type="dxa" w:w="1200"/>
            <w:tcBorders>
              <w:top w:val="none" w:color="FFFFFF" w:sz="0"/>
              <w:left w:val="none" w:color="FFFFFF" w:sz="0"/>
              <w:bottom w:val="none" w:color="FFFFFF" w:sz="0"/>
              <w:right w:val="none" w:color="FFFFFF" w:sz="0"/>
            </w:tcBorders>
            <w:shd w:fill="1F7A4D"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6226"/>
            <w:tcBorders>
              <w:top w:val="none" w:color="FFFFFF" w:sz="0"/>
              <w:left w:val="none" w:color="FFFFFF" w:sz="0"/>
              <w:bottom w:val="none" w:color="FFFFFF" w:sz="0"/>
              <w:right w:val="none" w:color="FFFFFF" w:sz="0"/>
            </w:tcBorders>
            <w:shd w:fill="1F7A4D" w:val="clear"/>
            <w:tcMar>
              <w:top w:type="dxa" w:w="80"/>
              <w:left w:type="dxa" w:w="120"/>
              <w:bottom w:type="dxa" w:w="80"/>
              <w:right w:type="dxa" w:w="120"/>
            </w:tcMar>
          </w:tcPr>
          <w:p>
            <w:r>
              <w:rPr>
                <w:rFonts w:ascii="Arial" w:cs="Arial" w:eastAsia="Arial" w:hAnsi="Arial"/>
                <w:b/>
                <w:bCs/>
                <w:color w:val="FFFFFF"/>
                <w:sz w:val="22"/>
                <w:szCs w:val="22"/>
              </w:rPr>
              <w:t xml:space="preserve">Automatic Recommendation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D/M* &lt; 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INACTIVE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intervention needed. Standard monitoring. Animal within its health manifold.</w:t>
            </w:r>
          </w:p>
        </w:tc>
      </w:tr>
      <w:tr>
        <w:tc>
          <w:tcPr>
            <w:tcW w:type="dxa" w:w="1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1A1A1A"/>
                <w:sz w:val="20"/>
                <w:szCs w:val="20"/>
              </w:rPr>
              <w:t xml:space="preserve">0.3 – 0.8</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MONITOR</w:t>
            </w:r>
          </w:p>
        </w:tc>
        <w:tc>
          <w:tcPr>
            <w:tcW w:type="dxa" w:w="62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1A1A1A"/>
                <w:sz w:val="20"/>
                <w:szCs w:val="20"/>
              </w:rPr>
              <w:t xml:space="preserve">Increase reading frequency. Check rumination and temperature in the next 24h. Observe social behaviour.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0.8 – 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ACT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Contact veterinarian. Review feed and husbandry. Consider repositioning in the facility. Assess zone heat stress.</w:t>
            </w:r>
          </w:p>
        </w:tc>
      </w:tr>
      <w:tr>
        <w:tc>
          <w:tcPr>
            <w:tcW w:type="dxa" w:w="1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D/M* &gt; 1.2</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62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MAXIMUM ALERT — preventive isolation and urgent veterinary assessment. Automatic notification sent. Auto-logged for Welfair Quality audit.</w:t>
            </w:r>
          </w:p>
        </w:tc>
      </w:tr>
    </w:tbl>
    <w:p>
      <w:pPr>
        <w:spacing w:after="0" w:before="0"/>
      </w:pPr>
      <w:r>
        <w:rPr>
          <w:sz w:val="20"/>
          <w:szCs w:val="20"/>
        </w:rPr>
        <w:t xml:space="preserve"/>
      </w:r>
    </w:p>
    <w:p>
      <w:pPr>
        <w:pStyle w:val="Heading1"/>
        <w:pBdr>
          <w:bottom w:val="single" w:color="1F7A4D" w:sz="8" w:space="4"/>
        </w:pBdr>
        <w:spacing w:after="160" w:before="360"/>
      </w:pPr>
      <w:r>
        <w:rPr>
          <w:rFonts w:ascii="Arial" w:cs="Arial" w:eastAsia="Arial" w:hAnsi="Arial"/>
          <w:b/>
          <w:bCs/>
          <w:color w:val="1F7A4D"/>
          <w:sz w:val="36"/>
          <w:szCs w:val="36"/>
        </w:rPr>
        <w:t xml:space="preserve">5. Scientific Basis</w:t>
      </w:r>
    </w:p>
    <w:p>
      <w:pPr>
        <w:spacing w:after="120" w:before="80"/>
        <w:jc w:val="both"/>
      </w:pPr>
      <w:r>
        <w:rPr>
          <w:rFonts w:ascii="Arial" w:cs="Arial" w:eastAsia="Arial" w:hAnsi="Arial"/>
          <w:b w:val="false"/>
          <w:bCs w:val="false"/>
          <w:i w:val="false"/>
          <w:iCs w:val="false"/>
          <w:color w:val="1A1A1A"/>
          <w:sz w:val="22"/>
          <w:szCs w:val="22"/>
        </w:rPr>
        <w:t xml:space="preserve">Every variable monitored by BoviWatch is anchored in established veterinary evidence. The engine does not operate on arbitrary indicators — it operates on documented physiological correlations that confer credibility to the system before technical evaluators and regulators.</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none" w:color="FFFFFF" w:sz="0"/>
              <w:left w:val="none" w:color="FFFFFF" w:sz="0"/>
              <w:bottom w:val="none" w:color="FFFFFF" w:sz="0"/>
              <w:right w:val="none" w:color="FFFFFF" w:sz="0"/>
            </w:tcBorders>
            <w:shd w:fill="1F7A4D" w:val="clear"/>
            <w:tcMar>
              <w:top w:type="dxa" w:w="100"/>
              <w:left w:type="dxa" w:w="120"/>
              <w:bottom w:type="dxa" w:w="100"/>
              <w:right w:type="dxa" w:w="120"/>
            </w:tcMar>
          </w:tcPr>
          <w:p>
            <w:r>
              <w:rPr>
                <w:rFonts w:ascii="Arial" w:cs="Arial" w:eastAsia="Arial" w:hAnsi="Arial"/>
                <w:b/>
                <w:bCs/>
                <w:color w:val="FFFFFF"/>
                <w:sz w:val="22"/>
                <w:szCs w:val="22"/>
              </w:rPr>
              <w:t xml:space="preserve">Indicator</w:t>
            </w:r>
          </w:p>
        </w:tc>
        <w:tc>
          <w:tcPr>
            <w:tcW w:type="dxa" w:w="5226"/>
            <w:tcBorders>
              <w:top w:val="none" w:color="FFFFFF" w:sz="0"/>
              <w:left w:val="none" w:color="FFFFFF" w:sz="0"/>
              <w:bottom w:val="none" w:color="FFFFFF" w:sz="0"/>
              <w:right w:val="none" w:color="FFFFFF" w:sz="0"/>
            </w:tcBorders>
            <w:shd w:fill="1F7A4D" w:val="clear"/>
            <w:tcMar>
              <w:top w:type="dxa" w:w="100"/>
              <w:left w:type="dxa" w:w="120"/>
              <w:bottom w:type="dxa" w:w="100"/>
              <w:right w:type="dxa" w:w="120"/>
            </w:tcMar>
          </w:tcPr>
          <w:p>
            <w:r>
              <w:rPr>
                <w:rFonts w:ascii="Arial" w:cs="Arial" w:eastAsia="Arial" w:hAnsi="Arial"/>
                <w:b/>
                <w:bCs/>
                <w:color w:val="FFFFFF"/>
                <w:sz w:val="22"/>
                <w:szCs w:val="22"/>
              </w:rPr>
              <w:t xml:space="preserve">Documented Physiological Correlation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Rumination drop &lt; 400 min/day</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Validated indicator of risk of ketosis, subclinical acidosis and digestive issues. Documented correlation with milk production reduction within 72h.</w:t>
            </w:r>
          </w:p>
        </w:tc>
      </w:tr>
      <w:tr>
        <w:tc>
          <w:tcPr>
            <w:tcW w:type="dxa" w:w="3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Temperature deviation &gt; 0.5°C for 3 consecutive cycles</w:t>
            </w:r>
          </w:p>
        </w:tc>
        <w:tc>
          <w:tcPr>
            <w:tcW w:type="dxa" w:w="52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Precedes clinical manifestation of mastitis by an average of 48–72h. Enables preventive intervention before productive collapse.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Locomotor activity reduction &gt; 20%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Early indicator of lameness. Detectable 7–14 days before gait alteration is visible to the naked eye.</w:t>
            </w:r>
          </w:p>
        </w:tc>
      </w:tr>
      <w:tr>
        <w:tc>
          <w:tcPr>
            <w:tcW w:type="dxa" w:w="3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HLI &gt; 86 for more than 6h</w:t>
            </w:r>
          </w:p>
        </w:tc>
        <w:tc>
          <w:tcPr>
            <w:tcW w:type="dxa" w:w="52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Severe heat stress threshold in dairy cattle, with documented impact on fertility, production and immunity.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Social isolation (no interactions &gt; 4h)</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Correlated with negative affective states and predisposition to infectious disease via immune suppression.</w:t>
            </w:r>
          </w:p>
        </w:tc>
      </w:tr>
      <w:tr>
        <w:tc>
          <w:tcPr>
            <w:tcW w:type="dxa" w:w="3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Tail posture variation (QBA)</w:t>
            </w:r>
          </w:p>
        </w:tc>
        <w:tc>
          <w:tcPr>
            <w:tcW w:type="dxa" w:w="52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1A1A"/>
                <w:sz w:val="20"/>
                <w:szCs w:val="20"/>
              </w:rPr>
              <w:t xml:space="preserve">Emotional state marker validated in bovine welfare studies. Elevated position correlates with agitation; rigid position with pain.</w:t>
            </w:r>
          </w:p>
        </w:tc>
      </w:tr>
    </w:tbl>
    <w:p>
      <w:pPr>
        <w:spacing w:after="0" w:before="0"/>
      </w:pPr>
      <w:r>
        <w:rPr>
          <w:sz w:val="20"/>
          <w:szCs w:val="20"/>
        </w:rPr>
        <w:t xml:space="preserve"/>
      </w:r>
    </w:p>
    <w:p>
      <w:pPr>
        <w:pStyle w:val="Heading1"/>
        <w:pBdr>
          <w:bottom w:val="single" w:color="1F7A4D" w:sz="8" w:space="4"/>
        </w:pBdr>
        <w:spacing w:after="160" w:before="360"/>
      </w:pPr>
      <w:r>
        <w:rPr>
          <w:rFonts w:ascii="Arial" w:cs="Arial" w:eastAsia="Arial" w:hAnsi="Arial"/>
          <w:b/>
          <w:bCs/>
          <w:color w:val="1F7A4D"/>
          <w:sz w:val="36"/>
          <w:szCs w:val="36"/>
        </w:rPr>
        <w:t xml:space="preserve">6. Alignment with Welfair Quality and Seeker Internal Certificate</w:t>
      </w:r>
    </w:p>
    <w:p>
      <w:pPr>
        <w:spacing w:after="120" w:before="80"/>
        <w:jc w:val="both"/>
      </w:pPr>
      <w:r>
        <w:rPr>
          <w:rFonts w:ascii="Arial" w:cs="Arial" w:eastAsia="Arial" w:hAnsi="Arial"/>
          <w:b w:val="false"/>
          <w:bCs w:val="false"/>
          <w:i w:val="false"/>
          <w:iCs w:val="false"/>
          <w:color w:val="1A1A1A"/>
          <w:sz w:val="22"/>
          <w:szCs w:val="22"/>
        </w:rPr>
        <w:t xml:space="preserve">BoviWatch was designed with the Welfair Quality certification framework and the Seeker internal certificate as central design references — not as requirements to be addressed after the fact. Every system module produces traceable data that directly feeds the audit criteria.</w:t>
      </w:r>
    </w:p>
    <w:p>
      <w:pPr>
        <w:pStyle w:val="Heading2"/>
        <w:spacing w:after="120" w:before="280"/>
      </w:pPr>
      <w:r>
        <w:rPr>
          <w:rFonts w:ascii="Arial" w:cs="Arial" w:eastAsia="Arial" w:hAnsi="Arial"/>
          <w:b/>
          <w:bCs/>
          <w:color w:val="2E8B6E"/>
          <w:sz w:val="26"/>
          <w:szCs w:val="26"/>
        </w:rPr>
        <w:t xml:space="preserve">6.1 From Periodic Auditing to Continuous Certification</w:t>
      </w:r>
    </w:p>
    <w:p>
      <w:pPr>
        <w:spacing w:after="120" w:before="80"/>
        <w:jc w:val="both"/>
      </w:pPr>
      <w:r>
        <w:rPr>
          <w:rFonts w:ascii="Arial" w:cs="Arial" w:eastAsia="Arial" w:hAnsi="Arial"/>
          <w:b w:val="false"/>
          <w:bCs w:val="false"/>
          <w:i w:val="false"/>
          <w:iCs w:val="false"/>
          <w:color w:val="1A1A1A"/>
          <w:sz w:val="22"/>
          <w:szCs w:val="22"/>
        </w:rPr>
        <w:t xml:space="preserve">Seeker's current audit model relies on periodic visits and manual observation — a subjective, one-off process impossible to scale proportionally to network growth. BoviWatch transforms this model:</w:t>
      </w:r>
    </w:p>
    <w:p>
      <w:pPr>
        <w:pStyle w:val="ListParagraph"/>
        <w:numPr>
          <w:ilvl w:val="0"/>
          <w:numId w:val="2"/>
        </w:numPr>
        <w:spacing w:after="60" w:before="40"/>
      </w:pPr>
      <w:r>
        <w:rPr>
          <w:rFonts w:ascii="Arial" w:cs="Arial" w:eastAsia="Arial" w:hAnsi="Arial"/>
          <w:color w:val="1A1A1A"/>
          <w:sz w:val="22"/>
          <w:szCs w:val="22"/>
        </w:rPr>
        <w:t xml:space="preserve">Each animal is assessed continuously — not at audit moments, but at every sensor cycle</w:t>
      </w:r>
    </w:p>
    <w:p>
      <w:pPr>
        <w:pStyle w:val="ListParagraph"/>
        <w:numPr>
          <w:ilvl w:val="0"/>
          <w:numId w:val="2"/>
        </w:numPr>
        <w:spacing w:after="60" w:before="40"/>
      </w:pPr>
      <w:r>
        <w:rPr>
          <w:rFonts w:ascii="Arial" w:cs="Arial" w:eastAsia="Arial" w:hAnsi="Arial"/>
          <w:color w:val="1A1A1A"/>
          <w:sz w:val="22"/>
          <w:szCs w:val="22"/>
        </w:rPr>
        <w:t xml:space="preserve">Every alert, intervention and outcome is recorded with full timestamp and traceability</w:t>
      </w:r>
    </w:p>
    <w:p>
      <w:pPr>
        <w:pStyle w:val="ListParagraph"/>
        <w:numPr>
          <w:ilvl w:val="0"/>
          <w:numId w:val="2"/>
        </w:numPr>
        <w:spacing w:after="60" w:before="40"/>
      </w:pPr>
      <w:r>
        <w:rPr>
          <w:rFonts w:ascii="Arial" w:cs="Arial" w:eastAsia="Arial" w:hAnsi="Arial"/>
          <w:color w:val="1A1A1A"/>
          <w:sz w:val="22"/>
          <w:szCs w:val="22"/>
        </w:rPr>
        <w:t xml:space="preserve">The Welfair Quality report is generated automatically, at any time, with data from the last 30/90/365 days</w:t>
      </w:r>
    </w:p>
    <w:p>
      <w:pPr>
        <w:pStyle w:val="ListParagraph"/>
        <w:numPr>
          <w:ilvl w:val="0"/>
          <w:numId w:val="2"/>
        </w:numPr>
        <w:spacing w:after="60" w:before="40"/>
      </w:pPr>
      <w:r>
        <w:rPr>
          <w:rFonts w:ascii="Arial" w:cs="Arial" w:eastAsia="Arial" w:hAnsi="Arial"/>
          <w:color w:val="1A1A1A"/>
          <w:sz w:val="22"/>
          <w:szCs w:val="22"/>
        </w:rPr>
        <w:t xml:space="preserve">The Seeker internal certificate is fed in real time — eliminating dependence on subjective assessment methods</w:t>
      </w:r>
    </w:p>
    <w:p>
      <w:pPr>
        <w:spacing w:after="0" w:before="0"/>
      </w:pPr>
      <w:r>
        <w:rPr>
          <w:sz w:val="10"/>
          <w:szCs w:val="10"/>
        </w:rPr>
        <w:t xml:space="preserve"/>
      </w:r>
    </w:p>
    <w:p>
      <w:pPr>
        <w:pStyle w:val="Heading2"/>
        <w:spacing w:after="120" w:before="280"/>
      </w:pPr>
      <w:r>
        <w:rPr>
          <w:rFonts w:ascii="Arial" w:cs="Arial" w:eastAsia="Arial" w:hAnsi="Arial"/>
          <w:b/>
          <w:bCs/>
          <w:color w:val="2E8B6E"/>
          <w:sz w:val="26"/>
          <w:szCs w:val="26"/>
        </w:rPr>
        <w:t xml:space="preserve">6.2 Extension of the Internal Certificate</w:t>
      </w:r>
    </w:p>
    <w:p>
      <w:pPr>
        <w:spacing w:after="120" w:before="80"/>
        <w:jc w:val="both"/>
      </w:pPr>
      <w:r>
        <w:rPr>
          <w:rFonts w:ascii="Arial" w:cs="Arial" w:eastAsia="Arial" w:hAnsi="Arial"/>
          <w:b w:val="false"/>
          <w:bCs w:val="false"/>
          <w:i w:val="false"/>
          <w:iCs w:val="false"/>
          <w:color w:val="1A1A1A"/>
          <w:sz w:val="22"/>
          <w:szCs w:val="22"/>
        </w:rPr>
        <w:t xml:space="preserve">BoviWatch specifically covers the additional indicators of Seeker's internal certificate described in Annex II:</w:t>
      </w:r>
    </w:p>
    <w:p>
      <w:pPr>
        <w:pStyle w:val="ListParagraph"/>
        <w:numPr>
          <w:ilvl w:val="0"/>
          <w:numId w:val="2"/>
        </w:numPr>
        <w:spacing w:after="60" w:before="40"/>
      </w:pPr>
      <w:r>
        <w:rPr>
          <w:rFonts w:ascii="Arial" w:cs="Arial" w:eastAsia="Arial" w:hAnsi="Arial"/>
          <w:color w:val="1A1A1A"/>
          <w:sz w:val="22"/>
          <w:szCs w:val="22"/>
        </w:rPr>
        <w:t xml:space="preserve">Calf assessment and housing conditions — dedicated M6 module</w:t>
      </w:r>
    </w:p>
    <w:p>
      <w:pPr>
        <w:pStyle w:val="ListParagraph"/>
        <w:numPr>
          <w:ilvl w:val="0"/>
          <w:numId w:val="2"/>
        </w:numPr>
        <w:spacing w:after="60" w:before="40"/>
      </w:pPr>
      <w:r>
        <w:rPr>
          <w:rFonts w:ascii="Arial" w:cs="Arial" w:eastAsia="Arial" w:hAnsi="Arial"/>
          <w:color w:val="1A1A1A"/>
          <w:sz w:val="22"/>
          <w:szCs w:val="22"/>
        </w:rPr>
        <w:t xml:space="preserve">Milking equipment cleanliness and maintenance — milking parlour sensor integration</w:t>
      </w:r>
    </w:p>
    <w:p>
      <w:pPr>
        <w:pStyle w:val="ListParagraph"/>
        <w:numPr>
          <w:ilvl w:val="0"/>
          <w:numId w:val="2"/>
        </w:numPr>
        <w:spacing w:after="60" w:before="40"/>
      </w:pPr>
      <w:r>
        <w:rPr>
          <w:rFonts w:ascii="Arial" w:cs="Arial" w:eastAsia="Arial" w:hAnsi="Arial"/>
          <w:color w:val="1A1A1A"/>
          <w:sz w:val="22"/>
          <w:szCs w:val="22"/>
        </w:rPr>
        <w:t xml:space="preserve">Animal production indicators — direct correlation with D/M* index and production forecasts</w:t>
      </w:r>
    </w:p>
    <w:p>
      <w:pPr>
        <w:pStyle w:val="ListParagraph"/>
        <w:numPr>
          <w:ilvl w:val="0"/>
          <w:numId w:val="2"/>
        </w:numPr>
        <w:spacing w:after="60" w:before="40"/>
      </w:pPr>
      <w:r>
        <w:rPr>
          <w:rFonts w:ascii="Arial" w:cs="Arial" w:eastAsia="Arial" w:hAnsi="Arial"/>
          <w:color w:val="1A1A1A"/>
          <w:sz w:val="22"/>
          <w:szCs w:val="22"/>
        </w:rPr>
        <w:t xml:space="preserve">Number of brushes and environmental enrichment — monitored via cameras with object detection</w:t>
      </w:r>
    </w:p>
    <w:p>
      <w:pPr>
        <w:pStyle w:val="ListParagraph"/>
        <w:numPr>
          <w:ilvl w:val="0"/>
          <w:numId w:val="2"/>
        </w:numPr>
        <w:spacing w:after="60" w:before="40"/>
      </w:pPr>
      <w:r>
        <w:rPr>
          <w:rFonts w:ascii="Arial" w:cs="Arial" w:eastAsia="Arial" w:hAnsi="Arial"/>
          <w:color w:val="1A1A1A"/>
          <w:sz w:val="22"/>
          <w:szCs w:val="22"/>
        </w:rPr>
        <w:t xml:space="preserve">Bedding comfort classification — volumetric and optical sensor for depth, humidity and cleanliness</w:t>
      </w:r>
    </w:p>
    <w:p>
      <w:pPr>
        <w:pStyle w:val="ListParagraph"/>
        <w:numPr>
          <w:ilvl w:val="0"/>
          <w:numId w:val="2"/>
        </w:numPr>
        <w:spacing w:after="60" w:before="40"/>
      </w:pPr>
      <w:r>
        <w:rPr>
          <w:rFonts w:ascii="Arial" w:cs="Arial" w:eastAsia="Arial" w:hAnsi="Arial"/>
          <w:color w:val="1A1A1A"/>
          <w:sz w:val="22"/>
          <w:szCs w:val="22"/>
        </w:rPr>
        <w:t xml:space="preserve">Ventilation and heat stress — HLI module per zone with automatic recommendations</w:t>
      </w:r>
    </w:p>
    <w:p>
      <w:pPr>
        <w:spacing w:after="0" w:before="0"/>
      </w:pPr>
      <w:r>
        <w:rPr>
          <w:sz w:val="20"/>
          <w:szCs w:val="20"/>
        </w:rPr>
        <w:t xml:space="preserve"/>
      </w:r>
    </w:p>
    <w:p>
      <w:pPr>
        <w:pStyle w:val="Heading1"/>
        <w:pBdr>
          <w:bottom w:val="single" w:color="1F7A4D" w:sz="8" w:space="4"/>
        </w:pBdr>
        <w:spacing w:after="160" w:before="360"/>
      </w:pPr>
      <w:r>
        <w:rPr>
          <w:rFonts w:ascii="Arial" w:cs="Arial" w:eastAsia="Arial" w:hAnsi="Arial"/>
          <w:b/>
          <w:bCs/>
          <w:color w:val="1F7A4D"/>
          <w:sz w:val="36"/>
          <w:szCs w:val="36"/>
        </w:rPr>
        <w:t xml:space="preserve">7. Implementation and Pilot Plan</w:t>
      </w:r>
    </w:p>
    <w:p>
      <w:pPr>
        <w:spacing w:after="120" w:before="80"/>
        <w:jc w:val="both"/>
      </w:pPr>
      <w:r>
        <w:rPr>
          <w:rFonts w:ascii="Arial" w:cs="Arial" w:eastAsia="Arial" w:hAnsi="Arial"/>
          <w:b w:val="false"/>
          <w:bCs w:val="false"/>
          <w:i w:val="false"/>
          <w:iCs w:val="false"/>
          <w:color w:val="1A1A1A"/>
          <w:sz w:val="22"/>
          <w:szCs w:val="22"/>
        </w:rPr>
        <w:t xml:space="preserve">BoviWatch is not a conceptual promise — it is a platform with a complete functional prototype, ready to be validated under real conditions. The implementation plan is structured in four progressive phases, designed to minimise technical risk and maximise value generation for Seeker at each stage.</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226"/>
      </w:tblGrid>
      <w:tr>
        <w:tc>
          <w:tcPr>
            <w:tcW w:type="dxa" w:w="1200"/>
            <w:tcBorders>
              <w:top w:val="none" w:color="FFFFFF" w:sz="0"/>
              <w:left w:val="none" w:color="FFFFFF" w:sz="0"/>
              <w:bottom w:val="none" w:color="FFFFFF" w:sz="0"/>
              <w:right w:val="none" w:color="FFFFFF" w:sz="0"/>
            </w:tcBorders>
            <w:shd w:fill="1F7A4D" w:val="clear"/>
            <w:tcMar>
              <w:top w:type="dxa" w:w="100"/>
              <w:left w:type="dxa" w:w="120"/>
              <w:bottom w:type="dxa" w:w="100"/>
              <w:right w:type="dxa" w:w="120"/>
            </w:tcMar>
          </w:tcPr>
          <w:p>
            <w:r>
              <w:rPr>
                <w:rFonts w:ascii="Arial" w:cs="Arial" w:eastAsia="Arial" w:hAnsi="Arial"/>
                <w:b/>
                <w:bCs/>
                <w:color w:val="FFFFFF"/>
                <w:sz w:val="22"/>
                <w:szCs w:val="22"/>
              </w:rPr>
              <w:t xml:space="preserve">Phase</w:t>
            </w:r>
          </w:p>
        </w:tc>
        <w:tc>
          <w:tcPr>
            <w:tcW w:type="dxa" w:w="1600"/>
            <w:tcBorders>
              <w:top w:val="none" w:color="FFFFFF" w:sz="0"/>
              <w:left w:val="none" w:color="FFFFFF" w:sz="0"/>
              <w:bottom w:val="none" w:color="FFFFFF" w:sz="0"/>
              <w:right w:val="none" w:color="FFFFFF" w:sz="0"/>
            </w:tcBorders>
            <w:shd w:fill="1F7A4D" w:val="clear"/>
            <w:tcMar>
              <w:top w:type="dxa" w:w="100"/>
              <w:left w:type="dxa" w:w="120"/>
              <w:bottom w:type="dxa" w:w="100"/>
              <w:right w:type="dxa" w:w="120"/>
            </w:tcMar>
          </w:tcPr>
          <w:p>
            <w:r>
              <w:rPr>
                <w:rFonts w:ascii="Arial" w:cs="Arial" w:eastAsia="Arial" w:hAnsi="Arial"/>
                <w:b/>
                <w:bCs/>
                <w:color w:val="FFFFFF"/>
                <w:sz w:val="22"/>
                <w:szCs w:val="22"/>
              </w:rPr>
              <w:t xml:space="preserve">Timeline</w:t>
            </w:r>
          </w:p>
        </w:tc>
        <w:tc>
          <w:tcPr>
            <w:tcW w:type="dxa" w:w="6226"/>
            <w:tcBorders>
              <w:top w:val="none" w:color="FFFFFF" w:sz="0"/>
              <w:left w:val="none" w:color="FFFFFF" w:sz="0"/>
              <w:bottom w:val="none" w:color="FFFFFF" w:sz="0"/>
              <w:right w:val="none" w:color="FFFFFF" w:sz="0"/>
            </w:tcBorders>
            <w:shd w:fill="1F7A4D" w:val="clear"/>
            <w:tcMar>
              <w:top w:type="dxa" w:w="100"/>
              <w:left w:type="dxa" w:w="120"/>
              <w:bottom w:type="dxa" w:w="100"/>
              <w:right w:type="dxa" w:w="120"/>
            </w:tcMar>
          </w:tcPr>
          <w:p>
            <w:r>
              <w:rPr>
                <w:rFonts w:ascii="Arial" w:cs="Arial" w:eastAsia="Arial" w:hAnsi="Arial"/>
                <w:b/>
                <w:bCs/>
                <w:color w:val="FFFFFF"/>
                <w:sz w:val="22"/>
                <w:szCs w:val="22"/>
              </w:rPr>
              <w:t xml:space="preserve">Objectives and Deliverables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7A4D"/>
                <w:sz w:val="20"/>
                <w:szCs w:val="20"/>
              </w:rPr>
              <w:t xml:space="preserve">Phase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Completed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Functional prototype — Digital Twin with 4+ animals, calibrated D/M* predictive engine, multilingual dashboard with Welfair Quality PDF export</w:t>
            </w:r>
          </w:p>
        </w:tc>
      </w:tr>
      <w:tr>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F7A4D"/>
                <w:sz w:val="20"/>
                <w:szCs w:val="20"/>
              </w:rPr>
              <w:t xml:space="preserve">Phase 2</w:t>
            </w:r>
          </w:p>
        </w:tc>
        <w:tc>
          <w:tcPr>
            <w:tcW w:type="dxa" w:w="1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Months 1–6</w:t>
            </w:r>
          </w:p>
        </w:tc>
        <w:tc>
          <w:tcPr>
            <w:tcW w:type="dxa" w:w="62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1A1A1A"/>
                <w:sz w:val="20"/>
                <w:szCs w:val="20"/>
              </w:rPr>
              <w:t xml:space="preserve">Pilot on a real farm (50–100 animals) — D/M* calibration with real data, integration with existing collars (Allflex, SCR), validation of 6–18 month forecasts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7A4D"/>
                <w:sz w:val="20"/>
                <w:szCs w:val="20"/>
              </w:rPr>
              <w:t xml:space="preserve">Phase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Months 7–18</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Expansion to Seeker farm network — multi-farm integration, open API for third-party systems, 3D computer vision module for gait analysis</w:t>
            </w:r>
          </w:p>
        </w:tc>
      </w:tr>
      <w:tr>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F7A4D"/>
                <w:sz w:val="20"/>
                <w:szCs w:val="20"/>
              </w:rPr>
              <w:t xml:space="preserve">Phase 4</w:t>
            </w:r>
          </w:p>
        </w:tc>
        <w:tc>
          <w:tcPr>
            <w:tcW w:type="dxa" w:w="1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Months 19–36</w:t>
            </w:r>
          </w:p>
        </w:tc>
        <w:tc>
          <w:tcPr>
            <w:tcW w:type="dxa" w:w="62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1A1A1A"/>
                <w:sz w:val="20"/>
                <w:szCs w:val="20"/>
              </w:rPr>
              <w:t xml:space="preserve">National scaling and certification — physiological pattern repository by breed, continuous self-learning model, intellectual property protection filing</w:t>
            </w:r>
          </w:p>
        </w:tc>
      </w:tr>
    </w:tbl>
    <w:p>
      <w:pPr>
        <w:spacing w:after="0" w:before="0"/>
      </w:pPr>
      <w:r>
        <w:rPr>
          <w:sz w:val="20"/>
          <w:szCs w:val="20"/>
        </w:rPr>
        <w:t xml:space="preserve"/>
      </w:r>
    </w:p>
    <w:p>
      <w:pPr>
        <w:pStyle w:val="Heading2"/>
        <w:spacing w:after="120" w:before="280"/>
      </w:pPr>
      <w:r>
        <w:rPr>
          <w:rFonts w:ascii="Arial" w:cs="Arial" w:eastAsia="Arial" w:hAnsi="Arial"/>
          <w:b/>
          <w:bCs/>
          <w:color w:val="2E8B6E"/>
          <w:sz w:val="26"/>
          <w:szCs w:val="26"/>
        </w:rPr>
        <w:t xml:space="preserve">7.1 Pilot Success Metrics (Phase 2)</w:t>
      </w:r>
    </w:p>
    <w:p>
      <w:pPr>
        <w:spacing w:after="120" w:before="80"/>
        <w:jc w:val="both"/>
      </w:pPr>
      <w:r>
        <w:rPr>
          <w:rFonts w:ascii="Arial" w:cs="Arial" w:eastAsia="Arial" w:hAnsi="Arial"/>
          <w:b w:val="false"/>
          <w:bCs w:val="false"/>
          <w:i w:val="false"/>
          <w:iCs w:val="false"/>
          <w:color w:val="1A1A1A"/>
          <w:sz w:val="22"/>
          <w:szCs w:val="22"/>
        </w:rPr>
        <w:t xml:space="preserve">The real-farm pilot will be evaluated against the following quantifiable metrics:</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none" w:color="FFFFFF" w:sz="0"/>
              <w:left w:val="none" w:color="FFFFFF" w:sz="0"/>
              <w:bottom w:val="none" w:color="FFFFFF" w:sz="0"/>
              <w:right w:val="none" w:color="FFFFFF" w:sz="0"/>
            </w:tcBorders>
            <w:shd w:fill="1F7A4D" w:val="clear"/>
            <w:tcMar>
              <w:top w:type="dxa" w:w="100"/>
              <w:left w:type="dxa" w:w="120"/>
              <w:bottom w:type="dxa" w:w="100"/>
              <w:right w:type="dxa" w:w="120"/>
            </w:tcMar>
          </w:tcPr>
          <w:p>
            <w:r>
              <w:rPr>
                <w:rFonts w:ascii="Arial" w:cs="Arial" w:eastAsia="Arial" w:hAnsi="Arial"/>
                <w:b/>
                <w:bCs/>
                <w:color w:val="FFFFFF"/>
                <w:sz w:val="22"/>
                <w:szCs w:val="22"/>
              </w:rPr>
              <w:t xml:space="preserve">Pilot Success Metric</w:t>
            </w:r>
          </w:p>
        </w:tc>
        <w:tc>
          <w:tcPr>
            <w:tcW w:type="dxa" w:w="5826"/>
            <w:tcBorders>
              <w:top w:val="none" w:color="FFFFFF" w:sz="0"/>
              <w:left w:val="none" w:color="FFFFFF" w:sz="0"/>
              <w:bottom w:val="none" w:color="FFFFFF" w:sz="0"/>
              <w:right w:val="none" w:color="FFFFFF" w:sz="0"/>
            </w:tcBorders>
            <w:shd w:fill="1F7A4D" w:val="clear"/>
            <w:tcMar>
              <w:top w:type="dxa" w:w="100"/>
              <w:left w:type="dxa" w:w="120"/>
              <w:bottom w:type="dxa" w:w="100"/>
              <w:right w:type="dxa" w:w="120"/>
            </w:tcMar>
          </w:tcPr>
          <w:p>
            <w:r>
              <w:rPr>
                <w:rFonts w:ascii="Arial" w:cs="Arial" w:eastAsia="Arial" w:hAnsi="Arial"/>
                <w:b/>
                <w:bCs/>
                <w:color w:val="FFFFFF"/>
                <w:sz w:val="22"/>
                <w:szCs w:val="22"/>
              </w:rPr>
              <w:t xml:space="preserve">Target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7A4D"/>
                <w:sz w:val="20"/>
                <w:szCs w:val="20"/>
              </w:rPr>
              <w:t xml:space="preserve">Detection lead time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Minimum 48h before visible clinical symptom for mastitis and lameness</w:t>
            </w:r>
          </w:p>
        </w:tc>
      </w:tr>
      <w:tr>
        <w:tc>
          <w:tcPr>
            <w:tcW w:type="dxa" w:w="3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F7A4D"/>
                <w:sz w:val="20"/>
                <w:szCs w:val="20"/>
              </w:rPr>
              <w:t xml:space="preserve">False positive rate</w:t>
            </w:r>
          </w:p>
        </w:tc>
        <w:tc>
          <w:tcPr>
            <w:tcW w:type="dxa" w:w="58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1A1A1A"/>
                <w:sz w:val="20"/>
                <w:szCs w:val="20"/>
              </w:rPr>
              <w:t xml:space="preserve">Below 8% of generated alerts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7A4D"/>
                <w:sz w:val="20"/>
                <w:szCs w:val="20"/>
              </w:rPr>
              <w:t xml:space="preserve">Welfair Quality coverage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Minimum 90% of auditable indicators covered by automatic data</w:t>
            </w:r>
          </w:p>
        </w:tc>
      </w:tr>
      <w:tr>
        <w:tc>
          <w:tcPr>
            <w:tcW w:type="dxa" w:w="3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F7A4D"/>
                <w:sz w:val="20"/>
                <w:szCs w:val="20"/>
              </w:rPr>
              <w:t xml:space="preserve">System uptime</w:t>
            </w:r>
          </w:p>
        </w:tc>
        <w:tc>
          <w:tcPr>
            <w:tcW w:type="dxa" w:w="58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1A1A1A"/>
                <w:sz w:val="20"/>
                <w:szCs w:val="20"/>
              </w:rPr>
              <w:t xml:space="preserve">99.5% availability during the pilot period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7A4D"/>
                <w:sz w:val="20"/>
                <w:szCs w:val="20"/>
              </w:rPr>
              <w:t xml:space="preserve">Manual audit reduction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 reduction in on-site audit time per farm</w:t>
            </w:r>
          </w:p>
        </w:tc>
      </w:tr>
      <w:tr>
        <w:tc>
          <w:tcPr>
            <w:tcW w:type="dxa" w:w="3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F7A4D"/>
                <w:sz w:val="20"/>
                <w:szCs w:val="20"/>
              </w:rPr>
              <w:t xml:space="preserve">Producer satisfaction</w:t>
            </w:r>
          </w:p>
        </w:tc>
        <w:tc>
          <w:tcPr>
            <w:tcW w:type="dxa" w:w="5826"/>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val="false"/>
                <w:bCs w:val="false"/>
                <w:color w:val="1A1A1A"/>
                <w:sz w:val="20"/>
                <w:szCs w:val="20"/>
              </w:rPr>
              <w:t xml:space="preserve">NPS ≥ 8/10 at the end of Phase 2</w:t>
            </w:r>
          </w:p>
        </w:tc>
      </w:tr>
    </w:tbl>
    <w:p>
      <w:pPr>
        <w:spacing w:after="0" w:before="0"/>
      </w:pPr>
      <w:r>
        <w:rPr>
          <w:sz w:val="20"/>
          <w:szCs w:val="20"/>
        </w:rPr>
        <w:t xml:space="preserve"/>
      </w:r>
    </w:p>
    <w:p>
      <w:pPr>
        <w:pStyle w:val="Heading1"/>
        <w:pBdr>
          <w:bottom w:val="single" w:color="1F7A4D" w:sz="8" w:space="4"/>
        </w:pBdr>
        <w:spacing w:after="160" w:before="360"/>
      </w:pPr>
      <w:r>
        <w:rPr>
          <w:rFonts w:ascii="Arial" w:cs="Arial" w:eastAsia="Arial" w:hAnsi="Arial"/>
          <w:b/>
          <w:bCs/>
          <w:color w:val="1F7A4D"/>
          <w:sz w:val="36"/>
          <w:szCs w:val="36"/>
        </w:rPr>
        <w:t xml:space="preserve">8. Data Security, Privacy and Compliance</w:t>
      </w:r>
    </w:p>
    <w:p>
      <w:pPr>
        <w:spacing w:after="120" w:before="80"/>
        <w:jc w:val="both"/>
      </w:pPr>
      <w:r>
        <w:rPr>
          <w:rFonts w:ascii="Arial" w:cs="Arial" w:eastAsia="Arial" w:hAnsi="Arial"/>
          <w:b w:val="false"/>
          <w:bCs w:val="false"/>
          <w:i w:val="false"/>
          <w:iCs w:val="false"/>
          <w:color w:val="1A1A1A"/>
          <w:sz w:val="22"/>
          <w:szCs w:val="22"/>
        </w:rPr>
        <w:t xml:space="preserve">BoviWatch was designed from its base architecture with the principles of Privacy by Design and Security by Default, in compliance with GDPR and the security standards applicable to the European agri-food sector.</w:t>
      </w:r>
    </w:p>
    <w:p>
      <w:pPr>
        <w:pStyle w:val="Heading2"/>
        <w:spacing w:after="120" w:before="280"/>
      </w:pPr>
      <w:r>
        <w:rPr>
          <w:rFonts w:ascii="Arial" w:cs="Arial" w:eastAsia="Arial" w:hAnsi="Arial"/>
          <w:b/>
          <w:bCs/>
          <w:color w:val="2E8B6E"/>
          <w:sz w:val="26"/>
          <w:szCs w:val="26"/>
        </w:rPr>
        <w:t xml:space="preserve">8.1 Security Architecture</w:t>
      </w:r>
    </w:p>
    <w:p>
      <w:pPr>
        <w:pStyle w:val="ListParagraph"/>
        <w:numPr>
          <w:ilvl w:val="0"/>
          <w:numId w:val="2"/>
        </w:numPr>
        <w:spacing w:after="60" w:before="40"/>
      </w:pPr>
      <w:r>
        <w:rPr>
          <w:rFonts w:ascii="Arial" w:cs="Arial" w:eastAsia="Arial" w:hAnsi="Arial"/>
          <w:color w:val="1A1A1A"/>
          <w:sz w:val="22"/>
          <w:szCs w:val="22"/>
        </w:rPr>
        <w:t xml:space="preserve">Data transmission encrypted via TLS 1.3 between sensors, server and user interface</w:t>
      </w:r>
    </w:p>
    <w:p>
      <w:pPr>
        <w:pStyle w:val="ListParagraph"/>
        <w:numPr>
          <w:ilvl w:val="0"/>
          <w:numId w:val="2"/>
        </w:numPr>
        <w:spacing w:after="60" w:before="40"/>
      </w:pPr>
      <w:r>
        <w:rPr>
          <w:rFonts w:ascii="Arial" w:cs="Arial" w:eastAsia="Arial" w:hAnsi="Arial"/>
          <w:color w:val="1A1A1A"/>
          <w:sz w:val="22"/>
          <w:szCs w:val="22"/>
        </w:rPr>
        <w:t xml:space="preserve">Each farm's data stored in an isolated tenant — no sharing between producers</w:t>
      </w:r>
    </w:p>
    <w:p>
      <w:pPr>
        <w:pStyle w:val="ListParagraph"/>
        <w:numPr>
          <w:ilvl w:val="0"/>
          <w:numId w:val="2"/>
        </w:numPr>
        <w:spacing w:after="60" w:before="40"/>
      </w:pPr>
      <w:r>
        <w:rPr>
          <w:rFonts w:ascii="Arial" w:cs="Arial" w:eastAsia="Arial" w:hAnsi="Arial"/>
          <w:color w:val="1A1A1A"/>
          <w:sz w:val="22"/>
          <w:szCs w:val="22"/>
        </w:rPr>
        <w:t xml:space="preserve">Automatic anonymisation of producer identifiers in shared reports</w:t>
      </w:r>
    </w:p>
    <w:p>
      <w:pPr>
        <w:pStyle w:val="ListParagraph"/>
        <w:numPr>
          <w:ilvl w:val="0"/>
          <w:numId w:val="2"/>
        </w:numPr>
        <w:spacing w:after="60" w:before="40"/>
      </w:pPr>
      <w:r>
        <w:rPr>
          <w:rFonts w:ascii="Arial" w:cs="Arial" w:eastAsia="Arial" w:hAnsi="Arial"/>
          <w:color w:val="1A1A1A"/>
          <w:sz w:val="22"/>
          <w:szCs w:val="22"/>
        </w:rPr>
        <w:t xml:space="preserve">Automatic backups with 365-day retention and guaranteed recovery in less than 4 hours</w:t>
      </w:r>
    </w:p>
    <w:p>
      <w:pPr>
        <w:spacing w:after="0" w:before="0"/>
      </w:pPr>
      <w:r>
        <w:rPr>
          <w:sz w:val="10"/>
          <w:szCs w:val="10"/>
        </w:rPr>
        <w:t xml:space="preserve"/>
      </w:r>
    </w:p>
    <w:p>
      <w:pPr>
        <w:pStyle w:val="Heading2"/>
        <w:spacing w:after="120" w:before="280"/>
      </w:pPr>
      <w:r>
        <w:rPr>
          <w:rFonts w:ascii="Arial" w:cs="Arial" w:eastAsia="Arial" w:hAnsi="Arial"/>
          <w:b/>
          <w:bCs/>
          <w:color w:val="2E8B6E"/>
          <w:sz w:val="26"/>
          <w:szCs w:val="26"/>
        </w:rPr>
        <w:t xml:space="preserve">8.2 Auditability and Traceability</w:t>
      </w:r>
    </w:p>
    <w:p>
      <w:pPr>
        <w:pStyle w:val="ListParagraph"/>
        <w:numPr>
          <w:ilvl w:val="0"/>
          <w:numId w:val="2"/>
        </w:numPr>
        <w:spacing w:after="60" w:before="40"/>
      </w:pPr>
      <w:r>
        <w:rPr>
          <w:rFonts w:ascii="Arial" w:cs="Arial" w:eastAsia="Arial" w:hAnsi="Arial"/>
          <w:color w:val="1A1A1A"/>
          <w:sz w:val="22"/>
          <w:szCs w:val="22"/>
        </w:rPr>
        <w:t xml:space="preserve">Every alert, intervention and report generated by the system is recorded with timestamp, unique identifier and integrity hash</w:t>
      </w:r>
    </w:p>
    <w:p>
      <w:pPr>
        <w:pStyle w:val="ListParagraph"/>
        <w:numPr>
          <w:ilvl w:val="0"/>
          <w:numId w:val="2"/>
        </w:numPr>
        <w:spacing w:after="60" w:before="40"/>
      </w:pPr>
      <w:r>
        <w:rPr>
          <w:rFonts w:ascii="Arial" w:cs="Arial" w:eastAsia="Arial" w:hAnsi="Arial"/>
          <w:color w:val="1A1A1A"/>
          <w:sz w:val="22"/>
          <w:szCs w:val="22"/>
        </w:rPr>
        <w:t xml:space="preserve">Immutable log of all predictive engine decisions — allows reconstruction of the system's reasoning at any past point</w:t>
      </w:r>
    </w:p>
    <w:p>
      <w:pPr>
        <w:pStyle w:val="ListParagraph"/>
        <w:numPr>
          <w:ilvl w:val="0"/>
          <w:numId w:val="2"/>
        </w:numPr>
        <w:spacing w:after="60" w:before="40"/>
      </w:pPr>
      <w:r>
        <w:rPr>
          <w:rFonts w:ascii="Arial" w:cs="Arial" w:eastAsia="Arial" w:hAnsi="Arial"/>
          <w:color w:val="1A1A1A"/>
          <w:sz w:val="22"/>
          <w:szCs w:val="22"/>
        </w:rPr>
        <w:t xml:space="preserve">Audit report export in digitally signed PDF format, compatible with Welfair Quality requirements</w:t>
      </w:r>
    </w:p>
    <w:p>
      <w:pPr>
        <w:pStyle w:val="ListParagraph"/>
        <w:numPr>
          <w:ilvl w:val="0"/>
          <w:numId w:val="2"/>
        </w:numPr>
        <w:spacing w:after="60" w:before="40"/>
      </w:pPr>
      <w:r>
        <w:rPr>
          <w:rFonts w:ascii="Arial" w:cs="Arial" w:eastAsia="Arial" w:hAnsi="Arial"/>
          <w:color w:val="1A1A1A"/>
          <w:sz w:val="22"/>
          <w:szCs w:val="22"/>
        </w:rPr>
        <w:t xml:space="preserve">External audit API — allows Seeker or certified auditors to directly access any farm's data, in real time or historically</w:t>
      </w:r>
    </w:p>
    <w:p>
      <w:pPr>
        <w:spacing w:after="0" w:before="0"/>
      </w:pPr>
      <w:r>
        <w:rPr>
          <w:sz w:val="10"/>
          <w:szCs w:val="10"/>
        </w:rPr>
        <w:t xml:space="preserve"/>
      </w:r>
    </w:p>
    <w:p>
      <w:pPr>
        <w:pStyle w:val="Heading2"/>
        <w:spacing w:after="120" w:before="280"/>
      </w:pPr>
      <w:r>
        <w:rPr>
          <w:rFonts w:ascii="Arial" w:cs="Arial" w:eastAsia="Arial" w:hAnsi="Arial"/>
          <w:b/>
          <w:bCs/>
          <w:color w:val="2E8B6E"/>
          <w:sz w:val="26"/>
          <w:szCs w:val="26"/>
        </w:rPr>
        <w:t xml:space="preserve">8.3 Regulatory Compliance</w:t>
      </w:r>
    </w:p>
    <w:p>
      <w:pPr>
        <w:pStyle w:val="ListParagraph"/>
        <w:numPr>
          <w:ilvl w:val="0"/>
          <w:numId w:val="2"/>
        </w:numPr>
        <w:spacing w:after="60" w:before="40"/>
      </w:pPr>
      <w:r>
        <w:rPr>
          <w:rFonts w:ascii="Arial" w:cs="Arial" w:eastAsia="Arial" w:hAnsi="Arial"/>
          <w:color w:val="1A1A1A"/>
          <w:sz w:val="22"/>
          <w:szCs w:val="22"/>
        </w:rPr>
        <w:t xml:space="preserve">GDPR (General Data Protection Regulation) — full compliance</w:t>
      </w:r>
    </w:p>
    <w:p>
      <w:pPr>
        <w:pStyle w:val="ListParagraph"/>
        <w:numPr>
          <w:ilvl w:val="0"/>
          <w:numId w:val="2"/>
        </w:numPr>
        <w:spacing w:after="60" w:before="40"/>
      </w:pPr>
      <w:r>
        <w:rPr>
          <w:rFonts w:ascii="Arial" w:cs="Arial" w:eastAsia="Arial" w:hAnsi="Arial"/>
          <w:color w:val="1A1A1A"/>
          <w:sz w:val="22"/>
          <w:szCs w:val="22"/>
        </w:rPr>
        <w:t xml:space="preserve">ISO 27001 — architecture designed according to the standard's controls</w:t>
      </w:r>
    </w:p>
    <w:p>
      <w:pPr>
        <w:pStyle w:val="ListParagraph"/>
        <w:numPr>
          <w:ilvl w:val="0"/>
          <w:numId w:val="2"/>
        </w:numPr>
        <w:spacing w:after="60" w:before="40"/>
      </w:pPr>
      <w:r>
        <w:rPr>
          <w:rFonts w:ascii="Arial" w:cs="Arial" w:eastAsia="Arial" w:hAnsi="Arial"/>
          <w:color w:val="1A1A1A"/>
          <w:sz w:val="22"/>
          <w:szCs w:val="22"/>
        </w:rPr>
        <w:t xml:space="preserve">European animal welfare legislation (Directive 98/58/EC and subsequent regulations)</w:t>
      </w:r>
    </w:p>
    <w:p>
      <w:pPr>
        <w:pStyle w:val="ListParagraph"/>
        <w:numPr>
          <w:ilvl w:val="0"/>
          <w:numId w:val="2"/>
        </w:numPr>
        <w:spacing w:after="60" w:before="40"/>
      </w:pPr>
      <w:r>
        <w:rPr>
          <w:rFonts w:ascii="Arial" w:cs="Arial" w:eastAsia="Arial" w:hAnsi="Arial"/>
          <w:color w:val="1A1A1A"/>
          <w:sz w:val="22"/>
          <w:szCs w:val="22"/>
        </w:rPr>
        <w:t xml:space="preserve">Welfair Quality standard — all indicators exportable in the required format</w:t>
      </w:r>
    </w:p>
    <w:p>
      <w:pPr>
        <w:spacing w:after="0" w:before="0"/>
      </w:pPr>
      <w:r>
        <w:rPr>
          <w:sz w:val="20"/>
          <w:szCs w:val="20"/>
        </w:rPr>
        <w:t xml:space="preserve"/>
      </w:r>
    </w:p>
    <w:p>
      <w:pPr>
        <w:pStyle w:val="Heading1"/>
        <w:pBdr>
          <w:bottom w:val="single" w:color="1F7A4D" w:sz="8" w:space="4"/>
        </w:pBdr>
        <w:spacing w:after="160" w:before="360"/>
      </w:pPr>
      <w:r>
        <w:rPr>
          <w:rFonts w:ascii="Arial" w:cs="Arial" w:eastAsia="Arial" w:hAnsi="Arial"/>
          <w:b/>
          <w:bCs/>
          <w:color w:val="1F7A4D"/>
          <w:sz w:val="36"/>
          <w:szCs w:val="36"/>
        </w:rPr>
        <w:t xml:space="preserve">9. Strategic Impact for Seeker</w:t>
      </w:r>
    </w:p>
    <w:p>
      <w:pPr>
        <w:spacing w:after="120" w:before="80"/>
        <w:jc w:val="both"/>
      </w:pPr>
      <w:r>
        <w:rPr>
          <w:rFonts w:ascii="Arial" w:cs="Arial" w:eastAsia="Arial" w:hAnsi="Arial"/>
          <w:b w:val="false"/>
          <w:bCs w:val="false"/>
          <w:i w:val="false"/>
          <w:iCs w:val="false"/>
          <w:color w:val="1A1A1A"/>
          <w:sz w:val="22"/>
          <w:szCs w:val="22"/>
        </w:rPr>
        <w:t xml:space="preserve">BoviWatch is not a monitoring system — it is a strategic differentiation platform that positions Seeker as the European reference in the digitalisation of the dairy value chain.</w:t>
      </w:r>
    </w:p>
    <w:p>
      <w:pPr>
        <w:pStyle w:val="Heading2"/>
        <w:spacing w:after="120" w:before="280"/>
      </w:pPr>
      <w:r>
        <w:rPr>
          <w:rFonts w:ascii="Arial" w:cs="Arial" w:eastAsia="Arial" w:hAnsi="Arial"/>
          <w:b/>
          <w:bCs/>
          <w:color w:val="2E8B6E"/>
          <w:sz w:val="26"/>
          <w:szCs w:val="26"/>
        </w:rPr>
        <w:t xml:space="preserve">9.1 Direct Operational Impact</w:t>
      </w:r>
    </w:p>
    <w:p>
      <w:pPr>
        <w:pStyle w:val="ListParagraph"/>
        <w:numPr>
          <w:ilvl w:val="0"/>
          <w:numId w:val="2"/>
        </w:numPr>
        <w:spacing w:after="60" w:before="40"/>
      </w:pPr>
      <w:r>
        <w:rPr>
          <w:rFonts w:ascii="Arial" w:cs="Arial" w:eastAsia="Arial" w:hAnsi="Arial"/>
          <w:color w:val="1A1A1A"/>
          <w:sz w:val="22"/>
          <w:szCs w:val="22"/>
        </w:rPr>
        <w:t xml:space="preserve">Estimated 40–60% reduction in costs associated with undetected mastitis, lameness and heat stress</w:t>
      </w:r>
    </w:p>
    <w:p>
      <w:pPr>
        <w:pStyle w:val="ListParagraph"/>
        <w:numPr>
          <w:ilvl w:val="0"/>
          <w:numId w:val="2"/>
        </w:numPr>
        <w:spacing w:after="60" w:before="40"/>
      </w:pPr>
      <w:r>
        <w:rPr>
          <w:rFonts w:ascii="Arial" w:cs="Arial" w:eastAsia="Arial" w:hAnsi="Arial"/>
          <w:color w:val="1A1A1A"/>
          <w:sz w:val="22"/>
          <w:szCs w:val="22"/>
        </w:rPr>
        <w:t xml:space="preserve">Improved stability and physico-chemical quality of delivered milk through greater control of production conditions</w:t>
      </w:r>
    </w:p>
    <w:p>
      <w:pPr>
        <w:pStyle w:val="ListParagraph"/>
        <w:numPr>
          <w:ilvl w:val="0"/>
          <w:numId w:val="2"/>
        </w:numPr>
        <w:spacing w:after="60" w:before="40"/>
      </w:pPr>
      <w:r>
        <w:rPr>
          <w:rFonts w:ascii="Arial" w:cs="Arial" w:eastAsia="Arial" w:hAnsi="Arial"/>
          <w:color w:val="1A1A1A"/>
          <w:sz w:val="22"/>
          <w:szCs w:val="22"/>
        </w:rPr>
        <w:t xml:space="preserve">Reduced Welfair Quality audit cost through automation of data collection and verification</w:t>
      </w:r>
    </w:p>
    <w:p>
      <w:pPr>
        <w:pStyle w:val="ListParagraph"/>
        <w:numPr>
          <w:ilvl w:val="0"/>
          <w:numId w:val="2"/>
        </w:numPr>
        <w:spacing w:after="60" w:before="40"/>
      </w:pPr>
      <w:r>
        <w:rPr>
          <w:rFonts w:ascii="Arial" w:cs="Arial" w:eastAsia="Arial" w:hAnsi="Arial"/>
          <w:color w:val="1A1A1A"/>
          <w:sz w:val="22"/>
          <w:szCs w:val="22"/>
        </w:rPr>
        <w:t xml:space="preserve">Extended animal productive life through early intervention in chronic degradation trajectories</w:t>
      </w:r>
    </w:p>
    <w:p>
      <w:pPr>
        <w:spacing w:after="0" w:before="0"/>
      </w:pPr>
      <w:r>
        <w:rPr>
          <w:sz w:val="10"/>
          <w:szCs w:val="10"/>
        </w:rPr>
        <w:t xml:space="preserve"/>
      </w:r>
    </w:p>
    <w:p>
      <w:pPr>
        <w:pStyle w:val="Heading2"/>
        <w:spacing w:after="120" w:before="280"/>
      </w:pPr>
      <w:r>
        <w:rPr>
          <w:rFonts w:ascii="Arial" w:cs="Arial" w:eastAsia="Arial" w:hAnsi="Arial"/>
          <w:b/>
          <w:bCs/>
          <w:color w:val="2E8B6E"/>
          <w:sz w:val="26"/>
          <w:szCs w:val="26"/>
        </w:rPr>
        <w:t xml:space="preserve">9.2 ESG and Market Positioning</w:t>
      </w:r>
    </w:p>
    <w:p>
      <w:pPr>
        <w:pStyle w:val="ListParagraph"/>
        <w:numPr>
          <w:ilvl w:val="0"/>
          <w:numId w:val="2"/>
        </w:numPr>
        <w:spacing w:after="60" w:before="40"/>
      </w:pPr>
      <w:r>
        <w:rPr>
          <w:rFonts w:ascii="Arial" w:cs="Arial" w:eastAsia="Arial" w:hAnsi="Arial"/>
          <w:color w:val="1A1A1A"/>
          <w:sz w:val="22"/>
          <w:szCs w:val="22"/>
        </w:rPr>
        <w:t xml:space="preserve">Clear differentiation in European markets with growing ESG, traceability and transparency criteria</w:t>
      </w:r>
    </w:p>
    <w:p>
      <w:pPr>
        <w:pStyle w:val="ListParagraph"/>
        <w:numPr>
          <w:ilvl w:val="0"/>
          <w:numId w:val="2"/>
        </w:numPr>
        <w:spacing w:after="60" w:before="40"/>
      </w:pPr>
      <w:r>
        <w:rPr>
          <w:rFonts w:ascii="Arial" w:cs="Arial" w:eastAsia="Arial" w:hAnsi="Arial"/>
          <w:color w:val="1A1A1A"/>
          <w:sz w:val="22"/>
          <w:szCs w:val="22"/>
        </w:rPr>
        <w:t xml:space="preserve">Verifiable animal welfare communication to the end consumer — with data, not declarations</w:t>
      </w:r>
    </w:p>
    <w:p>
      <w:pPr>
        <w:pStyle w:val="ListParagraph"/>
        <w:numPr>
          <w:ilvl w:val="0"/>
          <w:numId w:val="2"/>
        </w:numPr>
        <w:spacing w:after="60" w:before="40"/>
      </w:pPr>
      <w:r>
        <w:rPr>
          <w:rFonts w:ascii="Arial" w:cs="Arial" w:eastAsia="Arial" w:hAnsi="Arial"/>
          <w:color w:val="1A1A1A"/>
          <w:sz w:val="22"/>
          <w:szCs w:val="22"/>
        </w:rPr>
        <w:t xml:space="preserve">Strengthened producer relationships through a tool that generates direct value for their operations</w:t>
      </w:r>
    </w:p>
    <w:p>
      <w:pPr>
        <w:pStyle w:val="ListParagraph"/>
        <w:numPr>
          <w:ilvl w:val="0"/>
          <w:numId w:val="2"/>
        </w:numPr>
        <w:spacing w:after="60" w:before="40"/>
      </w:pPr>
      <w:r>
        <w:rPr>
          <w:rFonts w:ascii="Arial" w:cs="Arial" w:eastAsia="Arial" w:hAnsi="Arial"/>
          <w:color w:val="1A1A1A"/>
          <w:sz w:val="22"/>
          <w:szCs w:val="22"/>
        </w:rPr>
        <w:t xml:space="preserve">Positioning as sector benchmark in the digitalisation of animal welfare at national and European level</w:t>
      </w:r>
    </w:p>
    <w:p>
      <w:pPr>
        <w:spacing w:after="0" w:before="0"/>
      </w:pPr>
      <w:r>
        <w:rPr>
          <w:sz w:val="10"/>
          <w:szCs w:val="10"/>
        </w:rPr>
        <w:t xml:space="preserve"/>
      </w:r>
    </w:p>
    <w:p>
      <w:pPr>
        <w:pStyle w:val="Heading2"/>
        <w:spacing w:after="120" w:before="280"/>
      </w:pPr>
      <w:r>
        <w:rPr>
          <w:rFonts w:ascii="Arial" w:cs="Arial" w:eastAsia="Arial" w:hAnsi="Arial"/>
          <w:b/>
          <w:bCs/>
          <w:color w:val="2E8B6E"/>
          <w:sz w:val="26"/>
          <w:szCs w:val="26"/>
        </w:rPr>
        <w:t xml:space="preserve">9.3 Intellectual Property</w:t>
      </w:r>
    </w:p>
    <w:p>
      <w:pPr>
        <w:spacing w:after="120" w:before="80"/>
        <w:jc w:val="both"/>
      </w:pPr>
      <w:r>
        <w:rPr>
          <w:rFonts w:ascii="Arial" w:cs="Arial" w:eastAsia="Arial" w:hAnsi="Arial"/>
          <w:b w:val="false"/>
          <w:bCs w:val="false"/>
          <w:i w:val="false"/>
          <w:iCs w:val="false"/>
          <w:color w:val="1A1A1A"/>
          <w:sz w:val="22"/>
          <w:szCs w:val="22"/>
        </w:rPr>
        <w:t xml:space="preserve">The D/M* predictive engine and its dual memory mechanisms constitute a technical innovation with potential for intellectual property protection. Seeker, as a pilot and validation partner, would have a preferential position in any licensing, co-development or joint technology protection agreements — creating a sustainable and defensible competitive advantage in the European market.</w:t>
      </w:r>
    </w:p>
    <w:p>
      <w:pPr>
        <w:spacing w:after="0" w:before="0"/>
      </w:pPr>
      <w:r>
        <w:rPr>
          <w:sz w:val="20"/>
          <w:szCs w:val="20"/>
        </w:rPr>
        <w:t xml:space="preserve"/>
      </w:r>
    </w:p>
    <w:p>
      <w:pPr>
        <w:pStyle w:val="Heading1"/>
        <w:pBdr>
          <w:bottom w:val="single" w:color="1F7A4D" w:sz="8" w:space="4"/>
        </w:pBdr>
        <w:spacing w:after="160" w:before="360"/>
      </w:pPr>
      <w:r>
        <w:rPr>
          <w:rFonts w:ascii="Arial" w:cs="Arial" w:eastAsia="Arial" w:hAnsi="Arial"/>
          <w:b/>
          <w:bCs/>
          <w:color w:val="1F7A4D"/>
          <w:sz w:val="36"/>
          <w:szCs w:val="36"/>
        </w:rPr>
        <w:t xml:space="preserve">10. Conclusion</w:t>
      </w:r>
    </w:p>
    <w:p>
      <w:pPr>
        <w:spacing w:after="120" w:before="80"/>
        <w:jc w:val="both"/>
      </w:pPr>
      <w:r>
        <w:rPr>
          <w:rFonts w:ascii="Arial" w:cs="Arial" w:eastAsia="Arial" w:hAnsi="Arial"/>
          <w:b w:val="false"/>
          <w:bCs w:val="false"/>
          <w:i w:val="false"/>
          <w:iCs w:val="false"/>
          <w:color w:val="1A1A1A"/>
          <w:sz w:val="22"/>
          <w:szCs w:val="22"/>
        </w:rPr>
        <w:t xml:space="preserve">Seeker faces a singular window of opportunity: to be the first company in the Portuguese and European dairy sector to implement a genuinely predictive animal welfare Digital Twin — not reactive, not periodic, not subjective.</w:t>
      </w:r>
    </w:p>
    <w:p>
      <w:pPr>
        <w:spacing w:after="120" w:before="80"/>
        <w:jc w:val="both"/>
      </w:pPr>
      <w:r>
        <w:rPr>
          <w:rFonts w:ascii="Arial" w:cs="Arial" w:eastAsia="Arial" w:hAnsi="Arial"/>
          <w:b w:val="false"/>
          <w:bCs w:val="false"/>
          <w:i w:val="false"/>
          <w:iCs w:val="false"/>
          <w:color w:val="1A1A1A"/>
          <w:sz w:val="22"/>
          <w:szCs w:val="22"/>
        </w:rPr>
        <w:t xml:space="preserve">BoviWatch is ready for that step. The prototype works. The predictive engine is calibrated. The architecture is scalable. Integration with Welfair Quality and the Seeker internal certificate is embedded in the platform's design from day one.</w:t>
      </w:r>
    </w:p>
    <w:p>
      <w:pPr>
        <w:spacing w:after="120" w:before="80"/>
        <w:jc w:val="both"/>
      </w:pPr>
      <w:r>
        <w:rPr>
          <w:rFonts w:ascii="Arial" w:cs="Arial" w:eastAsia="Arial" w:hAnsi="Arial"/>
          <w:b w:val="false"/>
          <w:bCs w:val="false"/>
          <w:i w:val="false"/>
          <w:iCs w:val="false"/>
          <w:color w:val="1A1A1A"/>
          <w:sz w:val="22"/>
          <w:szCs w:val="22"/>
        </w:rPr>
        <w:t xml:space="preserve">What we propose is not a research project. It is an implementation partnership — with a demonstrable prototype today, a structured pilot over the next six months, and a scalable platform that can transform the way Seeker manages, certifies and communicates animal welfare across its value chain.</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thick" w:color="1F7A4D" w:sz="12"/>
              <w:left w:val="thick" w:color="1F7A4D" w:sz="12"/>
              <w:bottom w:val="thick" w:color="1F7A4D" w:sz="12"/>
              <w:right w:val="thick" w:color="1F7A4D" w:sz="12"/>
            </w:tcBorders>
            <w:shd w:fill="E8F5EE" w:val="clear"/>
            <w:tcMar>
              <w:top w:type="dxa" w:w="240"/>
              <w:left w:type="dxa" w:w="320"/>
              <w:bottom w:type="dxa" w:w="240"/>
              <w:right w:type="dxa" w:w="320"/>
            </w:tcMar>
          </w:tcPr>
          <w:p>
            <w:pPr>
              <w:spacing w:after="120" w:before="0"/>
              <w:jc w:val="center"/>
            </w:pPr>
            <w:r>
              <w:rPr>
                <w:rFonts w:ascii="Arial" w:cs="Arial" w:eastAsia="Arial" w:hAnsi="Arial"/>
                <w:b/>
                <w:bCs/>
                <w:color w:val="1F7A4D"/>
                <w:sz w:val="26"/>
                <w:szCs w:val="26"/>
              </w:rPr>
              <w:t xml:space="preserve">Final Commitment</w:t>
            </w:r>
          </w:p>
          <w:p>
            <w:pPr>
              <w:spacing w:after="0" w:before="0"/>
              <w:jc w:val="center"/>
            </w:pPr>
            <w:r>
              <w:rPr>
                <w:rFonts w:ascii="Arial" w:cs="Arial" w:eastAsia="Arial" w:hAnsi="Arial"/>
                <w:i/>
                <w:iCs/>
                <w:color w:val="1A1A1A"/>
                <w:sz w:val="22"/>
                <w:szCs w:val="22"/>
              </w:rPr>
              <w:t xml:space="preserve">BoviWatch was designed to do exactly what Seeker needs: transform continuous sensor data into anticipatory decisions — before the animal suffers, before production falls, before the audit reveals a problem that was already preventable.</w:t>
            </w:r>
          </w:p>
          <w:p>
            <w:pPr>
              <w:spacing w:after="0" w:before="120"/>
              <w:jc w:val="center"/>
            </w:pPr>
            <w:r>
              <w:rPr>
                <w:rFonts w:ascii="Arial" w:cs="Arial" w:eastAsia="Arial" w:hAnsi="Arial"/>
                <w:b/>
                <w:bCs/>
                <w:color w:val="1F7A4D"/>
                <w:sz w:val="22"/>
                <w:szCs w:val="22"/>
              </w:rPr>
              <w:t xml:space="preserve">This is not technology of the future. It is technology available now, ready to be validated with Seeker as a partner.</w:t>
            </w:r>
          </w:p>
        </w:tc>
      </w:tr>
    </w:tbl>
    <w:p>
      <w:pPr>
        <w:spacing w:after="0" w:before="0"/>
      </w:pPr>
      <w:r>
        <w:rPr>
          <w:sz w:val="20"/>
          <w:szCs w:val="20"/>
        </w:rPr>
        <w:t xml:space="preserve"/>
      </w:r>
    </w:p>
    <w:p>
      <w:pPr>
        <w:spacing w:after="60" w:before="160"/>
        <w:jc w:val="center"/>
      </w:pPr>
      <w:r>
        <w:rPr>
          <w:rFonts w:ascii="Courier New" w:cs="Courier New" w:eastAsia="Courier New" w:hAnsi="Courier New"/>
          <w:color w:val="444444"/>
          <w:sz w:val="18"/>
          <w:szCs w:val="18"/>
        </w:rPr>
        <w:t xml:space="preserve">SHA-256 Hash of Submission:</w:t>
      </w:r>
    </w:p>
    <w:p>
      <w:pPr>
        <w:spacing w:after="60" w:before="0"/>
        <w:jc w:val="center"/>
      </w:pPr>
      <w:r>
        <w:rPr>
          <w:rFonts w:ascii="Courier New" w:cs="Courier New" w:eastAsia="Courier New" w:hAnsi="Courier New"/>
          <w:color w:val="444444"/>
          <w:sz w:val="16"/>
          <w:szCs w:val="16"/>
        </w:rPr>
        <w:t xml:space="preserve">aa67e3255bdcc7ba09d3db0a60e3399be3cae511c075c6d89c281d1b40ed9e1c</w:t>
      </w:r>
    </w:p>
    <w:p>
      <w:pPr>
        <w:spacing w:after="160" w:before="0"/>
        <w:jc w:val="center"/>
      </w:pPr>
      <w:r>
        <w:rPr>
          <w:rFonts w:ascii="Arial" w:cs="Arial" w:eastAsia="Arial" w:hAnsi="Arial"/>
          <w:color w:val="444444"/>
          <w:sz w:val="18"/>
          <w:szCs w:val="18"/>
        </w:rPr>
        <w:t xml:space="preserve">Generated on: April 2026  ·  Algorithm: SHA-256</w:t>
      </w:r>
    </w:p>
    <w:p>
      <w:pPr>
        <w:pBdr>
          <w:top w:val="single" w:color="1F7A4D" w:sz="4" w:space="8"/>
        </w:pBdr>
        <w:spacing w:after="60" w:before="80"/>
        <w:jc w:val="center"/>
      </w:pPr>
      <w:r>
        <w:rPr>
          <w:rFonts w:ascii="Arial" w:cs="Arial" w:eastAsia="Arial" w:hAnsi="Arial"/>
          <w:b/>
          <w:bCs/>
          <w:color w:val="1F7A4D"/>
          <w:sz w:val="24"/>
          <w:szCs w:val="24"/>
        </w:rPr>
        <w:t xml:space="preserve">Cesar Agliardi Pereira</w:t>
      </w:r>
    </w:p>
    <w:p>
      <w:pPr>
        <w:spacing w:after="40" w:before="0"/>
        <w:jc w:val="center"/>
      </w:pPr>
      <w:r>
        <w:rPr>
          <w:rFonts w:ascii="Arial" w:cs="Arial" w:eastAsia="Arial" w:hAnsi="Arial"/>
          <w:color w:val="444444"/>
          <w:sz w:val="20"/>
          <w:szCs w:val="20"/>
        </w:rPr>
        <w:t xml:space="preserve">Independent Researcher — Theoretical Physics &amp; Risk Modelling</w:t>
      </w:r>
    </w:p>
    <w:p>
      <w:pPr>
        <w:spacing w:after="0" w:before="0"/>
        <w:jc w:val="center"/>
      </w:pPr>
      <w:r>
        <w:rPr>
          <w:rFonts w:ascii="Arial" w:cs="Arial" w:eastAsia="Arial" w:hAnsi="Arial"/>
          <w:color w:val="444444"/>
          <w:sz w:val="20"/>
          <w:szCs w:val="20"/>
        </w:rPr>
        <w:t xml:space="preserve">Gravataí, RS, Brazil · April 2026</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7A4D" w:sz="4" w:space="4"/>
      </w:pBdr>
      <w:jc w:val="center"/>
    </w:pPr>
    <w:r>
      <w:rPr>
        <w:rFonts w:ascii="Arial" w:cs="Arial" w:eastAsia="Arial" w:hAnsi="Arial"/>
        <w:color w:val="444444"/>
        <w:sz w:val="18"/>
        <w:szCs w:val="18"/>
      </w:rPr>
      <w:t xml:space="preserve">Confidential · Cesar Agliardi Pereira · Gravataí, RS, Brazil  |  Page </w:t>
    </w:r>
    <w:r>
      <w:rPr>
        <w:rFonts w:ascii="Arial" w:cs="Arial" w:eastAsia="Arial" w:hAnsi="Arial"/>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7A4D" w:sz="4" w:space="4"/>
      </w:pBdr>
    </w:pPr>
    <w:r>
      <w:rPr>
        <w:rFonts w:ascii="Arial" w:cs="Arial" w:eastAsia="Arial" w:hAnsi="Arial"/>
        <w:b/>
        <w:bCs/>
        <w:color w:val="1F7A4D"/>
        <w:sz w:val="18"/>
        <w:szCs w:val="18"/>
      </w:rPr>
      <w:t xml:space="preserve">BoviWatch  </w:t>
    </w:r>
    <w:r>
      <w:rPr>
        <w:rFonts w:ascii="Arial" w:cs="Arial" w:eastAsia="Arial" w:hAnsi="Arial"/>
        <w:color w:val="444444"/>
        <w:sz w:val="18"/>
        <w:szCs w:val="18"/>
      </w:rPr>
      <w:t xml:space="preserve">  Animal Welfare Digital Twin in Dairy Cattle</w:t>
    </w:r>
    <w:r>
      <w:rPr>
        <w:rFonts w:ascii="Arial" w:cs="Arial" w:eastAsia="Arial" w:hAnsi="Arial"/>
        <w:color w:val="444444"/>
        <w:sz w:val="18"/>
        <w:szCs w:val="18"/>
      </w:rPr>
      <w:t xml:space="preserve">          Submission InoCrowd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7A4D"/>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8B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2026-04-02T14:02:42.627Z</dcterms:created>
  <dcterms:modified xsi:type="dcterms:W3CDTF">2026-04-02T14:02:42.627Z</dcterms:modified>
</cp:coreProperties>
</file>

<file path=docProps/custom.xml><?xml version="1.0" encoding="utf-8"?>
<Properties xmlns="http://schemas.openxmlformats.org/officeDocument/2006/custom-properties" xmlns:vt="http://schemas.openxmlformats.org/officeDocument/2006/docPropsVTypes"/>
</file>