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9FD" w:rsidRPr="00E15E7F" w:rsidRDefault="00E15E7F" w:rsidP="00E15E7F">
      <w:proofErr w:type="spellStart"/>
      <w:r w:rsidRPr="00E15E7F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Antonio</w:t>
      </w:r>
      <w:proofErr w:type="spellEnd"/>
      <w:r w:rsidRPr="00E15E7F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Carlos Simões, Centro de Comunicação do Instituto de Pesca, www.pesca.sp.gov.br, 11 de abril de 2013</w:t>
      </w:r>
      <w:r>
        <w:rPr>
          <w:rStyle w:val="apple-converted-space"/>
          <w:rFonts w:ascii="Verdana" w:hAnsi="Verdana"/>
          <w:color w:val="0059B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59B5"/>
          <w:sz w:val="17"/>
          <w:szCs w:val="17"/>
        </w:rPr>
        <w:br/>
      </w:r>
      <w:r>
        <w:rPr>
          <w:rFonts w:ascii="Verdana" w:hAnsi="Verdana"/>
          <w:color w:val="0059B5"/>
          <w:sz w:val="17"/>
          <w:szCs w:val="17"/>
        </w:rPr>
        <w:br/>
      </w:r>
      <w:proofErr w:type="gram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“</w:t>
      </w:r>
      <w:proofErr w:type="gram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ECONOMIA SOLIDÁRIA na pesca e aquicultura” foi um dos temas de uma série de palestras ministradas durante a “XI Reunião Científica do Instituto de Pesca (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ReCIP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)”, realizada de 8 a 10 de abril pelo Instituto de Pesca da Secretaria de Agricultura e Abastecimento do Estado de São Paulo (SAA). Essa palestra foi proferida pelo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zootecnista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Newton José Rodrigues da Silva, newtonrodrigues@cati.sp.gov.br, especialista em economia social, economia do dom, terceiro setor, cooperativismo e associativismo, que trabalha como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extensionista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na CATI (Coordenadoria de Assistência Técnica Integral) da SAA. Newton fez doutorado em Aquicultura no CAUNESP, sendo parte dele desenvolvido na Franca, com especialistas na área de Sociologia. O seu trabalho aplica-se, basicamente, em diferentes comunidades pesqueiras e de artesãos do litoral paulista.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A economia solidária é integrada por um conjunto de iniciativas econômicas privadas, comumente de natureza cooperativista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associativista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autônomas em relação ao Estado, que valorizam o interesse coletivo e a solidariedade, explicou o estudioso. Segundo ele, essas iniciativas apresentam configurações fundamentadas em relações permanentes com o mercado ou mesmo </w:t>
      </w:r>
      <w:proofErr w:type="gram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não-monetárias</w:t>
      </w:r>
      <w:proofErr w:type="gram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baseadas no dom, caracterizando-se pelas ações de dar, receber e retribuir. “Assim, os trabalhos voluntários também se integram à economia solidária com a contribuição das ações individuais e familiares na economia, mas que não são computadas no cálculo das riquezas produzidas. As formas que contribuem para a economia solidária são cooperativas de consumo, cooperativas de produção e prestação de serviços, bancos populares, fundos rotativos e o voluntariado”, observou o palestrante, com base em estudos de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Lechat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França Filho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Laville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Citando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Bürgenmeier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, Newton Rodrigues acredita que a economia solidária possibilita a operacionalização da conhecida frase: “pensar globalmente e agir localmente” e não aponta nenhuma diferença de significado em relação à economia social, pois afirma que o cooperativismo, associativismo e todas as atividades regidas pelo dom integram o terceiro setor da sociedade organizada. “Essa afirmação, comum entre autores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francofônicos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, difere da interpretação da maioria dos autores brasileiros (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Lechat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), que consideram as cooperativas como integrantes do segundo setor por terem interesse econômico. Porém, as cooperativas familiares viabilizam o lucro para os seus integrantes, não havendo exploração da mais valia. Esse argumento reforça a ideia de que a economia solidária deve ser considerada como integrante do terceiro setor”, explicou Newton.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O palestrante fez referências também ao estudioso Singer, ao mencionar que a 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lastRenderedPageBreak/>
        <w:t>economia solidária teve origem na Europa, logo após o surgimento do capitalismo industrial, como resposta ao empobrecimento dos artesãos, provocado pela difusão do uso de máquinas. “No Brasil, as primeiras políticas públicas para o desenvolvimento foram elaboradas na década de 1990. Os eventos que marcaram o surgimento da economia solidária na Europa e no Brasil caracterizam-se como uma reação dos trabalhadores aos efeitos negativos do capitalismo. A situação atual da pesca artesanal e da aquicultura familiar é de grandes dificuldades e, de alguma forma, sua origem equivale à dos trabalhadores que foram os pioneiros a se organizar sob os fundamentos da economia solidária. A pesca artesanal enfrenta problemas como baixa remuneração e redução dos estoques de pescado. Em relação à aquicultura familiar, a paralisação das atividades pelos pequenos produtores é o principal efeito da concorrência com a aquicultura inserida no agronegócio. O poder público tem um importante papel para o fortalecimento da pesca artesanal e da aquicultura familiar, visto que é de interesse da sociedade que haja a sua reprodução social, produção de alimentos de boa qualidade e gestão compartilhada dos recursos naturais. A economia solidária pode responder a esses desafios.” Assim, Newton Rodrigues pergunta: como o poder público deve atuar para fortalecer a pesca artesanal e a aquicultura familiar, considerando os princípios da economia solidária?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Em sua apresentação, Newton relacionou algumas ações importantes do poder público para fortalecer a pesca artesanal e a aquicultura familiar: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- Estimular e apoiar </w:t>
      </w:r>
      <w:proofErr w:type="gram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as proximidades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As proximidades</w:t>
      </w:r>
      <w:proofErr w:type="gram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geográficas, profissionais ou organizacionais são facilitadores para a criação de coesão social e relações de solidariedade. Possibilita, ainda, a organização da cadeia produtiva de forma que haja uma distribuição mais equitativa dos lucros e agregação de valor aos produtos, associando-os ao território ou à forma de produção. Assim, pesquisadores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extensionistas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devem realizar estudos socioeconômicos para compreender a existência de proximidades e ativá-las, com o objetivo de construir a economia solidária.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- Disponibilizar serviço de extensão pesqueira e em aquicultura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É necessário que haja um serviço multidisciplinar para que se atenda às diferentes exigências da economia solidária. A atuação do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extensionista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não pode ser fundamentada na difusão de tecnologia. A sua ação deve contemplar o assessoramento técnico e organizacional baseado no construtivismo, com a valorização da participação. É de fundamental importância que os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extensionistas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atuem para a capacitação dos pescadores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aquicultores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para a gestão de negócios, associativismo e cooperativismo e para o acesso às políticas públicas que podem viabilizar a economia solidária, como o Programa 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lastRenderedPageBreak/>
        <w:t>de Aquisição de Alimentos, o Programa Nacional de Alimentação Escolar e o crédito disponibilizado pelo PRONAF, que são de âmbito federal.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- Realizar pesquisa-ação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A pesquisa deve ser realizada com a inserção dos pescadores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aquicultores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em todas as etapas da geração de tecnologia, valorizando os seus conhecimentos e necessidades. A atuação deve ser feita por uma equipe multidisciplinar de pesquisadores, que deve estar integrada às dinâmicas locais.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- Elaborar projetos de forma participativa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Os projetos devem ser elaborados de forma participativa. Os agentes do poder público têm de considerar sempre um dos princípios fundamentais da sociologia das redes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sociotécnicas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: “nenhum projeto se impõe pelas suas qualidades próprias; são as redes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sociotécnicas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que os viabilizam”, segundo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Amblard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. Projetos que representam somente a lógica de um técnico, liderança comunitária ou poder público têm grandes chances de não apresentar resultados positivos.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Finalizando, Newton Rodrigues revelou que a economia solidária pode viabilizar pescadores artesanais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aquicultores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familiares desde que o poder público atue de forma alinhada em seus diferentes níveis com a execução contínua de políticas que proporcionem a emergência de inovações construídas socialmente e possibilitem a sustentabilidade das atividades. Os pesquisadores e </w:t>
      </w:r>
      <w:proofErr w:type="spellStart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extensionistas</w:t>
      </w:r>
      <w:proofErr w:type="spellEnd"/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envolvidos nesse processo devem estimular a prática do dom e exercê-la, atuando de forma diferenciada, impulsionados pela missão de contribuir para a construção de uma nova sociedade.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 </w:t>
      </w:r>
      <w:r w:rsidRPr="00E15E7F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>
        <w:rPr>
          <w:rFonts w:ascii="Verdana" w:hAnsi="Verdana"/>
          <w:color w:val="0059B5"/>
          <w:sz w:val="17"/>
          <w:szCs w:val="17"/>
        </w:rPr>
        <w:br/>
      </w:r>
      <w:bookmarkStart w:id="0" w:name="_GoBack"/>
      <w:r w:rsidRPr="00E15E7F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Revisão do texto: Márcia Navarro </w:t>
      </w:r>
      <w:proofErr w:type="spellStart"/>
      <w:r w:rsidRPr="00E15E7F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Cipólli</w:t>
      </w:r>
      <w:proofErr w:type="spellEnd"/>
      <w:r w:rsidRPr="00E15E7F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proofErr w:type="gramStart"/>
      <w:r w:rsidRPr="00E15E7F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navarro98@gmail.com</w:t>
      </w:r>
      <w:proofErr w:type="gramEnd"/>
      <w:r>
        <w:rPr>
          <w:rStyle w:val="apple-converted-space"/>
          <w:rFonts w:ascii="Verdana" w:hAnsi="Verdana"/>
          <w:color w:val="0059B5"/>
          <w:sz w:val="17"/>
          <w:szCs w:val="17"/>
          <w:shd w:val="clear" w:color="auto" w:fill="FFFFFF"/>
        </w:rPr>
        <w:t> </w:t>
      </w:r>
      <w:bookmarkEnd w:id="0"/>
    </w:p>
    <w:sectPr w:rsidR="00D909FD" w:rsidRPr="00E15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7F"/>
    <w:rsid w:val="00D909FD"/>
    <w:rsid w:val="00E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15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1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1127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2013-04-18T18:34:00Z</dcterms:created>
  <dcterms:modified xsi:type="dcterms:W3CDTF">2013-04-18T18:39:00Z</dcterms:modified>
</cp:coreProperties>
</file>