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usuario</w:t>
      </w:r>
      <w:r>
        <w:t xml:space="preserve"> </w:t>
      </w:r>
      <w:r>
        <w:t xml:space="preserve">—</w:t>
      </w:r>
      <w:r>
        <w:t xml:space="preserve"> </w:t>
      </w:r>
      <w:r>
        <w:t xml:space="preserve">Transparencia</w:t>
      </w:r>
      <w:r>
        <w:t xml:space="preserve"> </w:t>
      </w:r>
      <w:r>
        <w:t xml:space="preserve">(Ley</w:t>
      </w:r>
      <w:r>
        <w:t xml:space="preserve"> </w:t>
      </w:r>
      <w:r>
        <w:t xml:space="preserve">1712)</w:t>
      </w:r>
    </w:p>
    <w:p>
      <w:pPr>
        <w:pStyle w:val="Author"/>
      </w:pPr>
      <w:r>
        <w:t xml:space="preserve">Plataforma</w:t>
      </w:r>
      <w:r>
        <w:t xml:space="preserve"> </w:t>
      </w:r>
      <w:r>
        <w:t xml:space="preserve">PublicEnt</w:t>
      </w:r>
    </w:p>
    <w:p>
      <w:pPr>
        <w:pStyle w:val="Date"/>
      </w:pPr>
      <w:r>
        <w:t xml:space="preserve">Módulo:</w:t>
      </w:r>
      <w:r>
        <w:t xml:space="preserve"> </w:t>
      </w:r>
      <w:r>
        <w:t xml:space="preserve">transparencia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transparencia-y-acceso-a-la-información"/>
      <w:r>
        <w:t xml:space="preserve">Transparencia y acceso a la información</w:t>
      </w:r>
      <w:bookmarkEnd w:id="20"/>
    </w:p>
    <w:p>
      <w:pPr>
        <w:pStyle w:val="Heading2"/>
      </w:pPr>
      <w:bookmarkStart w:id="21" w:name="para-quién"/>
      <w:r>
        <w:t xml:space="preserve">Para quién</w:t>
      </w:r>
      <w:bookmarkEnd w:id="21"/>
    </w:p>
    <w:p>
      <w:pPr>
        <w:pStyle w:val="FirstParagraph"/>
      </w:pPr>
      <w:r>
        <w:t xml:space="preserve">Administrador (ADMIN/EDITOR) responsable de la sección de transparencia.</w:t>
      </w:r>
    </w:p>
    <w:p>
      <w:pPr>
        <w:pStyle w:val="Heading2"/>
      </w:pPr>
      <w:bookmarkStart w:id="22" w:name="requisitos"/>
      <w:r>
        <w:t xml:space="preserve">Requisitos</w:t>
      </w:r>
      <w:bookmarkEnd w:id="22"/>
    </w:p>
    <w:p>
      <w:pPr>
        <w:pStyle w:val="FirstParagraph"/>
      </w:pPr>
      <w:r>
        <w:t xml:space="preserve">Módulo</w:t>
      </w:r>
      <w:r>
        <w:t xml:space="preserve"> </w:t>
      </w:r>
      <w:r>
        <w:rPr>
          <w:b/>
        </w:rPr>
        <w:t xml:space="preserve">transparencia</w:t>
      </w:r>
      <w:r>
        <w:t xml:space="preserve"> </w:t>
      </w:r>
      <w:r>
        <w:t xml:space="preserve">(núcleo). Depende de</w:t>
      </w:r>
      <w:r>
        <w:t xml:space="preserve"> </w:t>
      </w:r>
      <w:r>
        <w:rPr>
          <w:b/>
        </w:rPr>
        <w:t xml:space="preserve">sitio_web</w:t>
      </w:r>
      <w:r>
        <w:t xml:space="preserve">.</w:t>
      </w:r>
    </w:p>
    <w:p>
      <w:pPr>
        <w:pStyle w:val="Heading2"/>
      </w:pPr>
      <w:bookmarkStart w:id="23" w:name="qué-permite"/>
      <w:r>
        <w:t xml:space="preserve">Qué permite</w:t>
      </w:r>
      <w:bookmarkEnd w:id="23"/>
    </w:p>
    <w:p>
      <w:pPr>
        <w:pStyle w:val="FirstParagraph"/>
      </w:pPr>
      <w:r>
        <w:t xml:space="preserve">Publicar y mantener la información mínima obligatoria de la</w:t>
      </w:r>
      <w:r>
        <w:t xml:space="preserve"> </w:t>
      </w:r>
      <w:r>
        <w:rPr>
          <w:b/>
        </w:rPr>
        <w:t xml:space="preserve">Ley 1712 de 2014</w:t>
      </w:r>
      <w:r>
        <w:t xml:space="preserve">, organizada por categorías e ítems, con sus documentos asociados.</w:t>
      </w:r>
    </w:p>
    <w:p>
      <w:pPr>
        <w:pStyle w:val="Heading2"/>
      </w:pPr>
      <w:bookmarkStart w:id="24" w:name="acceso"/>
      <w:r>
        <w:t xml:space="preserve">Acceso</w:t>
      </w:r>
      <w:bookmarkEnd w:id="24"/>
    </w:p>
    <w:p>
      <w:pPr>
        <w:pStyle w:val="FirstParagraph"/>
      </w:pPr>
      <w:r>
        <w:t xml:space="preserve">Panel</w:t>
      </w:r>
      <w:r>
        <w:t xml:space="preserve"> </w:t>
      </w:r>
      <w:r>
        <w:rPr>
          <w:b/>
        </w:rPr>
        <w:t xml:space="preserve">/admin → Transparencia</w:t>
      </w:r>
      <w:r>
        <w:t xml:space="preserve">. El público la consulta en</w:t>
      </w:r>
      <w:r>
        <w:t xml:space="preserve"> </w:t>
      </w:r>
      <w:r>
        <w:rPr>
          <w:b/>
        </w:rPr>
        <w:t xml:space="preserve">/transparencia</w:t>
      </w:r>
      <w:r>
        <w:t xml:space="preserve">.</w:t>
      </w:r>
    </w:p>
    <w:p>
      <w:pPr>
        <w:pStyle w:val="Heading2"/>
      </w:pPr>
      <w:bookmarkStart w:id="25" w:name="tareas"/>
      <w:r>
        <w:t xml:space="preserve">Tareas</w:t>
      </w:r>
      <w:bookmarkEnd w:id="25"/>
    </w:p>
    <w:p>
      <w:pPr>
        <w:pStyle w:val="Heading3"/>
      </w:pPr>
      <w:bookmarkStart w:id="26" w:name="crear-una-categoría"/>
      <w:r>
        <w:t xml:space="preserve">Crear una categoría</w:t>
      </w:r>
      <w:bookmarkEnd w:id="2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Transparencia → Categorías → Nueva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Defina nombre y orden (corresponde a los numerales de la Ley 1712).</w:t>
      </w:r>
    </w:p>
    <w:p>
      <w:pPr>
        <w:pStyle w:val="Heading3"/>
      </w:pPr>
      <w:bookmarkStart w:id="27" w:name="publicar-un-ítem-o-documento"/>
      <w:r>
        <w:t xml:space="preserve">Publicar un ítem o documento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Entre a la categoría y use</w:t>
      </w:r>
      <w:r>
        <w:t xml:space="preserve"> </w:t>
      </w:r>
      <w:r>
        <w:rPr>
          <w:b/>
        </w:rPr>
        <w:t xml:space="preserve">Nuevo ítem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Cargue el documento o enlace, con título y fecha.</w:t>
      </w:r>
    </w:p>
    <w:p>
      <w:pPr>
        <w:numPr>
          <w:ilvl w:val="0"/>
          <w:numId w:val="1002"/>
        </w:numPr>
        <w:pStyle w:val="Compact"/>
      </w:pPr>
      <w:r>
        <w:t xml:space="preserve">Guarde; queda visible en la categoría pública correspondiente.</w:t>
      </w:r>
    </w:p>
    <w:p>
      <w:pPr>
        <w:pStyle w:val="Heading3"/>
      </w:pPr>
      <w:bookmarkStart w:id="28" w:name="verificación"/>
      <w:r>
        <w:t xml:space="preserve">Verificación</w:t>
      </w:r>
      <w:bookmarkEnd w:id="28"/>
    </w:p>
    <w:p>
      <w:pPr>
        <w:pStyle w:val="FirstParagraph"/>
      </w:pPr>
      <w:r>
        <w:t xml:space="preserve">Revise en</w:t>
      </w:r>
      <w:r>
        <w:t xml:space="preserve"> </w:t>
      </w:r>
      <w:r>
        <w:rPr>
          <w:b/>
        </w:rPr>
        <w:t xml:space="preserve">/transparencia</w:t>
      </w:r>
      <w:r>
        <w:t xml:space="preserve"> </w:t>
      </w:r>
      <w:r>
        <w:t xml:space="preserve">que cada numeral obligatorio tenga contenido. Este módulo alimenta el indicador</w:t>
      </w:r>
      <w:r>
        <w:t xml:space="preserve"> </w:t>
      </w:r>
      <w:r>
        <w:rPr>
          <w:b/>
        </w:rPr>
        <w:t xml:space="preserve">FURAG POL03 (Transparencia)</w:t>
      </w:r>
      <w:r>
        <w:t xml:space="preserve">.</w:t>
      </w:r>
    </w:p>
    <w:p>
      <w:pPr>
        <w:pStyle w:val="Heading2"/>
      </w:pPr>
      <w:bookmarkStart w:id="29" w:name="notas-generales"/>
      <w:r>
        <w:t xml:space="preserve">Notas generales</w:t>
      </w:r>
      <w:bookmarkEnd w:id="29"/>
    </w:p>
    <w:p>
      <w:pPr>
        <w:numPr>
          <w:ilvl w:val="0"/>
          <w:numId w:val="1003"/>
        </w:numPr>
        <w:pStyle w:val="Compact"/>
      </w:pPr>
      <w:r>
        <w:t xml:space="preserve">Los</w:t>
      </w:r>
      <w:r>
        <w:t xml:space="preserve"> </w:t>
      </w:r>
      <w:r>
        <w:rPr>
          <w:b/>
        </w:rPr>
        <w:t xml:space="preserve">plazos en días hábiles</w:t>
      </w:r>
      <w:r>
        <w:t xml:space="preserve"> </w:t>
      </w:r>
      <w:r>
        <w:t xml:space="preserve">(términos legales) respetan la</w:t>
      </w:r>
      <w:r>
        <w:t xml:space="preserve"> </w:t>
      </w:r>
      <w:r>
        <w:rPr>
          <w:b/>
        </w:rPr>
        <w:t xml:space="preserve">Ley Emiliani</w:t>
      </w:r>
      <w:r>
        <w:t xml:space="preserve">: se excluyen sábados, domingos y festivos colombianos, con traslado de festivos al lunes. El cálculo es central (</w:t>
      </w:r>
      <w:r>
        <w:rPr>
          <w:rStyle w:val="VerbatimChar"/>
        </w:rPr>
        <w:t xml:space="preserve">dias-habiles.ts</w:t>
      </w:r>
      <w:r>
        <w:t xml:space="preserve">) y consistente entre módulos.</w:t>
      </w:r>
    </w:p>
    <w:p>
      <w:pPr>
        <w:numPr>
          <w:ilvl w:val="0"/>
          <w:numId w:val="1003"/>
        </w:numPr>
        <w:pStyle w:val="Compact"/>
      </w:pPr>
      <w:r>
        <w:t xml:space="preserve">Donde interviene</w:t>
      </w:r>
      <w:r>
        <w:t xml:space="preserve"> </w:t>
      </w:r>
      <w:r>
        <w:rPr>
          <w:b/>
        </w:rPr>
        <w:t xml:space="preserve">IA</w:t>
      </w:r>
      <w:r>
        <w:t xml:space="preserve">, el principio es</w:t>
      </w:r>
      <w:r>
        <w:t xml:space="preserve"> </w:t>
      </w:r>
      <w:r>
        <w:rPr>
          <w:b/>
        </w:rPr>
        <w:t xml:space="preserve">la IA sugiere y el funcionario decide</w:t>
      </w:r>
      <w:r>
        <w:t xml:space="preserve">: ninguna acción legal se ejecuta sin confirmación humana.</w:t>
      </w:r>
    </w:p>
    <w:p>
      <w:pPr>
        <w:numPr>
          <w:ilvl w:val="0"/>
          <w:numId w:val="1003"/>
        </w:numPr>
        <w:pStyle w:val="Compact"/>
      </w:pPr>
      <w:r>
        <w:t xml:space="preserve">Los roles del sistema son</w:t>
      </w:r>
      <w:r>
        <w:t xml:space="preserve"> </w:t>
      </w:r>
      <w:r>
        <w:rPr>
          <w:b/>
        </w:rPr>
        <w:t xml:space="preserve">SUPER_ADMIN, ADMIN, EDITOR, USER</w:t>
      </w:r>
      <w:r>
        <w:t xml:space="preserve">. Cada manual indica qué rol realiza cada tarea.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Transparencia (Ley 1712)</dc:title>
  <dc:creator>Plataforma PublicEnt</dc:creator>
  <cp:keywords/>
  <dcterms:created xsi:type="dcterms:W3CDTF">2026-06-03T20:25:07Z</dcterms:created>
  <dcterms:modified xsi:type="dcterms:W3CDTF">2026-06-03T20:25:07Z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Módulo: transparencia</vt:lpwstr>
  </property>
</Properties>
</file>