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Ventanilla</w:t>
      </w:r>
      <w:r>
        <w:t xml:space="preserve"> </w:t>
      </w:r>
      <w:r>
        <w:t xml:space="preserve">Única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ventanilla_unica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ventanilla-única-con-ia"/>
      <w:r>
        <w:t xml:space="preserve">Ventanilla Única (con IA)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Funcionario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Supervisor</w:t>
      </w:r>
      <w:r>
        <w:t xml:space="preserve"> </w:t>
      </w:r>
      <w:r>
        <w:t xml:space="preserve">(ADMIN/EDITOR) que gestionan la bandeja de PQRSD.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ventanilla_unica</w:t>
      </w:r>
      <w:r>
        <w:t xml:space="preserve">. Depende de</w:t>
      </w:r>
      <w:r>
        <w:t xml:space="preserve"> </w:t>
      </w:r>
      <w:r>
        <w:rPr>
          <w:b/>
        </w:rPr>
        <w:t xml:space="preserve">pqrsd</w:t>
      </w:r>
      <w:r>
        <w:t xml:space="preserve">. Reemplaza/enriquece la atención básica.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Clasificación automática de PQRSD con IA (tipo, prioridad, dependencia y término legal sugeridos),</w:t>
      </w:r>
      <w:r>
        <w:t xml:space="preserve"> </w:t>
      </w:r>
      <w:r>
        <w:rPr>
          <w:b/>
        </w:rPr>
        <w:t xml:space="preserve">semáforo</w:t>
      </w:r>
      <w:r>
        <w:t xml:space="preserve"> </w:t>
      </w:r>
      <w:r>
        <w:t xml:space="preserve">de vencimiento (CPACA / Ley 1437), asignación a funcionarios, tipos de respuesta formales y, opcionalmente,</w:t>
      </w:r>
      <w:r>
        <w:t xml:space="preserve"> </w:t>
      </w:r>
      <w:r>
        <w:rPr>
          <w:b/>
        </w:rPr>
        <w:t xml:space="preserve">delegación a un sistema externo</w:t>
      </w:r>
      <w:r>
        <w:t xml:space="preserve"> </w:t>
      </w:r>
      <w:r>
        <w:t xml:space="preserve">(configurando su URL de API).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Ventanilla</w:t>
      </w:r>
      <w:r>
        <w:t xml:space="preserve">:</w:t>
      </w:r>
      <w:r>
        <w:t xml:space="preserve"> </w:t>
      </w:r>
      <w:r>
        <w:rPr>
          <w:i/>
        </w:rPr>
        <w:t xml:space="preserve">Bandeja de radicados PQRSD</w:t>
      </w:r>
      <w:r>
        <w:t xml:space="preserve"> </w:t>
      </w:r>
      <w:r>
        <w:t xml:space="preserve">con columnas Radicado, Solicitante, Tipo, Prioridad, Estado, Asignado a, Semáforo y Vence. Filtros por estado/prioridad y búsqueda.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revisar-la-clasificación-de-ia"/>
      <w:r>
        <w:t xml:space="preserve">Revisar la clasificación de IA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Abra un radicado de la bandeja.</w:t>
      </w:r>
    </w:p>
    <w:p>
      <w:pPr>
        <w:numPr>
          <w:ilvl w:val="0"/>
          <w:numId w:val="1001"/>
        </w:numPr>
        <w:pStyle w:val="Compact"/>
      </w:pPr>
      <w:r>
        <w:t xml:space="preserve">El sistema muestra la</w:t>
      </w:r>
      <w:r>
        <w:t xml:space="preserve"> </w:t>
      </w:r>
      <w:r>
        <w:rPr>
          <w:b/>
        </w:rPr>
        <w:t xml:space="preserve">sugerencia de IA</w:t>
      </w:r>
      <w:r>
        <w:t xml:space="preserve">: tipo, prioridad, dependencia y funcionario sugeridos y el término legal.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Confirme o corrija</w:t>
      </w:r>
      <w:r>
        <w:t xml:space="preserve"> </w:t>
      </w:r>
      <w:r>
        <w:t xml:space="preserve">(la IA sugiere; usted decide).</w:t>
      </w:r>
    </w:p>
    <w:p>
      <w:pPr>
        <w:pStyle w:val="Heading3"/>
      </w:pPr>
      <w:bookmarkStart w:id="27" w:name="asignar-reasignar"/>
      <w:r>
        <w:t xml:space="preserve">Asignar / reasignar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Asigne el radicado a la dependencia/funcionario.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reasignar</w:t>
      </w:r>
      <w:r>
        <w:t xml:space="preserve"> </w:t>
      </w:r>
      <w:r>
        <w:t xml:space="preserve">si corresponde a otra área; queda trazado.</w:t>
      </w:r>
    </w:p>
    <w:p>
      <w:pPr>
        <w:pStyle w:val="Heading3"/>
      </w:pPr>
      <w:bookmarkStart w:id="28" w:name="responder"/>
      <w:r>
        <w:t xml:space="preserve">Responder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responder</w:t>
      </w:r>
      <w:r>
        <w:t xml:space="preserve"> </w:t>
      </w:r>
      <w:r>
        <w:t xml:space="preserve">y elija el tipo de respuesta (competente, remisión, traslado, insistencia, desistimiento, improcedente).</w:t>
      </w:r>
    </w:p>
    <w:p>
      <w:pPr>
        <w:numPr>
          <w:ilvl w:val="0"/>
          <w:numId w:val="1003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semáforo</w:t>
      </w:r>
      <w:r>
        <w:t xml:space="preserve"> </w:t>
      </w:r>
      <w:r>
        <w:t xml:space="preserve">(verde/amarillo/rojo/negro) refleja el tiempo restante hasta el vencimiento en días hábiles.</w:t>
      </w:r>
    </w:p>
    <w:p>
      <w:pPr>
        <w:pStyle w:val="Heading3"/>
      </w:pPr>
      <w:bookmarkStart w:id="29" w:name="demografía-furag"/>
      <w:r>
        <w:t xml:space="preserve">Demografía (FURAG)</w:t>
      </w:r>
      <w:bookmarkEnd w:id="29"/>
    </w:p>
    <w:p>
      <w:pPr>
        <w:pStyle w:val="FirstParagraph"/>
      </w:pPr>
      <w:r>
        <w:t xml:space="preserve">Los datos demográficos voluntarios del ciudadano alimentan el indicador</w:t>
      </w:r>
      <w:r>
        <w:t xml:space="preserve"> </w:t>
      </w:r>
      <w:r>
        <w:rPr>
          <w:b/>
        </w:rPr>
        <w:t xml:space="preserve">FURAG POL06</w:t>
      </w:r>
      <w:r>
        <w:t xml:space="preserve">.</w:t>
      </w:r>
    </w:p>
    <w:p>
      <w:pPr>
        <w:pStyle w:val="Heading2"/>
      </w:pPr>
      <w:bookmarkStart w:id="30" w:name="notas-del-módulo"/>
      <w:r>
        <w:t xml:space="preserve">Notas del módulo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vencimiento</w:t>
      </w:r>
      <w:r>
        <w:t xml:space="preserve"> </w:t>
      </w:r>
      <w:r>
        <w:t xml:space="preserve">usa días hábiles + Ley Emiliani, igual que la ruta base.</w:t>
      </w:r>
    </w:p>
    <w:p>
      <w:pPr>
        <w:numPr>
          <w:ilvl w:val="0"/>
          <w:numId w:val="1004"/>
        </w:numPr>
        <w:pStyle w:val="Compact"/>
      </w:pPr>
      <w:r>
        <w:t xml:space="preserve">Si la entidad configuró una</w:t>
      </w:r>
      <w:r>
        <w:t xml:space="preserve"> </w:t>
      </w:r>
      <w:r>
        <w:rPr>
          <w:b/>
        </w:rPr>
        <w:t xml:space="preserve">URL de sistema externo</w:t>
      </w:r>
      <w:r>
        <w:t xml:space="preserve">, la Ventanilla puede delegar la gestión a ese sistema.</w:t>
      </w:r>
    </w:p>
    <w:p>
      <w:pPr>
        <w:pStyle w:val="Heading2"/>
      </w:pPr>
      <w:bookmarkStart w:id="31" w:name="notas-generales"/>
      <w:r>
        <w:t xml:space="preserve">Notas generales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(términos legales) respetan la</w:t>
      </w:r>
      <w:r>
        <w:t xml:space="preserve"> </w:t>
      </w:r>
      <w:r>
        <w:rPr>
          <w:b/>
        </w:rPr>
        <w:t xml:space="preserve">Ley Emiliani</w:t>
      </w:r>
      <w:r>
        <w:t xml:space="preserve">: se excluyen sábados, domingos y festivos colombianos, con traslado de festivos al lunes. El cálculo es central (</w:t>
      </w:r>
      <w:r>
        <w:rPr>
          <w:rStyle w:val="VerbatimChar"/>
        </w:rPr>
        <w:t xml:space="preserve">dias-habiles.ts</w:t>
      </w:r>
      <w:r>
        <w:t xml:space="preserve">) y consistente entre módulos.</w:t>
      </w:r>
    </w:p>
    <w:p>
      <w:pPr>
        <w:numPr>
          <w:ilvl w:val="0"/>
          <w:numId w:val="1005"/>
        </w:numPr>
        <w:pStyle w:val="Compact"/>
      </w:pPr>
      <w:r>
        <w:t xml:space="preserve">Donde interviene</w:t>
      </w:r>
      <w:r>
        <w:t xml:space="preserve"> </w:t>
      </w:r>
      <w:r>
        <w:rPr>
          <w:b/>
        </w:rPr>
        <w:t xml:space="preserve">IA</w:t>
      </w:r>
      <w:r>
        <w:t xml:space="preserve">, el principio es</w:t>
      </w:r>
      <w:r>
        <w:t xml:space="preserve"> </w:t>
      </w:r>
      <w:r>
        <w:rPr>
          <w:b/>
        </w:rPr>
        <w:t xml:space="preserve">la IA sugiere y el funcionario decide</w:t>
      </w:r>
      <w:r>
        <w:t xml:space="preserve">: ninguna acción legal se ejecuta sin confirmación humana.</w:t>
      </w:r>
    </w:p>
    <w:p>
      <w:pPr>
        <w:numPr>
          <w:ilvl w:val="0"/>
          <w:numId w:val="1005"/>
        </w:numPr>
        <w:pStyle w:val="Compact"/>
      </w:pPr>
      <w:r>
        <w:t xml:space="preserve">Los roles del sistema son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 Cada manual indica qué rol realiza cada tarea.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Ventanilla Única</dc:title>
  <dc:creator>Plataforma PublicEnt</dc:creator>
  <cp:keywords/>
  <dcterms:created xsi:type="dcterms:W3CDTF">2026-06-03T20:25:07Z</dcterms:created>
  <dcterms:modified xsi:type="dcterms:W3CDTF">2026-06-03T20:25:07Z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ventanilla_unica</vt:lpwstr>
  </property>
</Properties>
</file>