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MIPG</w:t>
      </w:r>
      <w:r>
        <w:t xml:space="preserve"> </w:t>
      </w:r>
      <w:r>
        <w:t xml:space="preserve">y</w:t>
      </w:r>
      <w:r>
        <w:t xml:space="preserve"> </w:t>
      </w:r>
      <w:r>
        <w:t xml:space="preserve">FURAG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mipg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mipg-y-furag"/>
      <w:r>
        <w:t xml:space="preserve">MIPG y FURAG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Enlace MIPG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Administrador</w:t>
      </w:r>
      <w:r>
        <w:t xml:space="preserve"> </w:t>
      </w:r>
      <w:r>
        <w:t xml:space="preserve">(ADMIN) responsables del reporte institucional.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mipg</w:t>
      </w:r>
      <w:r>
        <w:t xml:space="preserve">. Depende de</w:t>
      </w:r>
      <w:r>
        <w:t xml:space="preserve"> </w:t>
      </w:r>
      <w:r>
        <w:rPr>
          <w:b/>
        </w:rPr>
        <w:t xml:space="preserve">sitio_web</w:t>
      </w:r>
      <w:r>
        <w:t xml:space="preserve">. Los indicadores se alimentan de los módulos activos (PQRSD/VU, Gestión Documental, Transparencia).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Tablero MIPG por dimensiones y políticas,</w:t>
      </w:r>
      <w:r>
        <w:t xml:space="preserve"> </w:t>
      </w:r>
      <w:r>
        <w:rPr>
          <w:b/>
        </w:rPr>
        <w:t xml:space="preserve">estado del FURAG</w:t>
      </w:r>
      <w:r>
        <w:t xml:space="preserve">, evaluación de indicadores, carga de evidencias y</w:t>
      </w:r>
      <w:r>
        <w:t xml:space="preserve"> </w:t>
      </w:r>
      <w:r>
        <w:rPr>
          <w:b/>
        </w:rPr>
        <w:t xml:space="preserve">alerta de vigencia</w:t>
      </w:r>
      <w:r>
        <w:t xml:space="preserve"> </w:t>
      </w:r>
      <w:r>
        <w:t xml:space="preserve">de la ventana de reporte FURAG (DAFP, octubre→marzo).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MIPG</w:t>
      </w:r>
      <w:r>
        <w:t xml:space="preserve">: Dashboard MIPG con</w:t>
      </w:r>
      <w:r>
        <w:t xml:space="preserve"> </w:t>
      </w:r>
      <w:r>
        <w:rPr>
          <w:i/>
        </w:rPr>
        <w:t xml:space="preserve">Índice de Desempeño (IDI)</w:t>
      </w:r>
      <w:r>
        <w:t xml:space="preserve">,</w:t>
      </w:r>
      <w:r>
        <w:t xml:space="preserve"> </w:t>
      </w:r>
      <w:r>
        <w:rPr>
          <w:i/>
        </w:rPr>
        <w:t xml:space="preserve">Desempeño por Dimensión</w:t>
      </w:r>
      <w:r>
        <w:t xml:space="preserve">,</w:t>
      </w:r>
      <w:r>
        <w:t xml:space="preserve"> </w:t>
      </w:r>
      <w:r>
        <w:rPr>
          <w:i/>
        </w:rPr>
        <w:t xml:space="preserve">Políticas Evaluadas</w:t>
      </w:r>
      <w:r>
        <w:t xml:space="preserve">,</w:t>
      </w:r>
      <w:r>
        <w:t xml:space="preserve"> </w:t>
      </w:r>
      <w:r>
        <w:rPr>
          <w:i/>
        </w:rPr>
        <w:t xml:space="preserve">Evidencias confirmadas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Estado del FURAG</w:t>
      </w:r>
      <w:r>
        <w:t xml:space="preserve">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revisar-indicadores-furag"/>
      <w:r>
        <w:t xml:space="preserve">Revisar indicadores FURAG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Abra</w:t>
      </w:r>
      <w:r>
        <w:t xml:space="preserve"> </w:t>
      </w:r>
      <w:r>
        <w:rPr>
          <w:b/>
        </w:rPr>
        <w:t xml:space="preserve">MIPG → Evaluación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Revise los indicadores que se autoalimentan: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POL06 — Atención al ciudadano</w:t>
      </w:r>
      <w:r>
        <w:t xml:space="preserve">: oportunidad de PQRSD + cobertura demográfica (requiere pqrsd / ventanilla_unica).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POL07 — Gestión documental</w:t>
      </w:r>
      <w:r>
        <w:t xml:space="preserve">: radicados, TRD y expedientes (requiere gestion_documental).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POL03 — Transparencia</w:t>
      </w:r>
      <w:r>
        <w:t xml:space="preserve">: ítems Ley 1712 publicados (requiere transparencia).</w:t>
      </w:r>
    </w:p>
    <w:p>
      <w:pPr>
        <w:pStyle w:val="Heading3"/>
      </w:pPr>
      <w:bookmarkStart w:id="27" w:name="cargar-evidencias"/>
      <w:r>
        <w:t xml:space="preserve">Cargar evidencias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En</w:t>
      </w:r>
      <w:r>
        <w:t xml:space="preserve"> </w:t>
      </w:r>
      <w:r>
        <w:rPr>
          <w:b/>
        </w:rPr>
        <w:t xml:space="preserve">MIPG → Evidencias</w:t>
      </w:r>
      <w:r>
        <w:t xml:space="preserve">, suba los soportes por política.</w:t>
      </w:r>
    </w:p>
    <w:p>
      <w:pPr>
        <w:numPr>
          <w:ilvl w:val="0"/>
          <w:numId w:val="1003"/>
        </w:numPr>
        <w:pStyle w:val="Compact"/>
      </w:pPr>
      <w:r>
        <w:t xml:space="preserve">Confirme las evidencias; el tablero refleja el avance.</w:t>
      </w:r>
    </w:p>
    <w:p>
      <w:pPr>
        <w:pStyle w:val="Heading3"/>
      </w:pPr>
      <w:bookmarkStart w:id="28" w:name="alerta-de-vigencia-furag"/>
      <w:r>
        <w:t xml:space="preserve">Alerta de vigencia FURAG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El sistema indica el</w:t>
      </w:r>
      <w:r>
        <w:t xml:space="preserve"> </w:t>
      </w:r>
      <w:r>
        <w:rPr>
          <w:b/>
        </w:rPr>
        <w:t xml:space="preserve">estado de la vigencia</w:t>
      </w:r>
      <w:r>
        <w:t xml:space="preserve"> </w:t>
      </w:r>
      <w:r>
        <w:t xml:space="preserve">(INFORMATIVA, ADVERTENCIA, URGENTE, CRÍTICA o VENCIDA) y los días restantes hasta el cierre.</w:t>
      </w:r>
    </w:p>
    <w:p>
      <w:pPr>
        <w:numPr>
          <w:ilvl w:val="0"/>
          <w:numId w:val="1004"/>
        </w:numPr>
        <w:pStyle w:val="Compact"/>
      </w:pPr>
      <w:r>
        <w:t xml:space="preserve">La ventana del DAFP va de</w:t>
      </w:r>
      <w:r>
        <w:t xml:space="preserve"> </w:t>
      </w:r>
      <w:r>
        <w:rPr>
          <w:b/>
        </w:rPr>
        <w:t xml:space="preserve">octubre del año de vigencia a marzo del año siguiente</w:t>
      </w:r>
      <w:r>
        <w:t xml:space="preserve"> </w:t>
      </w:r>
      <w:r>
        <w:t xml:space="preserve">(por defecto cierre 31 de marzo).</w:t>
      </w:r>
    </w:p>
    <w:p>
      <w:pPr>
        <w:pStyle w:val="Heading2"/>
      </w:pPr>
      <w:bookmarkStart w:id="29" w:name="notas-del-módulo"/>
      <w:r>
        <w:t xml:space="preserve">Notas del módulo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A mayor número de módulos activos, mayor cobertura automática de indicadores FURAG.</w:t>
      </w:r>
    </w:p>
    <w:p>
      <w:pPr>
        <w:numPr>
          <w:ilvl w:val="0"/>
          <w:numId w:val="1005"/>
        </w:numPr>
        <w:pStyle w:val="Compact"/>
      </w:pPr>
      <w:r>
        <w:t xml:space="preserve">Las fechas de la ventana se calculan en UTC para no desfasar el día de cierre.</w:t>
      </w:r>
    </w:p>
    <w:p>
      <w:pPr>
        <w:pStyle w:val="Heading2"/>
      </w:pPr>
      <w:bookmarkStart w:id="30" w:name="notas-generales"/>
      <w:r>
        <w:t xml:space="preserve">Notas generales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(términos legales) respetan la</w:t>
      </w:r>
      <w:r>
        <w:t xml:space="preserve"> </w:t>
      </w:r>
      <w:r>
        <w:rPr>
          <w:b/>
        </w:rPr>
        <w:t xml:space="preserve">Ley Emiliani</w:t>
      </w:r>
      <w:r>
        <w:t xml:space="preserve">: se excluyen sábados, domingos y festivos colombianos, con traslado de festivos al lunes. El cálculo es central (</w:t>
      </w:r>
      <w:r>
        <w:rPr>
          <w:rStyle w:val="VerbatimChar"/>
        </w:rPr>
        <w:t xml:space="preserve">dias-habiles.ts</w:t>
      </w:r>
      <w:r>
        <w:t xml:space="preserve">) y consistente entre módulos.</w:t>
      </w:r>
    </w:p>
    <w:p>
      <w:pPr>
        <w:numPr>
          <w:ilvl w:val="0"/>
          <w:numId w:val="1006"/>
        </w:numPr>
        <w:pStyle w:val="Compact"/>
      </w:pPr>
      <w:r>
        <w:t xml:space="preserve">Donde interviene</w:t>
      </w:r>
      <w:r>
        <w:t xml:space="preserve"> </w:t>
      </w:r>
      <w:r>
        <w:rPr>
          <w:b/>
        </w:rPr>
        <w:t xml:space="preserve">IA</w:t>
      </w:r>
      <w:r>
        <w:t xml:space="preserve">, el principio es</w:t>
      </w:r>
      <w:r>
        <w:t xml:space="preserve"> </w:t>
      </w:r>
      <w:r>
        <w:rPr>
          <w:b/>
        </w:rPr>
        <w:t xml:space="preserve">la IA sugiere y el funcionario decide</w:t>
      </w:r>
      <w:r>
        <w:t xml:space="preserve">: ninguna acción legal se ejecuta sin confirmación humana.</w:t>
      </w:r>
    </w:p>
    <w:p>
      <w:pPr>
        <w:numPr>
          <w:ilvl w:val="0"/>
          <w:numId w:val="1006"/>
        </w:numPr>
        <w:pStyle w:val="Compact"/>
      </w:pPr>
      <w:r>
        <w:t xml:space="preserve">Los roles del sistema son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 Cada manual indica qué rol realiza cada tarea.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MIPG y FURAG</dc:title>
  <dc:creator>Plataforma PublicEnt</dc:creator>
  <cp:keywords/>
  <dcterms:created xsi:type="dcterms:W3CDTF">2026-06-03T20:25:07Z</dcterms:created>
  <dcterms:modified xsi:type="dcterms:W3CDTF">2026-06-03T20:25:07Z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mipg</vt:lpwstr>
  </property>
</Properties>
</file>