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Presupuesto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Módulos:</w:t>
      </w:r>
      <w:r>
        <w:t xml:space="preserve"> </w:t>
      </w:r>
      <w:r>
        <w:t xml:space="preserve">presupuesto_formulacion,</w:t>
      </w:r>
      <w:r>
        <w:t xml:space="preserve"> </w:t>
      </w:r>
      <w:r>
        <w:t xml:space="preserve">presupuesto_ejecucion,</w:t>
      </w:r>
      <w:r>
        <w:t xml:space="preserve"> </w:t>
      </w:r>
      <w:r>
        <w:t xml:space="preserve">presupuesto_modificaciones,</w:t>
      </w:r>
      <w:r>
        <w:t xml:space="preserve"> </w:t>
      </w:r>
      <w:r>
        <w:t xml:space="preserve">presupuesto_cierre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resupuesto-público-ccpet"/>
      <w:r>
        <w:t xml:space="preserve">Presupuesto público (CCPET)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Presupuesto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 financiero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rPr>
          <w:b/>
        </w:rPr>
        <w:t xml:space="preserve">presupuesto_formulacion</w:t>
      </w:r>
      <w:r>
        <w:t xml:space="preserve"> </w:t>
      </w:r>
      <w:r>
        <w:t xml:space="preserve">(depende de contabilidad) →</w:t>
      </w:r>
      <w:r>
        <w:t xml:space="preserve"> </w:t>
      </w:r>
      <w:r>
        <w:rPr>
          <w:b/>
        </w:rPr>
        <w:t xml:space="preserve">presupuesto_ejecucion</w:t>
      </w:r>
      <w:r>
        <w:t xml:space="preserve"> </w:t>
      </w:r>
      <w:r>
        <w:t xml:space="preserve">→ (</w:t>
      </w:r>
      <w:r>
        <w:rPr>
          <w:b/>
        </w:rPr>
        <w:t xml:space="preserve">modificaciones</w:t>
      </w:r>
      <w:r>
        <w:t xml:space="preserve">,</w:t>
      </w:r>
      <w:r>
        <w:t xml:space="preserve"> </w:t>
      </w:r>
      <w:r>
        <w:rPr>
          <w:b/>
        </w:rPr>
        <w:t xml:space="preserve">cierre</w:t>
      </w:r>
      <w:r>
        <w:t xml:space="preserve">, tesorería, contratación). Al activar ejecución se siembran ~1.784 rubros</w:t>
      </w:r>
      <w:r>
        <w:t xml:space="preserve"> </w:t>
      </w:r>
      <w:r>
        <w:rPr>
          <w:b/>
        </w:rPr>
        <w:t xml:space="preserve">CCPET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La cadena del gasto público:</w:t>
      </w:r>
      <w:r>
        <w:t xml:space="preserve"> </w:t>
      </w:r>
      <w:r>
        <w:rPr>
          <w:b/>
        </w:rPr>
        <w:t xml:space="preserve">CDP → RP → Obligación → Pago</w:t>
      </w:r>
      <w:r>
        <w:t xml:space="preserve">, con control de saldos en tiempo real y generación automática del comprobante contable al pagar.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Presupuesto</w:t>
      </w:r>
      <w:r>
        <w:t xml:space="preserve">: KPIs</w:t>
      </w:r>
      <w:r>
        <w:t xml:space="preserve"> </w:t>
      </w:r>
      <w:r>
        <w:rPr>
          <w:b/>
        </w:rPr>
        <w:t xml:space="preserve">Apropiado, Comprometido, Obligado, Pagado, Disponible</w:t>
      </w:r>
      <w:r>
        <w:t xml:space="preserve">; tabla</w:t>
      </w:r>
      <w:r>
        <w:t xml:space="preserve"> </w:t>
      </w:r>
      <w:r>
        <w:rPr>
          <w:b/>
        </w:rPr>
        <w:t xml:space="preserve">Ejecución por rubro</w:t>
      </w:r>
      <w:r>
        <w:t xml:space="preserve"> </w:t>
      </w:r>
      <w:r>
        <w:t xml:space="preserve">y últimos CDP/RP.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apropiación"/>
      <w:r>
        <w:t xml:space="preserve">Apropiación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Cree el</w:t>
      </w:r>
      <w:r>
        <w:t xml:space="preserve"> </w:t>
      </w:r>
      <w:r>
        <w:rPr>
          <w:b/>
        </w:rPr>
        <w:t xml:space="preserve">rubro</w:t>
      </w:r>
      <w:r>
        <w:t xml:space="preserve"> </w:t>
      </w:r>
      <w:r>
        <w:t xml:space="preserve">(CCPET) y registre su</w:t>
      </w:r>
      <w:r>
        <w:t xml:space="preserve"> </w:t>
      </w:r>
      <w:r>
        <w:rPr>
          <w:b/>
        </w:rPr>
        <w:t xml:space="preserve">apropiación</w:t>
      </w:r>
      <w:r>
        <w:t xml:space="preserve"> </w:t>
      </w:r>
      <w:r>
        <w:t xml:space="preserve">para la vigencia (inicial + adiciones − reducciones).</w:t>
      </w:r>
    </w:p>
    <w:p>
      <w:pPr>
        <w:pStyle w:val="Heading3"/>
      </w:pPr>
      <w:bookmarkStart w:id="27" w:name="cadena-de-ejecución"/>
      <w:r>
        <w:t xml:space="preserve">Cadena de ejecución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CDP</w:t>
      </w:r>
      <w:r>
        <w:t xml:space="preserve"> </w:t>
      </w:r>
      <w:r>
        <w:t xml:space="preserve">(Certificado de Disponibilidad): valida</w:t>
      </w:r>
      <w:r>
        <w:t xml:space="preserve"> </w:t>
      </w:r>
      <w:r>
        <w:rPr>
          <w:rStyle w:val="VerbatimChar"/>
        </w:rPr>
        <w:t xml:space="preserve">valor ≤ saldo de apropiación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RP</w:t>
      </w:r>
      <w:r>
        <w:t xml:space="preserve"> </w:t>
      </w:r>
      <w:r>
        <w:t xml:space="preserve">(Registro Presupuestal): contra un CDP vigente; valida</w:t>
      </w:r>
      <w:r>
        <w:t xml:space="preserve"> </w:t>
      </w:r>
      <w:r>
        <w:rPr>
          <w:rStyle w:val="VerbatimChar"/>
        </w:rPr>
        <w:t xml:space="preserve">valor ≤ saldo CDP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Obligación</w:t>
      </w:r>
      <w:r>
        <w:t xml:space="preserve">: contra un RP; valida</w:t>
      </w:r>
      <w:r>
        <w:t xml:space="preserve"> </w:t>
      </w:r>
      <w:r>
        <w:rPr>
          <w:rStyle w:val="VerbatimChar"/>
        </w:rPr>
        <w:t xml:space="preserve">valor ≤ saldo RP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Pago</w:t>
      </w:r>
      <w:r>
        <w:t xml:space="preserve">: contra una obligación; valida</w:t>
      </w:r>
      <w:r>
        <w:t xml:space="preserve"> </w:t>
      </w:r>
      <w:r>
        <w:rPr>
          <w:rStyle w:val="VerbatimChar"/>
        </w:rPr>
        <w:t xml:space="preserve">valor ≤ saldo obligación</w:t>
      </w:r>
      <w:r>
        <w:t xml:space="preserve">. Si la contabilidad está activa y se indica cuenta banco,</w:t>
      </w:r>
      <w:r>
        <w:t xml:space="preserve"> </w:t>
      </w:r>
      <w:r>
        <w:rPr>
          <w:b/>
        </w:rPr>
        <w:t xml:space="preserve">genera el comprobante contable (EGRESO)</w:t>
      </w:r>
      <w:r>
        <w:t xml:space="preserve"> </w:t>
      </w:r>
      <w:r>
        <w:t xml:space="preserve">en la misma transacción.</w:t>
      </w:r>
    </w:p>
    <w:p>
      <w:pPr>
        <w:pStyle w:val="Heading3"/>
      </w:pPr>
      <w:bookmarkStart w:id="28" w:name="modificaciones-y-cierre"/>
      <w:r>
        <w:t xml:space="preserve">Modificaciones y cierre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Modificaciones</w:t>
      </w:r>
      <w:r>
        <w:t xml:space="preserve">: adiciones, reducciones y traslados (módulo modificaciones).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Cierre</w:t>
      </w:r>
      <w:r>
        <w:t xml:space="preserve">: al 31 de diciembre, reservas presupuestales y cuentas por pagar (módulo cierre).</w:t>
      </w:r>
    </w:p>
    <w:p>
      <w:pPr>
        <w:pStyle w:val="Heading2"/>
      </w:pPr>
      <w:bookmarkStart w:id="29" w:name="notas-generales"/>
      <w:r>
        <w:t xml:space="preserve">Notas generales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4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Presupuesto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Módulos: presupuesto_formulacion, presupuesto_ejecucion, presupuesto_modificaciones, presupuesto_cierre</vt:lpwstr>
  </property>
</Properties>
</file>