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administración</w:t>
      </w:r>
      <w:r>
        <w:t xml:space="preserve"> </w:t>
      </w:r>
      <w:r>
        <w:t xml:space="preserve">—</w:t>
      </w:r>
      <w:r>
        <w:t xml:space="preserve"> </w:t>
      </w:r>
      <w:r>
        <w:t xml:space="preserve">Superadmin</w:t>
      </w:r>
      <w:r>
        <w:t xml:space="preserve"> </w:t>
      </w:r>
      <w:r>
        <w:t xml:space="preserve">(plataforma)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Ámbito:</w:t>
      </w:r>
      <w:r>
        <w:t xml:space="preserve"> </w:t>
      </w:r>
      <w:r>
        <w:t xml:space="preserve">gestión</w:t>
      </w:r>
      <w:r>
        <w:t xml:space="preserve"> </w:t>
      </w:r>
      <w:r>
        <w:t xml:space="preserve">multi-tenant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uperadmin-gestión-de-la-plataforma"/>
      <w:r>
        <w:t xml:space="preserve">Superadmin — Gestión de la plataforma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SUPER_ADMIN</w:t>
      </w:r>
      <w:r>
        <w:t xml:space="preserve"> </w:t>
      </w:r>
      <w:r>
        <w:t xml:space="preserve">de la plataforma (no del tenant). Administra todas las entidades.</w:t>
      </w:r>
    </w:p>
    <w:p>
      <w:pPr>
        <w:pStyle w:val="Heading2"/>
      </w:pPr>
      <w:bookmarkStart w:id="22" w:name="qué-permite"/>
      <w:r>
        <w:t xml:space="preserve">Qué permite</w:t>
      </w:r>
      <w:bookmarkEnd w:id="22"/>
    </w:p>
    <w:p>
      <w:pPr>
        <w:pStyle w:val="FirstParagraph"/>
      </w:pPr>
      <w:r>
        <w:t xml:space="preserve">Dar de alta entidades (</w:t>
      </w:r>
      <w:r>
        <w:rPr>
          <w:b/>
        </w:rPr>
        <w:t xml:space="preserve">tenants</w:t>
      </w:r>
      <w:r>
        <w:t xml:space="preserve">), activar/desactivar</w:t>
      </w:r>
      <w:r>
        <w:t xml:space="preserve"> </w:t>
      </w:r>
      <w:r>
        <w:rPr>
          <w:b/>
        </w:rPr>
        <w:t xml:space="preserve">módulos</w:t>
      </w:r>
      <w:r>
        <w:t xml:space="preserve"> </w:t>
      </w:r>
      <w:r>
        <w:t xml:space="preserve">por entidad, aplicar</w:t>
      </w:r>
      <w:r>
        <w:t xml:space="preserve"> </w:t>
      </w:r>
      <w:r>
        <w:rPr>
          <w:b/>
        </w:rPr>
        <w:t xml:space="preserve">ediciones comerciales</w:t>
      </w:r>
      <w:r>
        <w:t xml:space="preserve"> </w:t>
      </w:r>
      <w:r>
        <w:t xml:space="preserve">(bundles) y consultar el estado de cada tenant. Cada tenant tiene</w:t>
      </w:r>
      <w:r>
        <w:t xml:space="preserve"> </w:t>
      </w:r>
      <w:r>
        <w:rPr>
          <w:b/>
        </w:rPr>
        <w:t xml:space="preserve">base de datos separada</w:t>
      </w:r>
      <w:r>
        <w:t xml:space="preserve">.</w:t>
      </w:r>
    </w:p>
    <w:p>
      <w:pPr>
        <w:pStyle w:val="Heading2"/>
      </w:pPr>
      <w:bookmarkStart w:id="23" w:name="acceso"/>
      <w:r>
        <w:t xml:space="preserve">Acceso</w:t>
      </w:r>
      <w:bookmarkEnd w:id="23"/>
    </w:p>
    <w:p>
      <w:pPr>
        <w:pStyle w:val="FirstParagraph"/>
      </w:pPr>
      <w:r>
        <w:t xml:space="preserve">Inicie sesión en</w:t>
      </w:r>
      <w:r>
        <w:t xml:space="preserve"> </w:t>
      </w:r>
      <w:r>
        <w:rPr>
          <w:b/>
        </w:rPr>
        <w:t xml:space="preserve">/superadmin-login</w:t>
      </w:r>
      <w:r>
        <w:t xml:space="preserve"> </w:t>
      </w:r>
      <w:r>
        <w:t xml:space="preserve">y abra</w:t>
      </w:r>
      <w:r>
        <w:t xml:space="preserve"> </w:t>
      </w:r>
      <w:r>
        <w:rPr>
          <w:b/>
        </w:rPr>
        <w:t xml:space="preserve">/superadmin</w:t>
      </w:r>
      <w:r>
        <w:t xml:space="preserve">. La sección</w:t>
      </w:r>
      <w:r>
        <w:t xml:space="preserve"> </w:t>
      </w:r>
      <w:r>
        <w:rPr>
          <w:b/>
        </w:rPr>
        <w:t xml:space="preserve">Entidades / Tenants</w:t>
      </w:r>
      <w:r>
        <w:t xml:space="preserve"> </w:t>
      </w:r>
      <w:r>
        <w:t xml:space="preserve">lista Entidad, Dominio, Municipio, Plan y Estado.</w:t>
      </w:r>
    </w:p>
    <w:p>
      <w:pPr>
        <w:pStyle w:val="Heading2"/>
      </w:pPr>
      <w:bookmarkStart w:id="24" w:name="tareas"/>
      <w:r>
        <w:t xml:space="preserve">Tareas</w:t>
      </w:r>
      <w:bookmarkEnd w:id="24"/>
    </w:p>
    <w:p>
      <w:pPr>
        <w:pStyle w:val="Heading3"/>
      </w:pPr>
      <w:bookmarkStart w:id="25" w:name="crear-una-entidad-tenant"/>
      <w:r>
        <w:t xml:space="preserve">Crear una entidad (tenant)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Tenants → Nuevo</w:t>
      </w:r>
      <w:r>
        <w:t xml:space="preserve">: nombre, dominio, municipio, tipo de entidad y plan.</w:t>
      </w:r>
    </w:p>
    <w:p>
      <w:pPr>
        <w:numPr>
          <w:ilvl w:val="0"/>
          <w:numId w:val="1001"/>
        </w:numPr>
        <w:pStyle w:val="Compact"/>
      </w:pPr>
      <w:r>
        <w:t xml:space="preserve">Se aprovisiona la base de datos del tenant.</w:t>
      </w:r>
    </w:p>
    <w:p>
      <w:pPr>
        <w:pStyle w:val="Heading3"/>
      </w:pPr>
      <w:bookmarkStart w:id="26" w:name="activar-módulos"/>
      <w:r>
        <w:t xml:space="preserve">Activar módulos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Abra el tenant →</w:t>
      </w:r>
      <w:r>
        <w:t xml:space="preserve"> </w:t>
      </w:r>
      <w:r>
        <w:rPr>
          <w:b/>
        </w:rPr>
        <w:t xml:space="preserve">Módulos</w:t>
      </w:r>
      <w:r>
        <w:t xml:space="preserve">. Los módulos se muestran</w:t>
      </w:r>
      <w:r>
        <w:t xml:space="preserve"> </w:t>
      </w:r>
      <w:r>
        <w:rPr>
          <w:b/>
        </w:rPr>
        <w:t xml:space="preserve">agrupados por categoría</w:t>
      </w:r>
      <w:r>
        <w:t xml:space="preserve"> </w:t>
      </w:r>
      <w:r>
        <w:t xml:space="preserve">con su</w:t>
      </w:r>
      <w:r>
        <w:t xml:space="preserve"> </w:t>
      </w:r>
      <w:r>
        <w:rPr>
          <w:b/>
        </w:rPr>
        <w:t xml:space="preserve">tier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dependencias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Active los módulos requeridos. El sistema impide activar uno si faltan sus</w:t>
      </w:r>
      <w:r>
        <w:t xml:space="preserve"> </w:t>
      </w:r>
      <w:r>
        <w:rPr>
          <w:b/>
        </w:rPr>
        <w:t xml:space="preserve">dependencias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Al activar</w:t>
      </w:r>
      <w:r>
        <w:t xml:space="preserve"> </w:t>
      </w:r>
      <w:r>
        <w:rPr>
          <w:b/>
        </w:rPr>
        <w:t xml:space="preserve">contabilidad / presupuesto / nómina</w:t>
      </w:r>
      <w:r>
        <w:t xml:space="preserve">, se ejecuta la</w:t>
      </w:r>
      <w:r>
        <w:t xml:space="preserve"> </w:t>
      </w:r>
      <w:r>
        <w:rPr>
          <w:b/>
        </w:rPr>
        <w:t xml:space="preserve">auto-siembra</w:t>
      </w:r>
      <w:r>
        <w:t xml:space="preserve"> </w:t>
      </w:r>
      <w:r>
        <w:t xml:space="preserve">de catálogos oficiales (CGC, CCPET, conceptos de nómina); la respuesta confirma cuántos registros se sembraron.</w:t>
      </w:r>
    </w:p>
    <w:p>
      <w:pPr>
        <w:pStyle w:val="Heading3"/>
      </w:pPr>
      <w:bookmarkStart w:id="27" w:name="aplicar-una-edición-bundle"/>
      <w:r>
        <w:t xml:space="preserve">Aplicar una edición (bundle)</w:t>
      </w:r>
      <w:bookmarkEnd w:id="27"/>
    </w:p>
    <w:p>
      <w:pPr>
        <w:pStyle w:val="FirstParagraph"/>
      </w:pPr>
      <w:r>
        <w:t xml:space="preserve">Use las ediciones</w:t>
      </w:r>
      <w:r>
        <w:t xml:space="preserve"> </w:t>
      </w:r>
      <w:r>
        <w:rPr>
          <w:b/>
        </w:rPr>
        <w:t xml:space="preserve">Control</w:t>
      </w:r>
      <w:r>
        <w:t xml:space="preserve">,</w:t>
      </w:r>
      <w:r>
        <w:t xml:space="preserve"> </w:t>
      </w:r>
      <w:r>
        <w:rPr>
          <w:b/>
        </w:rPr>
        <w:t xml:space="preserve">Ejecutora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Rectoría Sectorial</w:t>
      </w:r>
      <w:r>
        <w:t xml:space="preserve"> </w:t>
      </w:r>
      <w:r>
        <w:t xml:space="preserve">para activar de una vez el conjunto de módulos de un perfil (Personería, SAE, Ministerio, etc.).</w:t>
      </w:r>
    </w:p>
    <w:p>
      <w:pPr>
        <w:pStyle w:val="Heading3"/>
      </w:pPr>
      <w:bookmarkStart w:id="28" w:name="auditoría"/>
      <w:r>
        <w:t xml:space="preserve">Auditoría</w:t>
      </w:r>
      <w:bookmarkEnd w:id="28"/>
    </w:p>
    <w:p>
      <w:pPr>
        <w:pStyle w:val="FirstParagraph"/>
      </w:pPr>
      <w:r>
        <w:t xml:space="preserve">Cada cambio de módulos queda registrado como evento del tenant (anterior, nuevo, semillas) para auditoría.</w:t>
      </w:r>
    </w:p>
    <w:p>
      <w:pPr>
        <w:pStyle w:val="Heading2"/>
      </w:pPr>
      <w:bookmarkStart w:id="29" w:name="notas"/>
      <w:r>
        <w:t xml:space="preserve">Notas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Los IDs de módulos son</w:t>
      </w:r>
      <w:r>
        <w:t xml:space="preserve"> </w:t>
      </w:r>
      <w:r>
        <w:rPr>
          <w:b/>
        </w:rPr>
        <w:t xml:space="preserve">estables</w:t>
      </w:r>
      <w:r>
        <w:t xml:space="preserve">: no se renombran una vez persistidos.</w:t>
      </w:r>
    </w:p>
    <w:p>
      <w:pPr>
        <w:numPr>
          <w:ilvl w:val="0"/>
          <w:numId w:val="1003"/>
        </w:numPr>
        <w:pStyle w:val="Compact"/>
      </w:pPr>
      <w:r>
        <w:t xml:space="preserve">El núcleo (sitio_web, transparencia, pqrsd) viene activo por defecto en todo tenant.</w:t>
      </w:r>
    </w:p>
    <w:p>
      <w:pPr>
        <w:pStyle w:val="Heading2"/>
      </w:pPr>
      <w:bookmarkStart w:id="30" w:name="notas-generales"/>
      <w:r>
        <w:t xml:space="preserve">Notas generales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IA sugiere y el funcionario decide</w:t>
      </w:r>
      <w:r>
        <w:t xml:space="preserve">: las clasificaciones de IA (urgencia, discrepancias) son sugerencias revisables.</w:t>
      </w:r>
    </w:p>
    <w:p>
      <w:pPr>
        <w:numPr>
          <w:ilvl w:val="0"/>
          <w:numId w:val="1004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administración — Superadmin (plataforma)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Ámbito: gestión multi-tenant</vt:lpwstr>
  </property>
</Properties>
</file>