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right"/>
        <w:rPr/>
      </w:pPr>
      <w:r w:rsidDel="00000000" w:rsidR="00000000" w:rsidRPr="00000000">
        <w:rPr>
          <w:rtl w:val="0"/>
        </w:rPr>
      </w:r>
    </w:p>
    <w:p w:rsidR="00000000" w:rsidDel="00000000" w:rsidP="00000000" w:rsidRDefault="00000000" w:rsidRPr="00000000" w14:paraId="00000002">
      <w:pPr>
        <w:spacing w:line="240" w:lineRule="auto"/>
        <w:jc w:val="right"/>
        <w:rPr/>
      </w:pPr>
      <w:r w:rsidDel="00000000" w:rsidR="00000000" w:rsidRPr="00000000">
        <w:rPr>
          <w:rtl w:val="0"/>
        </w:rPr>
        <w:t xml:space="preserve">Maracay, 27 de agosto de 2025</w:t>
      </w:r>
    </w:p>
    <w:p w:rsidR="00000000" w:rsidDel="00000000" w:rsidP="00000000" w:rsidRDefault="00000000" w:rsidRPr="00000000" w14:paraId="00000003">
      <w:pPr>
        <w:spacing w:line="240" w:lineRule="auto"/>
        <w:rPr/>
      </w:pPr>
      <w:r w:rsidDel="00000000" w:rsidR="00000000" w:rsidRPr="00000000">
        <w:rPr>
          <w:rtl w:val="0"/>
        </w:rPr>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line="240" w:lineRule="auto"/>
        <w:jc w:val="center"/>
        <w:rPr>
          <w:b w:val="1"/>
          <w:bCs w:val="1"/>
        </w:rPr>
      </w:pPr>
      <w:r w:rsidDel="00000000" w:rsidR="00000000" w:rsidRPr="00000000">
        <w:rPr>
          <w:b w:val="1"/>
          <w:bCs w:val="1"/>
          <w:rtl w:val="0"/>
        </w:rPr>
        <w:t xml:space="preserve">UNIDAD DE NEFROLOGÍA, DIÁLISIS Y TRASPLANTE RENAL</w:t>
      </w:r>
    </w:p>
    <w:p w:rsidR="00000000" w:rsidDel="00000000" w:rsidP="00000000" w:rsidRDefault="00000000" w:rsidRPr="00000000" w14:paraId="00000006">
      <w:pPr>
        <w:spacing w:line="240" w:lineRule="auto"/>
        <w:jc w:val="center"/>
        <w:rPr>
          <w:b w:val="1"/>
          <w:bCs w:val="1"/>
        </w:rPr>
      </w:pPr>
      <w:r w:rsidDel="00000000" w:rsidR="00000000" w:rsidRPr="00000000">
        <w:rPr>
          <w:rtl w:val="0"/>
        </w:rPr>
      </w:r>
    </w:p>
    <w:p w:rsidR="00000000" w:rsidDel="00000000" w:rsidP="00000000" w:rsidRDefault="00000000" w:rsidRPr="00000000" w14:paraId="00000007">
      <w:pPr>
        <w:spacing w:after="0" w:line="240" w:lineRule="auto"/>
        <w:rPr/>
      </w:pPr>
      <w:r w:rsidDel="00000000" w:rsidR="00000000" w:rsidRPr="00000000">
        <w:rPr>
          <w:rtl w:val="0"/>
        </w:rPr>
        <w:t xml:space="preserve">Señores:</w:t>
      </w:r>
    </w:p>
    <w:p w:rsidR="00000000" w:rsidDel="00000000" w:rsidP="00000000" w:rsidRDefault="00000000" w:rsidRPr="00000000" w14:paraId="00000008">
      <w:pPr>
        <w:spacing w:after="0" w:line="240" w:lineRule="auto"/>
        <w:rPr>
          <w:b w:val="1"/>
          <w:bCs w:val="1"/>
        </w:rPr>
      </w:pPr>
      <w:r w:rsidDel="00000000" w:rsidR="00000000" w:rsidRPr="00000000">
        <w:rPr>
          <w:b w:val="1"/>
          <w:bCs w:val="1"/>
          <w:rtl w:val="0"/>
        </w:rPr>
        <w:t xml:space="preserve">Laboratorios BIOFARCO</w:t>
      </w:r>
    </w:p>
    <w:p w:rsidR="00000000" w:rsidDel="00000000" w:rsidP="00000000" w:rsidRDefault="00000000" w:rsidRPr="00000000" w14:paraId="00000009">
      <w:pPr>
        <w:spacing w:after="0" w:line="240" w:lineRule="auto"/>
        <w:rPr/>
      </w:pPr>
      <w:r w:rsidDel="00000000" w:rsidR="00000000" w:rsidRPr="00000000">
        <w:rPr>
          <w:rtl w:val="0"/>
        </w:rPr>
        <w:t xml:space="preserve">Presente.</w:t>
      </w:r>
    </w:p>
    <w:p w:rsidR="00000000" w:rsidDel="00000000" w:rsidP="00000000" w:rsidRDefault="00000000" w:rsidRPr="00000000" w14:paraId="0000000A">
      <w:pPr>
        <w:spacing w:after="0" w:line="240" w:lineRule="auto"/>
        <w:jc w:val="right"/>
        <w:rPr/>
      </w:pPr>
      <w:r w:rsidDel="00000000" w:rsidR="00000000" w:rsidRPr="00000000">
        <w:rPr>
          <w:b w:val="1"/>
          <w:bCs w:val="1"/>
          <w:rtl w:val="0"/>
        </w:rPr>
        <w:t xml:space="preserve">Atención</w:t>
      </w:r>
      <w:r w:rsidDel="00000000" w:rsidR="00000000" w:rsidRPr="00000000">
        <w:rPr>
          <w:rtl w:val="0"/>
        </w:rPr>
        <w:t xml:space="preserve">:</w:t>
      </w:r>
    </w:p>
    <w:p w:rsidR="00000000" w:rsidDel="00000000" w:rsidP="00000000" w:rsidRDefault="00000000" w:rsidRPr="00000000" w14:paraId="0000000B">
      <w:pPr>
        <w:spacing w:after="0" w:line="240" w:lineRule="auto"/>
        <w:jc w:val="right"/>
        <w:rPr/>
      </w:pPr>
      <w:r w:rsidDel="00000000" w:rsidR="00000000" w:rsidRPr="00000000">
        <w:rPr>
          <w:rtl w:val="0"/>
        </w:rPr>
        <w:t xml:space="preserve">Dr. Cesar Scorzza</w:t>
      </w:r>
    </w:p>
    <w:p w:rsidR="00000000" w:rsidDel="00000000" w:rsidP="00000000" w:rsidRDefault="00000000" w:rsidRPr="00000000" w14:paraId="0000000C">
      <w:pPr>
        <w:spacing w:after="0" w:line="240" w:lineRule="auto"/>
        <w:jc w:val="right"/>
        <w:rPr/>
      </w:pPr>
      <w:r w:rsidDel="00000000" w:rsidR="00000000" w:rsidRPr="00000000">
        <w:rPr>
          <w:rtl w:val="0"/>
        </w:rPr>
        <w:t xml:space="preserve">Presidente de laboratorios BIOFARCO</w:t>
      </w:r>
    </w:p>
    <w:p w:rsidR="00000000" w:rsidDel="00000000" w:rsidP="00000000" w:rsidRDefault="00000000" w:rsidRPr="00000000" w14:paraId="0000000D">
      <w:pPr>
        <w:spacing w:line="240" w:lineRule="auto"/>
        <w:rPr/>
      </w:pPr>
      <w:r w:rsidDel="00000000" w:rsidR="00000000" w:rsidRPr="00000000">
        <w:rPr>
          <w:rtl w:val="0"/>
        </w:rPr>
      </w:r>
    </w:p>
    <w:p w:rsidR="00000000" w:rsidDel="00000000" w:rsidP="00000000" w:rsidRDefault="00000000" w:rsidRPr="00000000" w14:paraId="0000000E">
      <w:pPr>
        <w:spacing w:after="0" w:line="240" w:lineRule="auto"/>
        <w:jc w:val="both"/>
        <w:rPr/>
      </w:pPr>
      <w:r w:rsidDel="00000000" w:rsidR="00000000" w:rsidRPr="00000000">
        <w:rPr>
          <w:rtl w:val="0"/>
        </w:rPr>
        <w:t xml:space="preserve">Por medio de la presente, nos dirigimos a ustedes con el fin de exponer la fundamentación científica, la necesidad clínica y los beneficios observados con el uso del Poliestireno Sulfonato de Sodio en pacientes con enfermedad renal.</w:t>
      </w:r>
    </w:p>
    <w:p w:rsidR="00000000" w:rsidDel="00000000" w:rsidP="00000000" w:rsidRDefault="00000000" w:rsidRPr="00000000" w14:paraId="0000000F">
      <w:pPr>
        <w:spacing w:after="0" w:line="240" w:lineRule="auto"/>
        <w:jc w:val="both"/>
        <w:rPr/>
      </w:pPr>
      <w:r w:rsidDel="00000000" w:rsidR="00000000" w:rsidRPr="00000000">
        <w:rPr>
          <w:rtl w:val="0"/>
        </w:rPr>
      </w:r>
    </w:p>
    <w:p w:rsidR="00000000" w:rsidDel="00000000" w:rsidP="00000000" w:rsidRDefault="00000000" w:rsidRPr="00000000" w14:paraId="00000010">
      <w:pPr>
        <w:spacing w:after="0" w:line="240" w:lineRule="auto"/>
        <w:jc w:val="both"/>
        <w:rPr/>
      </w:pPr>
      <w:r w:rsidDel="00000000" w:rsidR="00000000" w:rsidRPr="00000000">
        <w:rPr>
          <w:rtl w:val="0"/>
        </w:rPr>
        <w:t xml:space="preserve">El Poliestireno (Sulfonato de Sodio) es una resina de intercambio catiónico que actúa principalmente en el tracto gastrointestinal, intercambiando iones sodio por iones potasio. Este mecanismo permite la reducción efectiva de los niveles séricos de potasio, condición conocida como hiperpotasemia, la cual constituye una complicación frecuente y potencialmente grave en pacientes con enfermedad renal crónica (ERC) y en aquellos con insuficiencia renal aguda.</w:t>
      </w:r>
    </w:p>
    <w:p w:rsidR="00000000" w:rsidDel="00000000" w:rsidP="00000000" w:rsidRDefault="00000000" w:rsidRPr="00000000" w14:paraId="00000011">
      <w:pPr>
        <w:spacing w:after="0" w:line="240" w:lineRule="auto"/>
        <w:rPr/>
      </w:pPr>
      <w:r w:rsidDel="00000000" w:rsidR="00000000" w:rsidRPr="00000000">
        <w:rPr>
          <w:rtl w:val="0"/>
        </w:rPr>
      </w:r>
    </w:p>
    <w:p w:rsidR="00000000" w:rsidDel="00000000" w:rsidP="00000000" w:rsidRDefault="00000000" w:rsidRPr="00000000" w14:paraId="00000012">
      <w:pPr>
        <w:spacing w:after="0" w:line="240" w:lineRule="auto"/>
        <w:rPr/>
      </w:pPr>
      <w:r w:rsidDel="00000000" w:rsidR="00000000" w:rsidRPr="00000000">
        <w:rPr>
          <w:rtl w:val="0"/>
        </w:rPr>
        <w:t xml:space="preserve">Justificación de la necesidad terapéutica:</w:t>
      </w:r>
    </w:p>
    <w:p w:rsidR="00000000" w:rsidDel="00000000" w:rsidP="00000000" w:rsidRDefault="00000000" w:rsidRPr="00000000" w14:paraId="00000013">
      <w:pPr>
        <w:spacing w:after="0" w:line="240" w:lineRule="auto"/>
        <w:rPr/>
      </w:pPr>
      <w:r w:rsidDel="00000000" w:rsidR="00000000" w:rsidRPr="00000000">
        <w:rPr>
          <w:rtl w:val="0"/>
        </w:rPr>
      </w:r>
    </w:p>
    <w:p w:rsidR="00000000" w:rsidDel="00000000" w:rsidP="00000000" w:rsidRDefault="00000000" w:rsidRPr="00000000" w14:paraId="00000014">
      <w:pPr>
        <w:spacing w:after="0" w:line="240" w:lineRule="auto"/>
        <w:rPr/>
      </w:pPr>
      <w:r w:rsidDel="00000000" w:rsidR="00000000" w:rsidRPr="00000000">
        <w:rPr>
          <w:rtl w:val="0"/>
        </w:rPr>
        <w:t xml:space="preserve">La hiperpotasemia no controlada puede derivar en arritmias cardíacas severas y riesgo de paro cardíaco.</w:t>
      </w:r>
    </w:p>
    <w:p w:rsidR="00000000" w:rsidDel="00000000" w:rsidP="00000000" w:rsidRDefault="00000000" w:rsidRPr="00000000" w14:paraId="00000015">
      <w:pPr>
        <w:spacing w:after="0" w:line="240" w:lineRule="auto"/>
        <w:rPr/>
      </w:pPr>
      <w:r w:rsidDel="00000000" w:rsidR="00000000" w:rsidRPr="00000000">
        <w:rPr>
          <w:rtl w:val="0"/>
        </w:rPr>
      </w:r>
    </w:p>
    <w:p w:rsidR="00000000" w:rsidDel="00000000" w:rsidP="00000000" w:rsidRDefault="00000000" w:rsidRPr="00000000" w14:paraId="00000016">
      <w:pPr>
        <w:spacing w:after="0" w:line="240" w:lineRule="auto"/>
        <w:rPr/>
      </w:pPr>
      <w:r w:rsidDel="00000000" w:rsidR="00000000" w:rsidRPr="00000000">
        <w:rPr>
          <w:rtl w:val="0"/>
        </w:rPr>
        <w:t xml:space="preserve">En pacientes con ERC, la capacidad de excreción renal de potasio se encuentra comprometida, lo que hace imprescindible contar con alternativas farmacológicas seguras y eficaces para su manejo.</w:t>
      </w:r>
    </w:p>
    <w:p w:rsidR="00000000" w:rsidDel="00000000" w:rsidP="00000000" w:rsidRDefault="00000000" w:rsidRPr="00000000" w14:paraId="00000017">
      <w:pPr>
        <w:spacing w:after="0" w:line="240" w:lineRule="auto"/>
        <w:rPr/>
      </w:pPr>
      <w:r w:rsidDel="00000000" w:rsidR="00000000" w:rsidRPr="00000000">
        <w:rPr>
          <w:rtl w:val="0"/>
        </w:rPr>
      </w:r>
    </w:p>
    <w:p w:rsidR="00000000" w:rsidDel="00000000" w:rsidP="00000000" w:rsidRDefault="00000000" w:rsidRPr="00000000" w14:paraId="00000018">
      <w:pPr>
        <w:spacing w:after="0" w:line="240" w:lineRule="auto"/>
        <w:rPr/>
      </w:pPr>
      <w:r w:rsidDel="00000000" w:rsidR="00000000" w:rsidRPr="00000000">
        <w:rPr>
          <w:rtl w:val="0"/>
        </w:rPr>
        <w:t xml:space="preserve">El Poliestireno (Sulfonato de Sodio) representa una opción terapéutica de acción local, no sistémica, que puede emplearse tanto en contextos hospitalarios como ambulatorios, bajo supervisión médica.</w:t>
      </w:r>
    </w:p>
    <w:p w:rsidR="00000000" w:rsidDel="00000000" w:rsidP="00000000" w:rsidRDefault="00000000" w:rsidRPr="00000000" w14:paraId="00000019">
      <w:pPr>
        <w:spacing w:after="0" w:line="240" w:lineRule="auto"/>
        <w:rPr/>
      </w:pPr>
      <w:r w:rsidDel="00000000" w:rsidR="00000000" w:rsidRPr="00000000">
        <w:rPr>
          <w:rtl w:val="0"/>
        </w:rPr>
      </w:r>
    </w:p>
    <w:p w:rsidR="00000000" w:rsidDel="00000000" w:rsidP="00000000" w:rsidRDefault="00000000" w:rsidRPr="00000000" w14:paraId="0000001A">
      <w:pPr>
        <w:spacing w:line="240" w:lineRule="auto"/>
        <w:rPr/>
      </w:pPr>
      <w:r w:rsidDel="00000000" w:rsidR="00000000" w:rsidRPr="00000000">
        <w:rPr>
          <w:rtl w:val="0"/>
        </w:rPr>
        <w:t xml:space="preserve">Beneficios de su uso:</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Reducción significativa y sostenida de los niveles séricos de potasio en pacientes con hiperpotasemia moderada a grave.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Disminución del riesgo de complicaciones cardiovasculares asociadas a la hiperpotasemia.</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Posibilidad de uso como medida preventiva en pacientes con riesgo elevado de acumulación de potasio, especialmente en aquellos bajo tratamiento con inhibidores del sistema renina-angiotensina-aldosterona.</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Perfil de seguridad aceptable cuando se administra conforme a las dosis y pautas recomendadas, con vigilancia de posibles efectos adversos gastrointestinales y del balance electrolítico.</w:t>
      </w:r>
    </w:p>
    <w:p w:rsidR="00000000" w:rsidDel="00000000" w:rsidP="00000000" w:rsidRDefault="00000000" w:rsidRPr="00000000" w14:paraId="0000001F">
      <w:pPr>
        <w:spacing w:after="0" w:line="240" w:lineRule="auto"/>
        <w:rPr/>
      </w:pPr>
      <w:r w:rsidDel="00000000" w:rsidR="00000000" w:rsidRPr="00000000">
        <w:rPr>
          <w:rtl w:val="0"/>
        </w:rPr>
      </w:r>
    </w:p>
    <w:p w:rsidR="00000000" w:rsidDel="00000000" w:rsidP="00000000" w:rsidRDefault="00000000" w:rsidRPr="00000000" w14:paraId="00000020">
      <w:pPr>
        <w:spacing w:after="0" w:line="240" w:lineRule="auto"/>
        <w:jc w:val="both"/>
        <w:rPr/>
      </w:pPr>
      <w:r w:rsidDel="00000000" w:rsidR="00000000" w:rsidRPr="00000000">
        <w:rPr>
          <w:rtl w:val="0"/>
        </w:rPr>
        <w:t xml:space="preserve">En virtud de lo anterior el Poliestireno (Sulfonato de Sodio) es una herramienta terapéutica esencial en el manejo de la hiperpotasemia asociada a enfermedad renal, en concordancia con las guías internacionales de nefrología y emergencias médicas.</w:t>
      </w:r>
    </w:p>
    <w:p w:rsidR="00000000" w:rsidDel="00000000" w:rsidP="00000000" w:rsidRDefault="00000000" w:rsidRPr="00000000" w14:paraId="00000021">
      <w:pPr>
        <w:spacing w:after="0" w:line="240" w:lineRule="auto"/>
        <w:jc w:val="both"/>
        <w:rPr/>
      </w:pPr>
      <w:r w:rsidDel="00000000" w:rsidR="00000000" w:rsidRPr="00000000">
        <w:rPr>
          <w:rtl w:val="0"/>
        </w:rPr>
      </w:r>
    </w:p>
    <w:p w:rsidR="00000000" w:rsidDel="00000000" w:rsidP="00000000" w:rsidRDefault="00000000" w:rsidRPr="00000000" w14:paraId="00000022">
      <w:pPr>
        <w:spacing w:after="0" w:line="240" w:lineRule="auto"/>
        <w:jc w:val="both"/>
        <w:rPr/>
      </w:pPr>
      <w:r w:rsidDel="00000000" w:rsidR="00000000" w:rsidRPr="00000000">
        <w:rPr>
          <w:rtl w:val="0"/>
        </w:rPr>
        <w:t xml:space="preserve">Sin otro particular, y quedando atentos a cualquier información adicional que sea requerida, nos despedimos cordialmente.</w:t>
      </w:r>
    </w:p>
    <w:p w:rsidR="00000000" w:rsidDel="00000000" w:rsidP="00000000" w:rsidRDefault="00000000" w:rsidRPr="00000000" w14:paraId="00000023">
      <w:pPr>
        <w:spacing w:after="0" w:line="240" w:lineRule="auto"/>
        <w:rPr/>
      </w:pPr>
      <w:r w:rsidDel="00000000" w:rsidR="00000000" w:rsidRPr="00000000">
        <w:rPr>
          <w:rtl w:val="0"/>
        </w:rPr>
      </w:r>
    </w:p>
    <w:p w:rsidR="00000000" w:rsidDel="00000000" w:rsidP="00000000" w:rsidRDefault="00000000" w:rsidRPr="00000000" w14:paraId="00000024">
      <w:pPr>
        <w:spacing w:after="0" w:line="240" w:lineRule="auto"/>
        <w:rPr/>
      </w:pPr>
      <w:r w:rsidDel="00000000" w:rsidR="00000000" w:rsidRPr="00000000">
        <w:rPr>
          <w:rtl w:val="0"/>
        </w:rPr>
      </w:r>
    </w:p>
    <w:p w:rsidR="00000000" w:rsidDel="00000000" w:rsidP="00000000" w:rsidRDefault="00000000" w:rsidRPr="00000000" w14:paraId="00000025">
      <w:pPr>
        <w:spacing w:after="0" w:line="240" w:lineRule="auto"/>
        <w:rPr/>
      </w:pPr>
      <w:r w:rsidDel="00000000" w:rsidR="00000000" w:rsidRPr="00000000">
        <w:rPr>
          <w:rtl w:val="0"/>
        </w:rPr>
        <w:t xml:space="preserve">Atentamente;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(Firma y Sello)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0" w:line="240" w:lineRule="auto"/>
        <w:rPr/>
      </w:pPr>
      <w:r w:rsidDel="00000000" w:rsidR="00000000" w:rsidRPr="00000000">
        <w:rPr>
          <w:rtl w:val="0"/>
        </w:rPr>
        <w:t xml:space="preserve">Dra. Ana Verónica Rondón</w:t>
      </w:r>
    </w:p>
    <w:p w:rsidR="00000000" w:rsidDel="00000000" w:rsidP="00000000" w:rsidRDefault="00000000" w:rsidRPr="00000000" w14:paraId="0000002A">
      <w:pPr>
        <w:spacing w:after="0" w:line="240" w:lineRule="auto"/>
        <w:rPr/>
      </w:pPr>
      <w:r w:rsidDel="00000000" w:rsidR="00000000" w:rsidRPr="00000000">
        <w:rPr>
          <w:rtl w:val="0"/>
        </w:rPr>
        <w:t xml:space="preserve">Medico Nefrólogo</w:t>
      </w:r>
    </w:p>
    <w:p w:rsidR="00000000" w:rsidDel="00000000" w:rsidP="00000000" w:rsidRDefault="00000000" w:rsidRPr="00000000" w14:paraId="0000002B">
      <w:pPr>
        <w:spacing w:after="0" w:line="240" w:lineRule="auto"/>
        <w:rPr/>
      </w:pPr>
      <w:r w:rsidDel="00000000" w:rsidR="00000000" w:rsidRPr="00000000">
        <w:rPr>
          <w:rtl w:val="0"/>
        </w:rPr>
        <w:t xml:space="preserve">Jefe de la Unidad de Nefrología, Diálisis y Trasplante renal IAHULA, Mérida</w:t>
      </w:r>
    </w:p>
    <w:p w:rsidR="00000000" w:rsidDel="00000000" w:rsidP="00000000" w:rsidRDefault="00000000" w:rsidRPr="00000000" w14:paraId="0000002C">
      <w:pPr>
        <w:spacing w:after="0" w:line="240" w:lineRule="auto"/>
        <w:rPr/>
      </w:pPr>
      <w:r w:rsidDel="00000000" w:rsidR="00000000" w:rsidRPr="00000000">
        <w:rPr>
          <w:rtl w:val="0"/>
        </w:rPr>
        <w:t xml:space="preserve">Teléfono 04247430523</w:t>
      </w:r>
    </w:p>
    <w:p w:rsidR="00000000" w:rsidDel="00000000" w:rsidP="00000000" w:rsidRDefault="00000000" w:rsidRPr="00000000" w14:paraId="0000002D">
      <w:pPr>
        <w:spacing w:line="240" w:lineRule="auto"/>
        <w:rPr/>
      </w:pPr>
      <w:r w:rsidDel="00000000" w:rsidR="00000000" w:rsidRPr="00000000">
        <w:rPr>
          <w:rtl w:val="0"/>
        </w:rPr>
        <w:t xml:space="preserve">Correo electrónico a.rondon27@yahoo.com</w:t>
      </w:r>
    </w:p>
    <w:sectPr>
      <w:pgSz w:h="15840" w:w="12240" w:orient="portrait"/>
      <w:pgMar w:bottom="1135" w:top="1276"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VE"/>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