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Soporte de gastos desde el 01 al 26 de septiembre de 2025.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Actividad:Entregar agrado en las Visitas a Centros de Salud y Farmacias.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Fecha: 15/09/2025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Total gasto: 1.228,00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Soporte: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610225" cy="5623277"/>
            <wp:effectExtent b="0" l="0" r="0" t="0"/>
            <wp:docPr descr="Imagen de la pantalla de un celular de un mensaje en letras negras&#10;&#10;El contenido generado por IA puede ser incorrecto." id="2" name="image3.jpg"/>
            <a:graphic>
              <a:graphicData uri="http://schemas.openxmlformats.org/drawingml/2006/picture">
                <pic:pic>
                  <pic:nvPicPr>
                    <pic:cNvPr descr="Imagen de la pantalla de un celular de un mensaje en letras negras&#10;&#10;El contenido generado por IA puede ser incorrecto."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623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Actividad: Charla COBECA Centro.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Gerente: Lcda. Ana Graterol Teléfono: 0412-4938473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Fecha: 16/09/2025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Hora: 02:30 p.m.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Total gasto: 2.004,54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Soporte: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6134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Actividad: Día Producto y Charla Farmacia SAAS Las Delicias.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Regente: Dra. Dulce García. Teléfono: 0424-3053065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Fecha: 27/05/2025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Hora: 03:00 p.m.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Total gasto: 1.320,11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Soporte: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6134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Actividad: Charla Farmacia Santa Rita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Encargado: Darwin Sarmiento. Teléfono: 0412-1456755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Fecha: 25/05/2025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Hora: 02:00 p.m.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Total gasto: 894,52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Soporte: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6134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VE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