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rFonts w:ascii="Arial" w:cs="Arial" w:eastAsia="Arial" w:hAnsi="Arial"/>
          <w:b w:val="false"/>
          <w:bCs w:val="false"/>
          <w:i w:val="false"/>
          <w:iCs w:val="false"/>
          <w:color w:val="000000"/>
          <w:sz w:val="20"/>
          <w:szCs w:val="20"/>
        </w:rPr>
        <w:t xml:space="preserve"/>
      </w:r>
    </w:p>
    <w:p>
      <w:pPr>
        <w:spacing w:after="60" w:before="0"/>
        <w:jc w:val="left"/>
      </w:pPr>
      <w:r>
        <w:rPr>
          <w:rFonts w:ascii="Arial" w:cs="Arial" w:eastAsia="Arial" w:hAnsi="Arial"/>
          <w:b w:val="false"/>
          <w:bCs w:val="false"/>
          <w:i w:val="false"/>
          <w:iCs w:val="false"/>
          <w:color w:val="000000"/>
          <w:sz w:val="20"/>
          <w:szCs w:val="20"/>
        </w:rPr>
        <w:t xml:space="preserve"/>
      </w:r>
    </w:p>
    <w:p>
      <w:pPr>
        <w:spacing w:after="60" w:before="0"/>
        <w:jc w:val="left"/>
      </w:pPr>
      <w:r>
        <w:rPr>
          <w:rFonts w:ascii="Arial" w:cs="Arial" w:eastAsia="Arial" w:hAnsi="Arial"/>
          <w:b w:val="false"/>
          <w:bCs w:val="false"/>
          <w:i w:val="false"/>
          <w:iCs w:val="false"/>
          <w:color w:val="000000"/>
          <w:sz w:val="20"/>
          <w:szCs w:val="20"/>
        </w:rPr>
        <w:t xml:space="preserve"/>
      </w:r>
    </w:p>
    <w:p>
      <w:pPr>
        <w:spacing w:after="200" w:before="720"/>
        <w:jc w:val="center"/>
      </w:pPr>
      <w:r>
        <w:rPr>
          <w:rFonts w:ascii="Arial" w:cs="Arial" w:eastAsia="Arial" w:hAnsi="Arial"/>
          <w:b/>
          <w:bCs/>
          <w:color w:val="1B3A6B"/>
          <w:sz w:val="48"/>
          <w:szCs w:val="48"/>
        </w:rPr>
        <w:t xml:space="preserve">NovaTech Logística</w:t>
      </w:r>
    </w:p>
    <w:p>
      <w:pPr>
        <w:pBdr>
          <w:bottom w:val="single" w:color="2E75B6" w:sz="6" w:space="4"/>
        </w:pBdr>
        <w:spacing w:after="200" w:before="0"/>
        <w:jc w:val="center"/>
      </w:pPr>
      <w:r>
        <w:rPr>
          <w:rFonts w:ascii="Arial" w:cs="Arial" w:eastAsia="Arial" w:hAnsi="Arial"/>
          <w:b/>
          <w:bCs/>
          <w:color w:val="2E75B6"/>
          <w:sz w:val="36"/>
          <w:szCs w:val="36"/>
        </w:rPr>
        <w:t xml:space="preserve">Especificação de Requisitos do Produto</w:t>
      </w:r>
    </w:p>
    <w:p>
      <w:pPr>
        <w:spacing w:after="400" w:before="160"/>
        <w:jc w:val="center"/>
      </w:pPr>
      <w:r>
        <w:rPr>
          <w:rFonts w:ascii="Arial" w:cs="Arial" w:eastAsia="Arial" w:hAnsi="Arial"/>
          <w:i/>
          <w:iCs/>
          <w:color w:val="595959"/>
          <w:sz w:val="28"/>
          <w:szCs w:val="28"/>
        </w:rPr>
        <w:t xml:space="preserve">Assistente de Atendimento com RAG</w:t>
      </w:r>
    </w:p>
    <w:p>
      <w:pPr>
        <w:spacing w:after="60" w:before="0"/>
        <w:jc w:val="left"/>
      </w:pPr>
      <w:r>
        <w:rPr>
          <w:rFonts w:ascii="Arial" w:cs="Arial" w:eastAsia="Arial" w:hAnsi="Arial"/>
          <w:b w:val="false"/>
          <w:bCs w:val="false"/>
          <w:i w:val="false"/>
          <w:iCs w:val="false"/>
          <w:color w:val="000000"/>
          <w:sz w:val="20"/>
          <w:szCs w:val="20"/>
        </w:rPr>
        <w:t xml:space="preserve"/>
      </w:r>
    </w:p>
    <w:p>
      <w:pPr>
        <w:spacing w:after="60" w:before="0"/>
        <w:jc w:val="left"/>
      </w:pPr>
      <w:r>
        <w:rPr>
          <w:rFonts w:ascii="Arial" w:cs="Arial" w:eastAsia="Arial" w:hAnsi="Arial"/>
          <w:b w:val="false"/>
          <w:bCs w:val="false"/>
          <w:i w:val="false"/>
          <w:iCs w:val="false"/>
          <w:color w:val="000000"/>
          <w:sz w:val="20"/>
          <w:szCs w:val="20"/>
        </w:rPr>
        <w:t xml:space="preserve"/>
      </w:r>
    </w:p>
    <w:p>
      <w:pPr>
        <w:jc w:val="center"/>
      </w:pPr>
      <w:r>
        <w:rPr>
          <w:rFonts w:ascii="Arial" w:cs="Arial" w:eastAsia="Arial" w:hAnsi="Arial"/>
          <w:color w:val="595959"/>
          <w:sz w:val="20"/>
          <w:szCs w:val="20"/>
        </w:rPr>
        <w:t xml:space="preserve">Versão: 1.0</w:t>
      </w:r>
    </w:p>
    <w:p>
      <w:pPr>
        <w:jc w:val="center"/>
      </w:pPr>
      <w:r>
        <w:rPr>
          <w:rFonts w:ascii="Arial" w:cs="Arial" w:eastAsia="Arial" w:hAnsi="Arial"/>
          <w:color w:val="595959"/>
          <w:sz w:val="20"/>
          <w:szCs w:val="20"/>
        </w:rPr>
        <w:t xml:space="preserve">Data: Junho/2026</w:t>
      </w:r>
    </w:p>
    <w:p>
      <w:pPr>
        <w:jc w:val="center"/>
      </w:pPr>
      <w:r>
        <w:rPr>
          <w:rFonts w:ascii="Arial" w:cs="Arial" w:eastAsia="Arial" w:hAnsi="Arial"/>
          <w:color w:val="595959"/>
          <w:sz w:val="20"/>
          <w:szCs w:val="20"/>
        </w:rPr>
        <w:t xml:space="preserve">Classificação: Uso Interno</w:t>
      </w:r>
    </w:p>
    <w:p>
      <w:pPr>
        <w:spacing w:after="60" w:before="0"/>
        <w:jc w:val="left"/>
      </w:pPr>
      <w:r>
        <w:rPr>
          <w:rFonts w:ascii="Arial" w:cs="Arial" w:eastAsia="Arial" w:hAnsi="Arial"/>
          <w:b w:val="false"/>
          <w:bCs w:val="false"/>
          <w:i w:val="false"/>
          <w:iCs w:val="false"/>
          <w:color w:val="000000"/>
          <w:sz w:val="20"/>
          <w:szCs w:val="20"/>
        </w:rPr>
        <w:t xml:space="preserve"/>
      </w:r>
    </w:p>
    <w:p>
      <w:pPr>
        <w:spacing w:after="60" w:before="0"/>
        <w:jc w:val="left"/>
      </w:pPr>
      <w:r>
        <w:rPr>
          <w:rFonts w:ascii="Arial" w:cs="Arial" w:eastAsia="Arial" w:hAnsi="Arial"/>
          <w:b w:val="false"/>
          <w:bCs w:val="false"/>
          <w:i w:val="false"/>
          <w:iCs w:val="false"/>
          <w:color w:val="000000"/>
          <w:sz w:val="20"/>
          <w:szCs w:val="20"/>
        </w:rPr>
        <w:t xml:space="preserve"/>
      </w:r>
    </w:p>
    <w:p>
      <w:r>
        <w:br w:type="page"/>
      </w:r>
    </w:p>
    <w:p>
      <w:pPr>
        <w:pStyle w:val="Heading1"/>
        <w:pBdr>
          <w:bottom w:val="single" w:color="2E75B6" w:sz="6" w:space="4"/>
        </w:pBdr>
        <w:spacing w:after="120" w:before="360"/>
      </w:pPr>
      <w:r>
        <w:rPr>
          <w:rFonts w:ascii="Arial" w:cs="Arial" w:eastAsia="Arial" w:hAnsi="Arial"/>
          <w:b/>
          <w:bCs/>
          <w:color w:val="1B3A6B"/>
          <w:sz w:val="32"/>
          <w:szCs w:val="32"/>
        </w:rPr>
        <w:t xml:space="preserve">1. Resumo Executivo</w:t>
      </w:r>
    </w:p>
    <w:p>
      <w:pPr>
        <w:spacing w:after="140" w:before="0"/>
        <w:jc w:val="left"/>
      </w:pPr>
      <w:r>
        <w:rPr>
          <w:rFonts w:ascii="Arial" w:cs="Arial" w:eastAsia="Arial" w:hAnsi="Arial"/>
          <w:b w:val="false"/>
          <w:bCs w:val="false"/>
          <w:i w:val="false"/>
          <w:iCs w:val="false"/>
          <w:color w:val="000000"/>
          <w:sz w:val="20"/>
          <w:szCs w:val="20"/>
        </w:rPr>
        <w:t xml:space="preserve">O time de atendimento da NovaTech consulta em média 4 fontes por chamado, gastando aproximadamente 12 minutos por consulta. Em 15% dos casos, a resposta não é encontrada e o chamado é escalonado ao supervisor. O objetivo deste produto é reduzir o tempo de consulta para menos de 2 minutos por meio de um assistente de linguagem natural que recupera trechos relevantes da documentação interna e os apresenta ao atendente com indicação de fonte e nível de confiança.</w:t>
      </w:r>
    </w:p>
    <w:p>
      <w:pPr>
        <w:spacing w:after="140" w:before="0"/>
        <w:jc w:val="left"/>
      </w:pPr>
      <w:r>
        <w:rPr>
          <w:rFonts w:ascii="Arial" w:cs="Arial" w:eastAsia="Arial" w:hAnsi="Arial"/>
          <w:b w:val="false"/>
          <w:bCs w:val="false"/>
          <w:i w:val="false"/>
          <w:iCs w:val="false"/>
          <w:color w:val="000000"/>
          <w:sz w:val="20"/>
          <w:szCs w:val="20"/>
        </w:rPr>
        <w:t xml:space="preserve">O assistente atua como camada intermediária entre o atendente e a base documental — não substitui o julgamento humano, mas acelera o acesso à informação correta. Toda resposta gerada deve ser rastreável a um documento formal (POL, PROC, SLA). O assistente não inventa informações, não escolhe silenciosamente entre versões conflitantes e não valida como definitivas orientações do FAQ informal quando há documento formal divergente.</w:t>
      </w:r>
    </w:p>
    <w:p>
      <w:pPr>
        <w:spacing w:after="140" w:before="0"/>
        <w:jc w:val="left"/>
      </w:pPr>
      <w:r>
        <w:rPr>
          <w:rFonts w:ascii="Arial" w:cs="Arial" w:eastAsia="Arial" w:hAnsi="Arial"/>
          <w:b w:val="false"/>
          <w:bCs w:val="false"/>
          <w:i w:val="false"/>
          <w:iCs w:val="false"/>
          <w:color w:val="000000"/>
          <w:sz w:val="20"/>
          <w:szCs w:val="20"/>
        </w:rPr>
        <w:t xml:space="preserve">A maior ameaça à qualidade do assistente não é tecnológica, mas de curadoria: a base atual contém duas versões do PROC-042 coexistindo sem hierarquia clara, um FAQ informal sem dono e sem respaldo normativo, e ao menos quatro gaps documentais (carga danificada, seguro de carga, frete padrão, processo de Gestão de Riscos). Esses problemas devem ser tratados antes ou durante a implantação — caso contrário, o assistente amplificará as inconsistências existentes em vez de reduzi-las.</w:t>
      </w:r>
    </w:p>
    <w:p>
      <w:pPr>
        <w:spacing w:after="140" w:before="0"/>
        <w:jc w:val="left"/>
      </w:pPr>
      <w:r>
        <w:rPr>
          <w:rFonts w:ascii="Arial" w:cs="Arial" w:eastAsia="Arial" w:hAnsi="Arial"/>
          <w:b w:val="false"/>
          <w:bCs w:val="false"/>
          <w:i w:val="false"/>
          <w:iCs w:val="false"/>
          <w:color w:val="000000"/>
          <w:sz w:val="20"/>
          <w:szCs w:val="20"/>
        </w:rPr>
        <w:t xml:space="preserve">Este documento especifica os requisitos funcionais e não funcionais para a primeira versão do produto, os critérios de aceitação testáveis, as regras de decisão em conflito documental, a política de ausência de resposta e os cenários de teste BDD para os requisitos críticos.</w:t>
      </w:r>
    </w:p>
    <w:p>
      <w:r>
        <w:br w:type="page"/>
      </w:r>
    </w:p>
    <w:p>
      <w:pPr>
        <w:pStyle w:val="Heading1"/>
        <w:pBdr>
          <w:bottom w:val="single" w:color="2E75B6" w:sz="6" w:space="4"/>
        </w:pBdr>
        <w:spacing w:after="120" w:before="360"/>
      </w:pPr>
      <w:r>
        <w:rPr>
          <w:rFonts w:ascii="Arial" w:cs="Arial" w:eastAsia="Arial" w:hAnsi="Arial"/>
          <w:b/>
          <w:bCs/>
          <w:color w:val="1B3A6B"/>
          <w:sz w:val="32"/>
          <w:szCs w:val="32"/>
        </w:rPr>
        <w:t xml:space="preserve">2. Escopo e Não Escopo</w:t>
      </w:r>
    </w:p>
    <w:p>
      <w:pPr>
        <w:pStyle w:val="Heading2"/>
        <w:spacing w:after="100" w:before="280"/>
      </w:pPr>
      <w:r>
        <w:rPr>
          <w:rFonts w:ascii="Arial" w:cs="Arial" w:eastAsia="Arial" w:hAnsi="Arial"/>
          <w:b/>
          <w:bCs/>
          <w:color w:val="1B3A6B"/>
          <w:sz w:val="26"/>
          <w:szCs w:val="26"/>
        </w:rPr>
        <w:t xml:space="preserve">2.1 Dentro do Escopo</w:t>
      </w:r>
    </w:p>
    <w:p>
      <w:pPr>
        <w:pStyle w:val="ListParagraph"/>
        <w:numPr>
          <w:ilvl w:val="0"/>
          <w:numId w:val="2"/>
        </w:numPr>
        <w:spacing w:after="60"/>
      </w:pPr>
      <w:r>
        <w:rPr>
          <w:rFonts w:ascii="Arial" w:cs="Arial" w:eastAsia="Arial" w:hAnsi="Arial"/>
          <w:b w:val="false"/>
          <w:bCs w:val="false"/>
          <w:i w:val="false"/>
          <w:iCs w:val="false"/>
          <w:color w:val="000000"/>
          <w:sz w:val="20"/>
          <w:szCs w:val="20"/>
        </w:rPr>
        <w:t xml:space="preserve">Consulta documental em linguagem natural pelo atendente durante o atendimento ao cliente.</w:t>
      </w:r>
    </w:p>
    <w:p>
      <w:pPr>
        <w:pStyle w:val="ListParagraph"/>
        <w:numPr>
          <w:ilvl w:val="0"/>
          <w:numId w:val="2"/>
        </w:numPr>
        <w:spacing w:after="60"/>
      </w:pPr>
      <w:r>
        <w:rPr>
          <w:rFonts w:ascii="Arial" w:cs="Arial" w:eastAsia="Arial" w:hAnsi="Arial"/>
          <w:b w:val="false"/>
          <w:bCs w:val="false"/>
          <w:i w:val="false"/>
          <w:iCs w:val="false"/>
          <w:color w:val="000000"/>
          <w:sz w:val="20"/>
          <w:szCs w:val="20"/>
        </w:rPr>
        <w:t xml:space="preserve">Indexação dos seguintes documentos: POL-001 (Política de Devolução, v3.1), PROC-042-v2 (Frete Especial, v2.0 — novembro/2023), SLA-2024 (Tabela de SLA, v2024.1). O PROC-042-v1 deve ser indexado marcado como versão anterior, visível apenas para resolução de conflito.</w:t>
      </w:r>
    </w:p>
    <w:p>
      <w:pPr>
        <w:pStyle w:val="ListParagraph"/>
        <w:numPr>
          <w:ilvl w:val="0"/>
          <w:numId w:val="2"/>
        </w:numPr>
        <w:spacing w:after="60"/>
      </w:pPr>
      <w:r>
        <w:rPr>
          <w:rFonts w:ascii="Arial" w:cs="Arial" w:eastAsia="Arial" w:hAnsi="Arial"/>
          <w:b w:val="false"/>
          <w:bCs w:val="false"/>
          <w:i w:val="false"/>
          <w:iCs w:val="false"/>
          <w:color w:val="000000"/>
          <w:sz w:val="20"/>
          <w:szCs w:val="20"/>
        </w:rPr>
        <w:t xml:space="preserve">Recuperação de trechos relevantes (chunks) por similaridade semântica com a pergunta do atendente.</w:t>
      </w:r>
    </w:p>
    <w:p>
      <w:pPr>
        <w:pStyle w:val="ListParagraph"/>
        <w:numPr>
          <w:ilvl w:val="0"/>
          <w:numId w:val="2"/>
        </w:numPr>
        <w:spacing w:after="60"/>
      </w:pPr>
      <w:r>
        <w:rPr>
          <w:rFonts w:ascii="Arial" w:cs="Arial" w:eastAsia="Arial" w:hAnsi="Arial"/>
          <w:b w:val="false"/>
          <w:bCs w:val="false"/>
          <w:i w:val="false"/>
          <w:iCs w:val="false"/>
          <w:color w:val="000000"/>
          <w:sz w:val="20"/>
          <w:szCs w:val="20"/>
        </w:rPr>
        <w:t xml:space="preserve">Apresentação de resposta com: orientação em linguagem clara, trecho do documento fonte, nome e versão do documento, data de vigência declarada e nível de confiança (alto / médio / baixo).</w:t>
      </w:r>
    </w:p>
    <w:p>
      <w:pPr>
        <w:pStyle w:val="ListParagraph"/>
        <w:numPr>
          <w:ilvl w:val="0"/>
          <w:numId w:val="2"/>
        </w:numPr>
        <w:spacing w:after="60"/>
      </w:pPr>
      <w:r>
        <w:rPr>
          <w:rFonts w:ascii="Arial" w:cs="Arial" w:eastAsia="Arial" w:hAnsi="Arial"/>
          <w:b w:val="false"/>
          <w:bCs w:val="false"/>
          <w:i w:val="false"/>
          <w:iCs w:val="false"/>
          <w:color w:val="000000"/>
          <w:sz w:val="20"/>
          <w:szCs w:val="20"/>
        </w:rPr>
        <w:t xml:space="preserve">Fluxos de fallback para: ausência de resposta, conflito entre documentos, resposta parcial, discordância do atendente e casos de validação humana obrigatória.</w:t>
      </w:r>
    </w:p>
    <w:p>
      <w:pPr>
        <w:pStyle w:val="ListParagraph"/>
        <w:numPr>
          <w:ilvl w:val="0"/>
          <w:numId w:val="2"/>
        </w:numPr>
        <w:spacing w:after="60"/>
      </w:pPr>
      <w:r>
        <w:rPr>
          <w:rFonts w:ascii="Arial" w:cs="Arial" w:eastAsia="Arial" w:hAnsi="Arial"/>
          <w:b w:val="false"/>
          <w:bCs w:val="false"/>
          <w:i w:val="false"/>
          <w:iCs w:val="false"/>
          <w:color w:val="000000"/>
          <w:sz w:val="20"/>
          <w:szCs w:val="20"/>
        </w:rPr>
        <w:t xml:space="preserve">Coleta de feedback do atendente e encaminhamento para ciclo de revisão de conteúdo.</w:t>
      </w:r>
    </w:p>
    <w:p>
      <w:pPr>
        <w:spacing w:after="60" w:before="0"/>
        <w:jc w:val="left"/>
      </w:pPr>
      <w:r>
        <w:rPr>
          <w:rFonts w:ascii="Arial" w:cs="Arial" w:eastAsia="Arial" w:hAnsi="Arial"/>
          <w:b w:val="false"/>
          <w:bCs w:val="false"/>
          <w:i w:val="false"/>
          <w:iCs w:val="false"/>
          <w:color w:val="000000"/>
          <w:sz w:val="20"/>
          <w:szCs w:val="20"/>
        </w:rPr>
        <w:t xml:space="preserve"/>
      </w:r>
    </w:p>
    <w:p>
      <w:pPr>
        <w:pStyle w:val="Heading2"/>
        <w:spacing w:after="100" w:before="280"/>
      </w:pPr>
      <w:r>
        <w:rPr>
          <w:rFonts w:ascii="Arial" w:cs="Arial" w:eastAsia="Arial" w:hAnsi="Arial"/>
          <w:b/>
          <w:bCs/>
          <w:color w:val="1B3A6B"/>
          <w:sz w:val="26"/>
          <w:szCs w:val="26"/>
        </w:rPr>
        <w:t xml:space="preserve">2.2 Fora do Escopo</w:t>
      </w:r>
    </w:p>
    <w:p>
      <w:pPr>
        <w:pStyle w:val="ListParagraph"/>
        <w:numPr>
          <w:ilvl w:val="0"/>
          <w:numId w:val="2"/>
        </w:numPr>
        <w:spacing w:after="60"/>
      </w:pPr>
      <w:r>
        <w:rPr>
          <w:rFonts w:ascii="Arial" w:cs="Arial" w:eastAsia="Arial" w:hAnsi="Arial"/>
          <w:b w:val="false"/>
          <w:bCs w:val="false"/>
          <w:i w:val="false"/>
          <w:iCs w:val="false"/>
          <w:color w:val="000000"/>
          <w:sz w:val="20"/>
          <w:szCs w:val="20"/>
        </w:rPr>
        <w:t xml:space="preserve">Resposta direta ao cliente final — o assistente orienta o atendente, não o cliente.</w:t>
      </w:r>
    </w:p>
    <w:p>
      <w:pPr>
        <w:pStyle w:val="ListParagraph"/>
        <w:numPr>
          <w:ilvl w:val="0"/>
          <w:numId w:val="2"/>
        </w:numPr>
        <w:spacing w:after="60"/>
      </w:pPr>
      <w:r>
        <w:rPr>
          <w:rFonts w:ascii="Arial" w:cs="Arial" w:eastAsia="Arial" w:hAnsi="Arial"/>
          <w:b w:val="false"/>
          <w:bCs w:val="false"/>
          <w:i w:val="false"/>
          <w:iCs w:val="false"/>
          <w:color w:val="000000"/>
          <w:sz w:val="20"/>
          <w:szCs w:val="20"/>
        </w:rPr>
        <w:t xml:space="preserve">Processamento de chamados, abertura de tickets ou integração com sistema de atendimento (fase futura).</w:t>
      </w:r>
    </w:p>
    <w:p>
      <w:pPr>
        <w:pStyle w:val="ListParagraph"/>
        <w:numPr>
          <w:ilvl w:val="0"/>
          <w:numId w:val="2"/>
        </w:numPr>
        <w:spacing w:after="60"/>
      </w:pPr>
      <w:r>
        <w:rPr>
          <w:rFonts w:ascii="Arial" w:cs="Arial" w:eastAsia="Arial" w:hAnsi="Arial"/>
          <w:b w:val="false"/>
          <w:bCs w:val="false"/>
          <w:i w:val="false"/>
          <w:iCs w:val="false"/>
          <w:color w:val="000000"/>
          <w:sz w:val="20"/>
          <w:szCs w:val="20"/>
        </w:rPr>
        <w:t xml:space="preserve">FAQ-Atendimento como fonte primária indexada — este documento pode ser referenciado como contexto de segundo nível, mas não como fonte normativa.</w:t>
      </w:r>
    </w:p>
    <w:p>
      <w:pPr>
        <w:pStyle w:val="ListParagraph"/>
        <w:numPr>
          <w:ilvl w:val="0"/>
          <w:numId w:val="2"/>
        </w:numPr>
        <w:spacing w:after="60"/>
      </w:pPr>
      <w:r>
        <w:rPr>
          <w:rFonts w:ascii="Arial" w:cs="Arial" w:eastAsia="Arial" w:hAnsi="Arial"/>
          <w:b w:val="false"/>
          <w:bCs w:val="false"/>
          <w:i w:val="false"/>
          <w:iCs w:val="false"/>
          <w:color w:val="000000"/>
          <w:sz w:val="20"/>
          <w:szCs w:val="20"/>
        </w:rPr>
        <w:t xml:space="preserve">Documentos sem data de vigência, sem responsável formal ou com classificação 'não controlado' devem ser tratados como fontes de apoio, nunca como evidência primária.</w:t>
      </w:r>
    </w:p>
    <w:p>
      <w:pPr>
        <w:pStyle w:val="ListParagraph"/>
        <w:numPr>
          <w:ilvl w:val="0"/>
          <w:numId w:val="2"/>
        </w:numPr>
        <w:spacing w:after="60"/>
      </w:pPr>
      <w:r>
        <w:rPr>
          <w:rFonts w:ascii="Arial" w:cs="Arial" w:eastAsia="Arial" w:hAnsi="Arial"/>
          <w:b w:val="false"/>
          <w:bCs w:val="false"/>
          <w:i w:val="false"/>
          <w:iCs w:val="false"/>
          <w:color w:val="000000"/>
          <w:sz w:val="20"/>
          <w:szCs w:val="20"/>
        </w:rPr>
        <w:t xml:space="preserve">Qualquer resposta sobre frete padrão (cargas abaixo de 500kg) — não há documentação formal na base para essa faixa; o assistente deve declarar ausência de evidência.</w:t>
      </w:r>
    </w:p>
    <w:p>
      <w:pPr>
        <w:pStyle w:val="ListParagraph"/>
        <w:numPr>
          <w:ilvl w:val="0"/>
          <w:numId w:val="2"/>
        </w:numPr>
        <w:spacing w:after="60"/>
      </w:pPr>
      <w:r>
        <w:rPr>
          <w:rFonts w:ascii="Arial" w:cs="Arial" w:eastAsia="Arial" w:hAnsi="Arial"/>
          <w:b w:val="false"/>
          <w:bCs w:val="false"/>
          <w:i w:val="false"/>
          <w:iCs w:val="false"/>
          <w:color w:val="000000"/>
          <w:sz w:val="20"/>
          <w:szCs w:val="20"/>
        </w:rPr>
        <w:t xml:space="preserve">Seguro de carga — os percentuais do FAQ Item 22 não têm respaldo em documento normativo formal na base atual; não devem ser indexados como evidência primária.</w:t>
      </w:r>
    </w:p>
    <w:p>
      <w:r>
        <w:br w:type="page"/>
      </w:r>
    </w:p>
    <w:p>
      <w:pPr>
        <w:pStyle w:val="Heading1"/>
        <w:pBdr>
          <w:bottom w:val="single" w:color="2E75B6" w:sz="6" w:space="4"/>
        </w:pBdr>
        <w:spacing w:after="120" w:before="360"/>
      </w:pPr>
      <w:r>
        <w:rPr>
          <w:rFonts w:ascii="Arial" w:cs="Arial" w:eastAsia="Arial" w:hAnsi="Arial"/>
          <w:b/>
          <w:bCs/>
          <w:color w:val="1B3A6B"/>
          <w:sz w:val="32"/>
          <w:szCs w:val="32"/>
        </w:rPr>
        <w:t xml:space="preserve">3. Requisitos Funcionais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100"/>
        <w:gridCol w:w="2260"/>
        <w:gridCol w:w="1900"/>
      </w:tblGrid>
      <w:tr>
        <w:trPr>
          <w:tblHeader/>
        </w:trPr>
        <w:tc>
          <w:tcPr>
            <w:tcW w:type="dxa" w:w="7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FFFFFF"/>
                <w:sz w:val="18"/>
                <w:szCs w:val="18"/>
              </w:rPr>
              <w:t xml:space="preserve">ID</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FFFFFF"/>
                <w:sz w:val="18"/>
                <w:szCs w:val="18"/>
              </w:rPr>
              <w:t xml:space="preserve">Requisito</w:t>
            </w:r>
          </w:p>
        </w:tc>
        <w:tc>
          <w:tcPr>
            <w:tcW w:type="dxa" w:w="21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FFFFFF"/>
                <w:sz w:val="18"/>
                <w:szCs w:val="18"/>
              </w:rPr>
              <w:t xml:space="preserve">Justificativa de Negócio</w:t>
            </w:r>
          </w:p>
        </w:tc>
        <w:tc>
          <w:tcPr>
            <w:tcW w:type="dxa" w:w="22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FFFFFF"/>
                <w:sz w:val="18"/>
                <w:szCs w:val="18"/>
              </w:rPr>
              <w:t xml:space="preserve">Critério de Aceitação (testável)</w:t>
            </w:r>
          </w:p>
        </w:tc>
        <w:tc>
          <w:tcPr>
            <w:tcW w:type="dxa" w:w="1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FFFFFF"/>
                <w:sz w:val="18"/>
                <w:szCs w:val="18"/>
              </w:rPr>
              <w:t xml:space="preserve">Evidência Documental Esperada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RF-01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O assistente deve responder perguntas sobre política de devolução (prazo, elegibilidade, procedimento, custos) com base exclusivamente em trechos indexados da POL-001.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35% das dúvidas são sobre prazos; política de devolução é a terceira categoria mais consultada (20%). Respostas incorretas geram retrabalho e reclamações.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Dado que o atendente pergunta sobre prazo de devolução, a resposta cita o prazo de 7 dias úteis (seção 3.1 da POL-001) e indica a fonte. QA verifica citação de fonte e prazo correto.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Chunk POL-001-A (seção 3.1), POL-001-B (seção 3.2), POL-001-C (seção 3.3), POL-001-D (seção 3.5)</w:t>
            </w:r>
          </w:p>
        </w:tc>
      </w:tr>
      <w:tr>
        <w:tc>
          <w:tcPr>
            <w:tcW w:type="dxa" w:w="7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RF-02</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O assistente deve responder sobre regras de frete especial (cálculo, multiplicadores, prazo) usando exclusivamente a PROC-042-v2 (versão novembro/2023) para chamados novos.</w:t>
            </w:r>
          </w:p>
        </w:tc>
        <w:tc>
          <w:tcPr>
            <w:tcW w:type="dxa" w:w="21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25% das dúvidas são sobre regras de frete. A existência de duas versões da PROC-042 é o principal risco de resposta errada identificado na análise documental.</w:t>
            </w:r>
          </w:p>
        </w:tc>
        <w:tc>
          <w:tcPr>
            <w:tcW w:type="dxa" w:w="22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Dado que um chamado foi aberto após 01/12/2023, a resposta usa multiplicadores da v2 (ex: Norte = 1,8) e não da v1 (Norte = 1,6). QA verifica qual versão foi citada e compara com PROC-042v2-B.</w:t>
            </w:r>
          </w:p>
        </w:tc>
        <w:tc>
          <w:tcPr>
            <w:tcW w:type="dxa" w:w="1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Chunks PROC-042v2-A, PROC-042v2-B, PROC-042v2-C, PROC-042v2-D, PROC-042v2-E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RF-03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O assistente deve responder sobre SLAs incluindo obrigatoriamente: tier do cliente (Gold/Silver/Standard), valores da SLA-2024, distinção entre chamado geral e incidente crítico, e critério de medição.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Resposta incompleta sobre SLA (só valores numéricos, sem contexto de tier ou tipo de chamado) cria expectativa errada no cliente e expõe a NovaTech a litígio contratual.</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Dado que o atendente pergunta sobre SLA de cliente Gold, a resposta inclui: tier, valores de resposta e resolução para chamado geral E incidente crítico, e menção ao critério de horário comercial. QA verifica presença dos quatro elementos.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Chunks SLA-2024-A, SLA-2024-B, SLA-2024-C, SLA-2024-D</w:t>
            </w:r>
          </w:p>
        </w:tc>
      </w:tr>
      <w:tr>
        <w:tc>
          <w:tcPr>
            <w:tcW w:type="dxa" w:w="7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RF-04</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O assistente deve identificar e sinalizar conflito quando dois documentos indexados contiverem regras incompatíveis sobre o mesmo tema, apresentando ambos os trechos e acionando fluxo de fallback.</w:t>
            </w:r>
          </w:p>
        </w:tc>
        <w:tc>
          <w:tcPr>
            <w:tcW w:type="dxa" w:w="21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O PROC-042-v1 e PROC-042-v2 têm multiplicadores e fatores de peso distintos e coexistem na base sem hierarquia formal. Escolher silenciosamente qualquer versão pode gerar cobrança incorreta ao cliente.</w:t>
            </w:r>
          </w:p>
        </w:tc>
        <w:tc>
          <w:tcPr>
            <w:tcW w:type="dxa" w:w="22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Dado que o pipeline recupera chunks de ambas as versões do PROC-042 sobre o mesmo tema, a resposta exibe os dois trechos identificados por versão, alerta sobre o conflito e instrui o atendente a escalonar. QA verifica que nenhuma versão foi escolhida automaticamente.</w:t>
            </w:r>
          </w:p>
        </w:tc>
        <w:tc>
          <w:tcPr>
            <w:tcW w:type="dxa" w:w="1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Chunks PROC-042-B (v1), PROC-042v2-B (v2) — conflito explícito de multiplicadores regionais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RF-05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O assistente não deve responder sobre temas sem evidência documental na base (ex: frete padrão &lt; 500kg, seguro de carga, carga danificada). Deve declarar ausência de cobertura e acionar fluxo de escalonamento.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Perguntas sem documento formal de suporte são o principal gerador de alucinação. Inventar resposta para frete &lt; 500kg ou seguro de carga causaria prejuízo direto ao cliente ou à NovaTech.</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Dado que o atendente pergunta sobre frete para carga de 300kg, a resposta declara explicitamente que não há documentação formal na base para frete padrão e instrui escalonamento. QA verifica que nenhum valor foi gerado.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Nenhum chunk cobre frete padrão (&lt; 500kg). Ausência de evidência é o critério de disparo.</w:t>
            </w:r>
          </w:p>
        </w:tc>
      </w:tr>
      <w:tr>
        <w:tc>
          <w:tcPr>
            <w:tcW w:type="dxa" w:w="7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RF-06</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O assistente não deve criar expectativa de exceção para políticas categóricas (ex: devolução de carga perigosa) sem respaldo documental. Deve refletir a restrição formal e encaminhar ao fluxo 3.5.</w:t>
            </w:r>
          </w:p>
        </w:tc>
        <w:tc>
          <w:tcPr>
            <w:tcW w:type="dxa" w:w="21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O FAQ-03 sugere informalidade ('já tiveram casos de exceção'), mas a POL-001 seção 3.2 é categórica: cargas perigosas classes 1-6 NÃO são elegíveis pelo processo padrão. Resposta aberta gera falsa expectativa ao cliente.</w:t>
            </w:r>
          </w:p>
        </w:tc>
        <w:tc>
          <w:tcPr>
            <w:tcW w:type="dxa" w:w="22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Dado que o atendente pergunta sobre devolução de carga perigosa classe 3, a resposta cita a restrição da seção 3.2 da POL-001 e encaminha para Gestão de Riscos (ramal 4500). Não menciona exceção. QA verifica ausência de linguagem condicional ('pode haver').</w:t>
            </w:r>
          </w:p>
        </w:tc>
        <w:tc>
          <w:tcPr>
            <w:tcW w:type="dxa" w:w="1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Chunk POL-001-B (seção 3.2) — restrição categórica. FAQ-03 não deve ser citado como autoridade.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RF-07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O assistente deve identificar quando a pergunta envolve tier inexistente (ex: Platinum) e responder corretamente que apenas Gold, Silver e Standard existem, citando SLA-2024.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Clientes ou atendentes confundem tiers, especialmente o programa de fidelidade descontinuado em 2022. Responder com SLAs inventados para 'Platinum' é alucinação pura.</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Dado que o atendente pergunta sobre SLA do cliente Platinum, a resposta afirma que esse tier não existe, lista os três tiers vigentes e cita SLA-2024 seção 1. QA verifica ausência de valores de SLA para Platinum.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Chunk SLA-2024-A — declara explicitamente que só existem 3 tiers. FAQ-15 confirma.</w:t>
            </w:r>
          </w:p>
        </w:tc>
      </w:tr>
      <w:tr>
        <w:tc>
          <w:tcPr>
            <w:tcW w:type="dxa" w:w="7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RF-08</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O assistente deve sempre indicar, em respostas sobre prazo de entrega, qual versão do documento foi usada, se há outra versão indexada na base e a data de vigência declarada.</w:t>
            </w:r>
          </w:p>
        </w:tc>
        <w:tc>
          <w:tcPr>
            <w:tcW w:type="dxa" w:w="21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O prazo de frete especial varia entre v1 (+2 dias) e v2 (+3 dias). Resposta sem rastreabilidade de versão pode comprometer expectativa de entrega e SLA com o cliente.</w:t>
            </w:r>
          </w:p>
        </w:tc>
        <w:tc>
          <w:tcPr>
            <w:tcW w:type="dxa" w:w="22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Dado que o atendente pergunta sobre prazo de frete especial, a resposta indica 'PROC-042-v2 (novembro/2023)' como fonte, menciona que existe uma v1 na base e informa +3 dias úteis. QA verifica presença dos três elementos.</w:t>
            </w:r>
          </w:p>
        </w:tc>
        <w:tc>
          <w:tcPr>
            <w:tcW w:type="dxa" w:w="1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Chunk PROC-042v2-C (prazo v2), PROC-042v2-E (disposições transitórias), PROC-042-C (prazo v1 — para referência de conflito)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RF-09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O assistente deve coletar feedback do atendente ao final de cada consulta e encaminhar para o ciclo de revisão conforme a categoria (errado, desatualizado, incompleto, fonte insuficiente, conflito com a prática).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Sem feedback estruturado, gaps e erros da base ficam invisíveis até gerarem incidentes. O ciclo de melhoria contínua depende de dados qualificados dos atendentes.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Dado que o atendente classifica uma resposta como 'resposta errada', o sistema registra: categoria, descrição, ID do chamado e fonte citada. Dentro de 24h, a equipe de curadoria acusa recebimento. QA verifica log do feedback e SLA de resposta.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Documento 'jornada-atendente-assistente-ia.md' — seções 4.1, 4.2 e 4.3</w:t>
            </w:r>
          </w:p>
        </w:tc>
      </w:tr>
      <w:tr>
        <w:tc>
          <w:tcPr>
            <w:tcW w:type="dxa" w:w="7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RF-10</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O assistente deve aplicar a ordem de precedência documental definida nesta especificação ao priorizar fontes em caso de ambiguidade: (1) Política corporativa vigente, (2) Procedimento mais recente aprovado, (3) FAQ operacional, (4) Conteúdos sem data/sem aprovação.</w:t>
            </w:r>
          </w:p>
        </w:tc>
        <w:tc>
          <w:tcPr>
            <w:tcW w:type="dxa" w:w="21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Sem precedência clara, o assistente pode responder com base no FAQ informal ignorando a política formal — o que representa risco regulatório, comercial e de imagem.</w:t>
            </w:r>
          </w:p>
        </w:tc>
        <w:tc>
          <w:tcPr>
            <w:tcW w:type="dxa" w:w="22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Dado que FAQ e POL divergem sobre o mesmo tema (ex: devolução de carga perigosa), a resposta prioriza a POL-001 e sinaliza a divergência com o FAQ. QA verifica qual fonte foi citada como primária.</w:t>
            </w:r>
          </w:p>
        </w:tc>
        <w:tc>
          <w:tcPr>
            <w:tcW w:type="dxa" w:w="1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POL-001 (normativa, prioridade 1), PROC-042-v2 (procedimento recente, prioridade 2), FAQ-Atendimento (informal, prioridade 3)</w:t>
            </w:r>
          </w:p>
        </w:tc>
      </w:tr>
    </w:tbl>
    <w:p>
      <w:pPr>
        <w:spacing w:after="60" w:before="0"/>
        <w:jc w:val="left"/>
      </w:pPr>
      <w:r>
        <w:rPr>
          <w:rFonts w:ascii="Arial" w:cs="Arial" w:eastAsia="Arial" w:hAnsi="Arial"/>
          <w:b w:val="false"/>
          <w:bCs w:val="false"/>
          <w:i w:val="false"/>
          <w:iCs w:val="false"/>
          <w:color w:val="000000"/>
          <w:sz w:val="20"/>
          <w:szCs w:val="20"/>
        </w:rPr>
        <w:t xml:space="preserve"/>
      </w:r>
    </w:p>
    <w:p>
      <w:r>
        <w:br w:type="page"/>
      </w:r>
    </w:p>
    <w:p>
      <w:pPr>
        <w:pStyle w:val="Heading1"/>
        <w:pBdr>
          <w:bottom w:val="single" w:color="2E75B6" w:sz="6" w:space="4"/>
        </w:pBdr>
        <w:spacing w:after="120" w:before="360"/>
      </w:pPr>
      <w:r>
        <w:rPr>
          <w:rFonts w:ascii="Arial" w:cs="Arial" w:eastAsia="Arial" w:hAnsi="Arial"/>
          <w:b/>
          <w:bCs/>
          <w:color w:val="1B3A6B"/>
          <w:sz w:val="32"/>
          <w:szCs w:val="32"/>
        </w:rPr>
        <w:t xml:space="preserve">4. Requisitos Não Funcionais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560"/>
        <w:gridCol w:w="3300"/>
      </w:tblGrid>
      <w:tr>
        <w:trPr>
          <w:tblHeader/>
        </w:trPr>
        <w:tc>
          <w:tcPr>
            <w:tcW w:type="dxa" w:w="7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FFFFFF"/>
                <w:sz w:val="18"/>
                <w:szCs w:val="18"/>
              </w:rPr>
              <w:t xml:space="preserve">ID</w:t>
            </w:r>
          </w:p>
        </w:tc>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FFFFFF"/>
                <w:sz w:val="18"/>
                <w:szCs w:val="18"/>
              </w:rPr>
              <w:t xml:space="preserve">Requisito</w:t>
            </w:r>
          </w:p>
        </w:tc>
        <w:tc>
          <w:tcPr>
            <w:tcW w:type="dxa" w:w="2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FFFFFF"/>
                <w:sz w:val="18"/>
                <w:szCs w:val="18"/>
              </w:rPr>
              <w:t xml:space="preserve">Métrica / SLA</w:t>
            </w:r>
          </w:p>
        </w:tc>
        <w:tc>
          <w:tcPr>
            <w:tcW w:type="dxa" w:w="33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FFFFFF"/>
                <w:sz w:val="18"/>
                <w:szCs w:val="18"/>
              </w:rPr>
              <w:t xml:space="preserve">Como Validar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RNF-01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Tempo de resposta do assistente ao atendente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Resposta apresentada em até 10 segundos após envio da pergunta (percentil 95 das consultas).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Teste de carga com 50 consultas simultâneas. Medir tempo do envio ao primeiro token exibido. Registrar p95 e p99. Critério de falha: &gt; 10s no p95.</w:t>
            </w:r>
          </w:p>
        </w:tc>
      </w:tr>
      <w:tr>
        <w:tc>
          <w:tcPr>
            <w:tcW w:type="dxa" w:w="7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RNF-02</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Taxa de cobertura das perguntas mais frequentes</w:t>
            </w:r>
          </w:p>
        </w:tc>
        <w:tc>
          <w:tcPr>
            <w:tcW w:type="dxa" w:w="2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Ao menos 80% das perguntas sobre os temas cobertos por documentação formal (devolução, frete especial, SLA) devem receber resposta com confiança alta ou média — sem acionar fallback de ausência.</w:t>
            </w:r>
          </w:p>
        </w:tc>
        <w:tc>
          <w:tcPr>
            <w:tcW w:type="dxa" w:w="33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Aplicar conjunto de 50 perguntas-teste derivadas dos temas documentados. Classificar respostas por nível de confiança. Calcular taxa de cobertura. Critério de falha: &lt; 80%.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RNF-03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Taxa de alucinação (resposta sem evidência documental apresentada como certa)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Zero respostas com conteúdo inventado apresentadas com confiança alta. Máximo 2% de respostas com conteúdo sem fonte identificável.</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Aplicar 20 perguntas sobre temas sem cobertura documental (ex: frete &lt; 500kg, seguro de carga). Verificar se o assistente declarou ausência de evidência. Qualquer resposta com conteúdo inventado é falha crítica.</w:t>
            </w:r>
          </w:p>
        </w:tc>
      </w:tr>
      <w:tr>
        <w:tc>
          <w:tcPr>
            <w:tcW w:type="dxa" w:w="7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RNF-04</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Atualização da base após publicação de novo documento normativo</w:t>
            </w:r>
          </w:p>
        </w:tc>
        <w:tc>
          <w:tcPr>
            <w:tcW w:type="dxa" w:w="2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Novo documento indexado e disponível para consulta em até 24 horas após publicação no repositório oficial (SharePoint/wiki interna).</w:t>
            </w:r>
          </w:p>
        </w:tc>
        <w:tc>
          <w:tcPr>
            <w:tcW w:type="dxa" w:w="33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Publicar documento-teste no repositório às 09h. Verificar disponibilidade no assistente às 09h do dia seguinte. Registrar delta de tempo. Critério de falha: &gt; 24h.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RNF-05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Rastreabilidade mínima da resposta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100% das respostas com confiança alta ou média devem apresentar: nome do documento, número da versão, trecho citado e data de vigência (quando disponível no documento).</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Auditar amostra de 30 respostas com confiança alta/média. Verificar presença dos quatro elementos. Critério de falha: qualquer resposta sem todos os elementos presentes.</w:t>
            </w:r>
          </w:p>
        </w:tc>
      </w:tr>
      <w:tr>
        <w:tc>
          <w:tcPr>
            <w:tcW w:type="dxa" w:w="7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RNF-06</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Prazo de triagem de feedbacks críticos ('resposta errada' em temas de alto risco)</w:t>
            </w:r>
          </w:p>
        </w:tc>
        <w:tc>
          <w:tcPr>
            <w:tcW w:type="dxa" w:w="2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Feedback marcado como 'resposta errada' em tema de carga perigosa, SLA ou política de devolução deve ser triado pela equipe de curadoria em até 24 horas da submissão.</w:t>
            </w:r>
          </w:p>
        </w:tc>
        <w:tc>
          <w:tcPr>
            <w:tcW w:type="dxa" w:w="33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Submeter feedback de teste marcado como crítico. Verificar timestamp de triagem no sistema. Critério de falha: &gt; 24h sem acuse de recebimento ou início de revisão.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RNF-07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Identificação e sinalização de conflito entre versões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100% das perguntas que recuperem chunks de versões contraditórias do mesmo documento devem exibir alerta de conflito — nunca escolher silenciosamente uma versão.</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Formular perguntas que forçam recuperação de chunks de PROC-042-v1 e v2 simultaneamente. Verificar se alerta aparece em todos os casos. Critério de falha: qualquer resposta sem alerta em contexto de conflito.</w:t>
            </w:r>
          </w:p>
        </w:tc>
      </w:tr>
      <w:tr>
        <w:tc>
          <w:tcPr>
            <w:tcW w:type="dxa" w:w="7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RNF-08</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Disponibilidade do assistente em horário comercial</w:t>
            </w:r>
          </w:p>
        </w:tc>
        <w:tc>
          <w:tcPr>
            <w:tcW w:type="dxa" w:w="2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Disponibilidade mínima de 99% em dias úteis das 08h às 18h (horário de Brasília).</w:t>
            </w:r>
          </w:p>
        </w:tc>
        <w:tc>
          <w:tcPr>
            <w:tcW w:type="dxa" w:w="33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Monitoramento contínuo com health check a cada 5 minutos. Calcular uptime mensal. Registrar incidentes com timestamp e duração. Critério de falha: uptime mensal &lt; 99%.</w:t>
            </w:r>
          </w:p>
        </w:tc>
      </w:tr>
    </w:tbl>
    <w:p>
      <w:pPr>
        <w:spacing w:after="60" w:before="0"/>
        <w:jc w:val="left"/>
      </w:pPr>
      <w:r>
        <w:rPr>
          <w:rFonts w:ascii="Arial" w:cs="Arial" w:eastAsia="Arial" w:hAnsi="Arial"/>
          <w:b w:val="false"/>
          <w:bCs w:val="false"/>
          <w:i w:val="false"/>
          <w:iCs w:val="false"/>
          <w:color w:val="000000"/>
          <w:sz w:val="20"/>
          <w:szCs w:val="20"/>
        </w:rPr>
        <w:t xml:space="preserve"/>
      </w:r>
    </w:p>
    <w:p>
      <w:r>
        <w:br w:type="page"/>
      </w:r>
    </w:p>
    <w:p>
      <w:pPr>
        <w:pStyle w:val="Heading1"/>
        <w:pBdr>
          <w:bottom w:val="single" w:color="2E75B6" w:sz="6" w:space="4"/>
        </w:pBdr>
        <w:spacing w:after="120" w:before="360"/>
      </w:pPr>
      <w:r>
        <w:rPr>
          <w:rFonts w:ascii="Arial" w:cs="Arial" w:eastAsia="Arial" w:hAnsi="Arial"/>
          <w:b/>
          <w:bCs/>
          <w:color w:val="1B3A6B"/>
          <w:sz w:val="32"/>
          <w:szCs w:val="32"/>
        </w:rPr>
        <w:t xml:space="preserve">5. Regras de Decisão em Conflito Documental</w:t>
      </w:r>
    </w:p>
    <w:p>
      <w:pPr>
        <w:spacing w:after="140" w:before="0"/>
        <w:jc w:val="left"/>
      </w:pPr>
      <w:r>
        <w:rPr>
          <w:rFonts w:ascii="Arial" w:cs="Arial" w:eastAsia="Arial" w:hAnsi="Arial"/>
          <w:b w:val="false"/>
          <w:bCs w:val="false"/>
          <w:i w:val="false"/>
          <w:iCs w:val="false"/>
          <w:color w:val="000000"/>
          <w:sz w:val="20"/>
          <w:szCs w:val="20"/>
        </w:rPr>
        <w:t xml:space="preserve">Quando o pipeline de recuperação retornar trechos de documentos contraditórios, o assistente aplica as seguintes regras em ordem de prioridade:</w:t>
      </w:r>
    </w:p>
    <w:p>
      <w:pPr>
        <w:pStyle w:val="Heading2"/>
        <w:spacing w:after="100" w:before="280"/>
      </w:pPr>
      <w:r>
        <w:rPr>
          <w:rFonts w:ascii="Arial" w:cs="Arial" w:eastAsia="Arial" w:hAnsi="Arial"/>
          <w:b/>
          <w:bCs/>
          <w:color w:val="1B3A6B"/>
          <w:sz w:val="26"/>
          <w:szCs w:val="26"/>
        </w:rPr>
        <w:t xml:space="preserve">5.1 Ordem de Precedência</w:t>
      </w:r>
    </w:p>
    <w:p>
      <w:pPr>
        <w:pStyle w:val="ListParagraph"/>
        <w:numPr>
          <w:ilvl w:val="0"/>
          <w:numId w:val="3"/>
        </w:numPr>
        <w:spacing w:after="80"/>
      </w:pPr>
      <w:r>
        <w:rPr>
          <w:rFonts w:ascii="Arial" w:cs="Arial" w:eastAsia="Arial" w:hAnsi="Arial"/>
          <w:b/>
          <w:bCs/>
          <w:i w:val="false"/>
          <w:iCs w:val="false"/>
          <w:color w:val="000000"/>
          <w:sz w:val="20"/>
          <w:szCs w:val="20"/>
        </w:rPr>
        <w:t xml:space="preserve">Política corporativa vigente (POL)</w:t>
      </w:r>
      <w:r>
        <w:rPr>
          <w:rFonts w:ascii="Arial" w:cs="Arial" w:eastAsia="Arial" w:hAnsi="Arial"/>
          <w:b w:val="false"/>
          <w:bCs w:val="false"/>
          <w:i w:val="false"/>
          <w:iCs w:val="false"/>
          <w:color w:val="000000"/>
          <w:sz w:val="20"/>
          <w:szCs w:val="20"/>
        </w:rPr>
        <w:t xml:space="preserve"> — documentos normativos com responsável formal, versão e data. Ex: POL-001. Prevalecem sobre qualquer procedimento ou FAQ.</w:t>
      </w:r>
    </w:p>
    <w:p>
      <w:pPr>
        <w:pStyle w:val="ListParagraph"/>
        <w:numPr>
          <w:ilvl w:val="0"/>
          <w:numId w:val="3"/>
        </w:numPr>
        <w:spacing w:after="80"/>
      </w:pPr>
      <w:r>
        <w:rPr>
          <w:rFonts w:ascii="Arial" w:cs="Arial" w:eastAsia="Arial" w:hAnsi="Arial"/>
          <w:b/>
          <w:bCs/>
          <w:i w:val="false"/>
          <w:iCs w:val="false"/>
          <w:color w:val="000000"/>
          <w:sz w:val="20"/>
          <w:szCs w:val="20"/>
        </w:rPr>
        <w:t xml:space="preserve">Procedimento mais recente aprovado (PROC)</w:t>
      </w:r>
      <w:r>
        <w:rPr>
          <w:rFonts w:ascii="Arial" w:cs="Arial" w:eastAsia="Arial" w:hAnsi="Arial"/>
          <w:b w:val="false"/>
          <w:bCs w:val="false"/>
          <w:i w:val="false"/>
          <w:iCs w:val="false"/>
          <w:color w:val="000000"/>
          <w:sz w:val="20"/>
          <w:szCs w:val="20"/>
        </w:rPr>
        <w:t xml:space="preserve"> — quando dois PROCs versam sobre o mesmo tema, prevalece o de data de emissão mais recente com responsável identificado. Ex: PROC-042-v2 (nov/2023) prevalece sobre PROC-042-v1 (mar/2023).</w:t>
      </w:r>
    </w:p>
    <w:p>
      <w:pPr>
        <w:pStyle w:val="ListParagraph"/>
        <w:numPr>
          <w:ilvl w:val="0"/>
          <w:numId w:val="3"/>
        </w:numPr>
        <w:spacing w:after="80"/>
      </w:pPr>
      <w:r>
        <w:rPr>
          <w:rFonts w:ascii="Arial" w:cs="Arial" w:eastAsia="Arial" w:hAnsi="Arial"/>
          <w:b/>
          <w:bCs/>
          <w:i w:val="false"/>
          <w:iCs w:val="false"/>
          <w:color w:val="000000"/>
          <w:sz w:val="20"/>
          <w:szCs w:val="20"/>
        </w:rPr>
        <w:t xml:space="preserve">FAQ operacional</w:t>
      </w:r>
      <w:r>
        <w:rPr>
          <w:rFonts w:ascii="Arial" w:cs="Arial" w:eastAsia="Arial" w:hAnsi="Arial"/>
          <w:b w:val="false"/>
          <w:bCs w:val="false"/>
          <w:i w:val="false"/>
          <w:iCs w:val="false"/>
          <w:color w:val="000000"/>
          <w:sz w:val="20"/>
          <w:szCs w:val="20"/>
        </w:rPr>
        <w:t xml:space="preserve"> — documento informal, sem controle de versão e sem responsável formal. Usado como contexto de segundo nível quando não há POL ou PROC sobre o tema. Nunca como fonte primária quando há documento formal divergente.</w:t>
      </w:r>
    </w:p>
    <w:p>
      <w:pPr>
        <w:pStyle w:val="ListParagraph"/>
        <w:numPr>
          <w:ilvl w:val="0"/>
          <w:numId w:val="3"/>
        </w:numPr>
        <w:spacing w:after="180"/>
      </w:pPr>
      <w:r>
        <w:rPr>
          <w:rFonts w:ascii="Arial" w:cs="Arial" w:eastAsia="Arial" w:hAnsi="Arial"/>
          <w:b/>
          <w:bCs/>
          <w:i w:val="false"/>
          <w:iCs w:val="false"/>
          <w:color w:val="000000"/>
          <w:sz w:val="20"/>
          <w:szCs w:val="20"/>
        </w:rPr>
        <w:t xml:space="preserve">Conteúdos sem data ou sem aprovação explícita</w:t>
      </w:r>
      <w:r>
        <w:rPr>
          <w:rFonts w:ascii="Arial" w:cs="Arial" w:eastAsia="Arial" w:hAnsi="Arial"/>
          <w:b w:val="false"/>
          <w:bCs w:val="false"/>
          <w:i w:val="false"/>
          <w:iCs w:val="false"/>
          <w:color w:val="000000"/>
          <w:sz w:val="20"/>
          <w:szCs w:val="20"/>
        </w:rPr>
        <w:t xml:space="preserve"> — menor precedência. Não devem ser usados como evidência primária.</w:t>
      </w:r>
    </w:p>
    <w:p>
      <w:pPr>
        <w:pStyle w:val="Heading2"/>
        <w:spacing w:after="100" w:before="280"/>
      </w:pPr>
      <w:r>
        <w:rPr>
          <w:rFonts w:ascii="Arial" w:cs="Arial" w:eastAsia="Arial" w:hAnsi="Arial"/>
          <w:b/>
          <w:bCs/>
          <w:color w:val="1B3A6B"/>
          <w:sz w:val="26"/>
          <w:szCs w:val="26"/>
        </w:rPr>
        <w:t xml:space="preserve">5.2 Comportamento Esperado do Assistente em Conflito</w:t>
      </w:r>
    </w:p>
    <w:p>
      <w:pPr>
        <w:spacing w:after="100" w:before="0"/>
        <w:jc w:val="left"/>
      </w:pPr>
      <w:r>
        <w:rPr>
          <w:rFonts w:ascii="Arial" w:cs="Arial" w:eastAsia="Arial" w:hAnsi="Arial"/>
          <w:b w:val="false"/>
          <w:bCs w:val="false"/>
          <w:i w:val="false"/>
          <w:iCs w:val="false"/>
          <w:color w:val="000000"/>
          <w:sz w:val="20"/>
          <w:szCs w:val="20"/>
        </w:rPr>
        <w:t xml:space="preserve">Quando duas fontes de mesmo nível de precedência divergirem (ex: PROC-042-v1 e PROC-042-v2 sem hierarquia formal declarada na base):</w:t>
      </w:r>
    </w:p>
    <w:p>
      <w:pPr>
        <w:pStyle w:val="ListParagraph"/>
        <w:numPr>
          <w:ilvl w:val="0"/>
          <w:numId w:val="2"/>
        </w:numPr>
        <w:spacing w:after="60"/>
      </w:pPr>
      <w:r>
        <w:rPr>
          <w:rFonts w:ascii="Arial" w:cs="Arial" w:eastAsia="Arial" w:hAnsi="Arial"/>
          <w:b w:val="false"/>
          <w:bCs w:val="false"/>
          <w:i w:val="false"/>
          <w:iCs w:val="false"/>
          <w:color w:val="000000"/>
          <w:sz w:val="20"/>
          <w:szCs w:val="20"/>
        </w:rPr>
        <w:t xml:space="preserve">O assistente apresenta os dois trechos conflitantes com identificação de versão e data de emissão.</w:t>
      </w:r>
    </w:p>
    <w:p>
      <w:pPr>
        <w:pStyle w:val="ListParagraph"/>
        <w:numPr>
          <w:ilvl w:val="0"/>
          <w:numId w:val="2"/>
        </w:numPr>
        <w:spacing w:after="60"/>
      </w:pPr>
      <w:r>
        <w:rPr>
          <w:rFonts w:ascii="Arial" w:cs="Arial" w:eastAsia="Arial" w:hAnsi="Arial"/>
          <w:b w:val="false"/>
          <w:bCs w:val="false"/>
          <w:i w:val="false"/>
          <w:iCs w:val="false"/>
          <w:color w:val="000000"/>
          <w:sz w:val="20"/>
          <w:szCs w:val="20"/>
        </w:rPr>
        <w:t xml:space="preserve">Exibe alerta explícito: "Há conflito entre documentos. Versão vigente não pode ser determinada automaticamente."</w:t>
      </w:r>
    </w:p>
    <w:p>
      <w:pPr>
        <w:pStyle w:val="ListParagraph"/>
        <w:numPr>
          <w:ilvl w:val="0"/>
          <w:numId w:val="2"/>
        </w:numPr>
        <w:spacing w:after="60"/>
      </w:pPr>
      <w:r>
        <w:rPr>
          <w:rFonts w:ascii="Arial" w:cs="Arial" w:eastAsia="Arial" w:hAnsi="Arial"/>
          <w:b w:val="false"/>
          <w:bCs w:val="false"/>
          <w:i w:val="false"/>
          <w:iCs w:val="false"/>
          <w:color w:val="000000"/>
          <w:sz w:val="20"/>
          <w:szCs w:val="20"/>
        </w:rPr>
        <w:t xml:space="preserve">Instrui o atendente a escalonar para Supervisor → Operações (conflitos de procedimento) ou Supervisor → Comercial (conflitos de regra comercial).</w:t>
      </w:r>
    </w:p>
    <w:p>
      <w:pPr>
        <w:pStyle w:val="ListParagraph"/>
        <w:numPr>
          <w:ilvl w:val="0"/>
          <w:numId w:val="2"/>
        </w:numPr>
        <w:spacing w:after="60"/>
      </w:pPr>
      <w:r>
        <w:rPr>
          <w:rFonts w:ascii="Arial" w:cs="Arial" w:eastAsia="Arial" w:hAnsi="Arial"/>
          <w:b w:val="false"/>
          <w:bCs w:val="false"/>
          <w:i w:val="false"/>
          <w:iCs w:val="false"/>
          <w:color w:val="000000"/>
          <w:sz w:val="20"/>
          <w:szCs w:val="20"/>
        </w:rPr>
        <w:t xml:space="preserve">Não escolhe nem sugere uma versão como 'provavelmente correta'.</w:t>
      </w:r>
    </w:p>
    <w:p>
      <w:pPr>
        <w:spacing w:after="60" w:before="0"/>
        <w:jc w:val="left"/>
      </w:pPr>
      <w:r>
        <w:rPr>
          <w:rFonts w:ascii="Arial" w:cs="Arial" w:eastAsia="Arial" w:hAnsi="Arial"/>
          <w:b w:val="false"/>
          <w:bCs w:val="false"/>
          <w:i w:val="false"/>
          <w:iCs w:val="false"/>
          <w:color w:val="000000"/>
          <w:sz w:val="20"/>
          <w:szCs w:val="20"/>
        </w:rPr>
        <w:t xml:space="preserve"/>
      </w:r>
    </w:p>
    <w:p>
      <w:pPr>
        <w:pStyle w:val="Heading2"/>
        <w:spacing w:after="100" w:before="280"/>
      </w:pPr>
      <w:r>
        <w:rPr>
          <w:rFonts w:ascii="Arial" w:cs="Arial" w:eastAsia="Arial" w:hAnsi="Arial"/>
          <w:b/>
          <w:bCs/>
          <w:color w:val="1B3A6B"/>
          <w:sz w:val="26"/>
          <w:szCs w:val="26"/>
        </w:rPr>
        <w:t xml:space="preserve">5.3 Casos Concretos de Conflito Identificados na Base Atual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FFFFFF"/>
                <w:sz w:val="18"/>
                <w:szCs w:val="18"/>
              </w:rPr>
              <w:t xml:space="preserve">Conflito</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FFFFFF"/>
                <w:sz w:val="18"/>
                <w:szCs w:val="18"/>
              </w:rPr>
              <w:t xml:space="preserve">Documento A</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FFFFFF"/>
                <w:sz w:val="18"/>
                <w:szCs w:val="18"/>
              </w:rPr>
              <w:t xml:space="preserve">Documento B</w:t>
            </w:r>
          </w:p>
        </w:tc>
        <w:tc>
          <w:tcPr>
            <w:tcW w:type="dxa" w:w="2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FFFFFF"/>
                <w:sz w:val="18"/>
                <w:szCs w:val="18"/>
              </w:rPr>
              <w:t xml:space="preserve">Comportamento Correto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Multiplicadores regionais de frete especial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PROC-042 v1: Norte=1,6; Sul=1,2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PROC-042 v2: Norte=1,8; Sul=1,3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Apresentar ambos. Alertar conflito. Escalonar para Operações.</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Fator de peso para cargas 1.001–3.000kg</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PROC-042 v1: fator 1,2</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PROC-042 v2: fator 1,15</w:t>
            </w:r>
          </w:p>
        </w:tc>
        <w:tc>
          <w:tcPr>
            <w:tcW w:type="dxa" w:w="2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Apresentar ambos. Alertar conflito. Escalonar para Operações.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Prazo adicional de frete especial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PROC-042 v1: +2 dias úteis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PROC-042 v2: +3 dias úteis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Apresentar ambos. Alertar conflito. Escalonar para Operações.</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Devolução de carga perigosa</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POL-001 seção 3.2: categórica, NÃO elegível</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FAQ Item 3: 'já houve exceções'</w:t>
            </w:r>
          </w:p>
        </w:tc>
        <w:tc>
          <w:tcPr>
            <w:tcW w:type="dxa" w:w="2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Usar POL-001 como primária. Sinalizar que FAQ diverge. Encaminhar Gestão de Riscos (ramal 4500).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Desconto por volume (fretes especiais/mês)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PROC-042 v1: desconto a partir de 10 fretes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PROC-042 v2: desconto a partir de 8 fretes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Apresentar ambos. Alertar conflito. Escalonar para Comercial.</w:t>
            </w:r>
          </w:p>
        </w:tc>
      </w:tr>
    </w:tbl>
    <w:p>
      <w:pPr>
        <w:spacing w:after="60" w:before="0"/>
        <w:jc w:val="left"/>
      </w:pPr>
      <w:r>
        <w:rPr>
          <w:rFonts w:ascii="Arial" w:cs="Arial" w:eastAsia="Arial" w:hAnsi="Arial"/>
          <w:b w:val="false"/>
          <w:bCs w:val="false"/>
          <w:i w:val="false"/>
          <w:iCs w:val="false"/>
          <w:color w:val="000000"/>
          <w:sz w:val="20"/>
          <w:szCs w:val="20"/>
        </w:rPr>
        <w:t xml:space="preserve"/>
      </w:r>
    </w:p>
    <w:p>
      <w:r>
        <w:br w:type="page"/>
      </w:r>
    </w:p>
    <w:p>
      <w:pPr>
        <w:pStyle w:val="Heading1"/>
        <w:pBdr>
          <w:bottom w:val="single" w:color="2E75B6" w:sz="6" w:space="4"/>
        </w:pBdr>
        <w:spacing w:after="120" w:before="360"/>
      </w:pPr>
      <w:r>
        <w:rPr>
          <w:rFonts w:ascii="Arial" w:cs="Arial" w:eastAsia="Arial" w:hAnsi="Arial"/>
          <w:b/>
          <w:bCs/>
          <w:color w:val="1B3A6B"/>
          <w:sz w:val="32"/>
          <w:szCs w:val="32"/>
        </w:rPr>
        <w:t xml:space="preserve">6. Política de Ausência de Resposta e Escalonamento</w:t>
      </w:r>
    </w:p>
    <w:p>
      <w:pPr>
        <w:spacing w:after="160" w:before="0"/>
        <w:jc w:val="left"/>
      </w:pPr>
      <w:r>
        <w:rPr>
          <w:rFonts w:ascii="Arial" w:cs="Arial" w:eastAsia="Arial" w:hAnsi="Arial"/>
          <w:b w:val="false"/>
          <w:bCs w:val="false"/>
          <w:i w:val="false"/>
          <w:iCs w:val="false"/>
          <w:color w:val="000000"/>
          <w:sz w:val="20"/>
          <w:szCs w:val="20"/>
        </w:rPr>
        <w:t xml:space="preserve">O assistente deve acionar o fluxo de fallback toda vez que não for possível fornecer resposta confiável e rastreável. Esta seção define os gatilhos, comportamentos e encaminhamentos para cada situação.</w:t>
      </w:r>
    </w:p>
    <w:p>
      <w:pPr>
        <w:pStyle w:val="Heading2"/>
        <w:spacing w:after="100" w:before="280"/>
      </w:pPr>
      <w:r>
        <w:rPr>
          <w:rFonts w:ascii="Arial" w:cs="Arial" w:eastAsia="Arial" w:hAnsi="Arial"/>
          <w:b/>
          <w:bCs/>
          <w:color w:val="1B3A6B"/>
          <w:sz w:val="26"/>
          <w:szCs w:val="26"/>
        </w:rPr>
        <w:t xml:space="preserve">6.1 Tabela de Situações de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3360"/>
      </w:tblGrid>
      <w:tr>
        <w:trPr>
          <w:tblHeader/>
        </w:trPr>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FFFFFF"/>
                <w:sz w:val="18"/>
                <w:szCs w:val="18"/>
              </w:rPr>
              <w:t xml:space="preserve">Situação</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FFFFFF"/>
                <w:sz w:val="18"/>
                <w:szCs w:val="18"/>
              </w:rPr>
              <w:t xml:space="preserve">Gatilho</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FFFFFF"/>
                <w:sz w:val="18"/>
                <w:szCs w:val="18"/>
              </w:rPr>
              <w:t xml:space="preserve">Mensagem ao Atendente</w:t>
            </w:r>
          </w:p>
        </w:tc>
        <w:tc>
          <w:tcPr>
            <w:tcW w:type="dxa" w:w="3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FFFFFF"/>
                <w:sz w:val="18"/>
                <w:szCs w:val="18"/>
              </w:rPr>
              <w:t xml:space="preserve">Encaminhamento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Ausência de resposta na 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Nenhum documento indexado cobre o tema ou confiança de recuperação é baixa.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"Não encontrei evidência documental suficiente para esta pergunta. Recomendo escalonamento."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Supervisor → registra como gap de cobertura documental.</w:t>
            </w:r>
          </w:p>
        </w:tc>
      </w:tr>
      <w:tr>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Conflito entre documentos</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Trechos contraditórios de dois ou mais documentos sobre o mesmo tema.</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"Há conflito entre documentos. Não é possível escolher automaticamente a versão correta." [exibe ambos os trechos]</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Supervisor → Operações (conflito de procedimento) ou Comercial (conflito de regra comercial).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Resposta parcial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Parte da informação encontrada, mas nem todos os aspectos da dúvida são cobertos.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"Resposta parcial — os seguintes aspectos não foram cobertos: [lista de aspectos]."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Supervisor → identifica se é gap de indexação ou de documento ausente.</w:t>
            </w:r>
          </w:p>
        </w:tc>
      </w:tr>
      <w:tr>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Discordância do atendente</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Atendente aciona botão 'Discordo desta resposta'.</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Campo livre para registro do motivo.</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Entra na fila de revisão de conteúdo. Nenhuma alteração automática.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Caso de validação humana obrigatória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Tema identificado como alto risco: carga perigosa, exceção a política formal, desconto fora da tabela, autorização de Compliance.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"Este tema requer validação humana. Encaminhamento obrigatório conforme tipo de dúvida abaixo."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Ver tabela 6.2.</w:t>
            </w:r>
          </w:p>
        </w:tc>
      </w:tr>
    </w:tbl>
    <w:p>
      <w:pPr>
        <w:spacing w:after="60" w:before="0"/>
        <w:jc w:val="left"/>
      </w:pPr>
      <w:r>
        <w:rPr>
          <w:rFonts w:ascii="Arial" w:cs="Arial" w:eastAsia="Arial" w:hAnsi="Arial"/>
          <w:b w:val="false"/>
          <w:bCs w:val="false"/>
          <w:i w:val="false"/>
          <w:iCs w:val="false"/>
          <w:color w:val="000000"/>
          <w:sz w:val="20"/>
          <w:szCs w:val="20"/>
        </w:rPr>
        <w:t xml:space="preserve"/>
      </w:r>
    </w:p>
    <w:p>
      <w:pPr>
        <w:pStyle w:val="Heading2"/>
        <w:spacing w:after="100" w:before="280"/>
      </w:pPr>
      <w:r>
        <w:rPr>
          <w:rFonts w:ascii="Arial" w:cs="Arial" w:eastAsia="Arial" w:hAnsi="Arial"/>
          <w:b/>
          <w:bCs/>
          <w:color w:val="1B3A6B"/>
          <w:sz w:val="26"/>
          <w:szCs w:val="26"/>
        </w:rPr>
        <w:t xml:space="preserve">6.2 Encaminhamentos Obrigatórios por Tipo de Dúvida de Alto Risco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2360"/>
      </w:tblGrid>
      <w:tr>
        <w:trPr>
          <w:tblHeader/>
        </w:trPr>
        <w:tc>
          <w:tcPr>
            <w:tcW w:type="dxa" w:w="3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FFFFFF"/>
                <w:sz w:val="18"/>
                <w:szCs w:val="18"/>
              </w:rPr>
              <w:t xml:space="preserve">Tipo de Dúvida</w:t>
            </w:r>
          </w:p>
        </w:tc>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FFFFFF"/>
                <w:sz w:val="18"/>
                <w:szCs w:val="18"/>
              </w:rPr>
              <w:t xml:space="preserve">Encaminhamento</w:t>
            </w:r>
          </w:p>
        </w:tc>
        <w:tc>
          <w:tcPr>
            <w:tcW w:type="dxa" w:w="2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FFFFFF"/>
                <w:sz w:val="18"/>
                <w:szCs w:val="18"/>
              </w:rPr>
              <w:t xml:space="preserve">Observação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Devolução de carga perigosa (classes 1-6 ANTT)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Gestão de Riscos — ramal 4500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Apenas triagem. Autorização formal deve ser documentada em POL vigente.</w:t>
            </w:r>
          </w:p>
        </w:tc>
      </w:tr>
      <w:tr>
        <w:tc>
          <w:tcPr>
            <w:tcW w:type="dxa" w:w="3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Desconto por volume acima da tabela</w:t>
            </w:r>
          </w:p>
        </w:tc>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Diretoria Comercial</w:t>
            </w:r>
          </w:p>
        </w:tc>
        <w:tc>
          <w:tcPr>
            <w:tcW w:type="dxa" w:w="2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PROC-042-v2 seção 4 define teto de 10%. Acima disso, aprovação da Diretoria.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Autorização de frete expresso para carga perigosa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Compliance — aguardar PROC-043 vigente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PROC-043 está em revisão. FAQ-32 não tem respaldo formal.</w:t>
            </w:r>
          </w:p>
        </w:tc>
      </w:tr>
      <w:tr>
        <w:tc>
          <w:tcPr>
            <w:tcW w:type="dxa" w:w="3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SLA em casos limítrofes (critério de incidente crítico em dúvida)</w:t>
            </w:r>
          </w:p>
        </w:tc>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Supervisor, com consulta direta à SLA-2024 seção 3</w:t>
            </w:r>
          </w:p>
        </w:tc>
        <w:tc>
          <w:tcPr>
            <w:tcW w:type="dxa" w:w="2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Definição de incidente crítico está na seção 3 da SLA-2024.</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Seguro de carga (percentual)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Comercial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Percentuais do FAQ Item 22 não têm respaldo normativo formal. Não indexar como evidência primária.</w:t>
            </w:r>
          </w:p>
        </w:tc>
      </w:tr>
      <w:tr>
        <w:tc>
          <w:tcPr>
            <w:tcW w:type="dxa" w:w="3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Carga danificada em trânsito</w:t>
            </w:r>
          </w:p>
        </w:tc>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Encaminhar para sinistros@novatech.com.br + Jurídico</w:t>
            </w:r>
          </w:p>
        </w:tc>
        <w:tc>
          <w:tcPr>
            <w:tcW w:type="dxa" w:w="2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Processo descrito apenas no FAQ-38. Nenhum POL ou PROC formal na base.</w:t>
            </w:r>
          </w:p>
        </w:tc>
      </w:tr>
    </w:tbl>
    <w:p>
      <w:pPr>
        <w:spacing w:after="60" w:before="0"/>
        <w:jc w:val="left"/>
      </w:pPr>
      <w:r>
        <w:rPr>
          <w:rFonts w:ascii="Arial" w:cs="Arial" w:eastAsia="Arial" w:hAnsi="Arial"/>
          <w:b w:val="false"/>
          <w:bCs w:val="false"/>
          <w:i w:val="false"/>
          <w:iCs w:val="false"/>
          <w:color w:val="000000"/>
          <w:sz w:val="20"/>
          <w:szCs w:val="20"/>
        </w:rPr>
        <w:t xml:space="preserve"/>
      </w:r>
    </w:p>
    <w:p>
      <w:r>
        <w:br w:type="page"/>
      </w:r>
    </w:p>
    <w:p>
      <w:pPr>
        <w:pStyle w:val="Heading1"/>
        <w:pBdr>
          <w:bottom w:val="single" w:color="2E75B6" w:sz="6" w:space="4"/>
        </w:pBdr>
        <w:spacing w:after="120" w:before="360"/>
      </w:pPr>
      <w:r>
        <w:rPr>
          <w:rFonts w:ascii="Arial" w:cs="Arial" w:eastAsia="Arial" w:hAnsi="Arial"/>
          <w:b/>
          <w:bCs/>
          <w:color w:val="1B3A6B"/>
          <w:sz w:val="32"/>
          <w:szCs w:val="32"/>
        </w:rPr>
        <w:t xml:space="preserve">7. Matriz de Rastreabilidade — Requisito × Fonte Documental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160"/>
        <w:gridCol w:w="2000"/>
        <w:gridCol w:w="2000"/>
      </w:tblGrid>
      <w:tr>
        <w:trPr>
          <w:tblHeader/>
        </w:trPr>
        <w:tc>
          <w:tcPr>
            <w:tcW w:type="dxa" w:w="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FFFFFF"/>
                <w:sz w:val="18"/>
                <w:szCs w:val="18"/>
              </w:rPr>
              <w:t xml:space="preserve">Req.</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FFFFFF"/>
                <w:sz w:val="18"/>
                <w:szCs w:val="18"/>
              </w:rPr>
              <w:t xml:space="preserve">Descrição Resumida</w:t>
            </w:r>
          </w:p>
        </w:tc>
        <w:tc>
          <w:tcPr>
            <w:tcW w:type="dxa" w:w="2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FFFFFF"/>
                <w:sz w:val="18"/>
                <w:szCs w:val="18"/>
              </w:rPr>
              <w:t xml:space="preserve">Documento(s) Fonte</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FFFFFF"/>
                <w:sz w:val="18"/>
                <w:szCs w:val="18"/>
              </w:rPr>
              <w:t xml:space="preserve">Chunks Principais</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FFFFFF"/>
                <w:sz w:val="18"/>
                <w:szCs w:val="18"/>
              </w:rPr>
              <w:t xml:space="preserve">Nível de Precedência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RF-01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Política de devolução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POL-001 v3.1 (15/01/2024)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POL-001-A, B, C, 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Nível 1 — Política</w:t>
            </w:r>
          </w:p>
        </w:tc>
      </w:tr>
      <w:tr>
        <w:tc>
          <w:tcPr>
            <w:tcW w:type="dxa" w:w="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RF-02</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Cálculo de frete especial</w:t>
            </w:r>
          </w:p>
        </w:tc>
        <w:tc>
          <w:tcPr>
            <w:tcW w:type="dxa" w:w="2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PROC-042-v2 (10/11/2023)</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PROC-042v2-A, B, C, D, E</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Nível 2 — PROC recente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RF-03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SLAs por tier de cliente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SLA-2024 v2024.1 (02/01/2024)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SLA-2024-A, B, C, D, 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Nível 1 — Política (contratual)</w:t>
            </w:r>
          </w:p>
        </w:tc>
      </w:tr>
      <w:tr>
        <w:tc>
          <w:tcPr>
            <w:tcW w:type="dxa" w:w="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RF-04</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Conflito entre versões PROC-042</w:t>
            </w:r>
          </w:p>
        </w:tc>
        <w:tc>
          <w:tcPr>
            <w:tcW w:type="dxa" w:w="2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PROC-042 v1 + PROC-042-v2</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PROC-042-B vs PROC-042v2-B</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Nível 2 — conflito entre PROCs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RF-05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Ausência de cobertura (frete padrão)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Nenhum documento formal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Nenhum chunk — fallback obrigatório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N/A — gap documental</w:t>
            </w:r>
          </w:p>
        </w:tc>
      </w:tr>
      <w:tr>
        <w:tc>
          <w:tcPr>
            <w:tcW w:type="dxa" w:w="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RF-06</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Carga perigosa — restrição categórica</w:t>
            </w:r>
          </w:p>
        </w:tc>
        <w:tc>
          <w:tcPr>
            <w:tcW w:type="dxa" w:w="2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POL-001 v3.1, seção 3.2</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POL-001-B</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Nível 1 — Política (prevalece sobre FAQ-03)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RF-07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Tier inexistente (Platinum)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SLA-2024 v2024.1, seção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SLA-2024-A; FAQ-15 (apoio)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Nível 1 — Política (contratual)</w:t>
            </w:r>
          </w:p>
        </w:tc>
      </w:tr>
      <w:tr>
        <w:tc>
          <w:tcPr>
            <w:tcW w:type="dxa" w:w="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RF-08</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Prazo de entrega — rastreabilidade de versão</w:t>
            </w:r>
          </w:p>
        </w:tc>
        <w:tc>
          <w:tcPr>
            <w:tcW w:type="dxa" w:w="2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PROC-042-v2, PROC-042-v1 (referência)</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PROC-042v2-C, PROC-042v2-E, PROC-042-C</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Nível 2 — PROC recente + disposição transitória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RF-09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Feedback do atendente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jornada-atendente-assistente-ia.md, seções 4.1-4.3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N/A — requisito de processo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N/A — requisito operacional</w:t>
            </w:r>
          </w:p>
        </w:tc>
      </w:tr>
      <w:tr>
        <w:tc>
          <w:tcPr>
            <w:tcW w:type="dxa" w:w="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RF-10</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Precedência documental</w:t>
            </w:r>
          </w:p>
        </w:tc>
        <w:tc>
          <w:tcPr>
            <w:tcW w:type="dxa" w:w="2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POL-001 &gt; PROC-042-v2 &gt; FAQ-Atendimento</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Todos os chunks — regra transversal</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Define a hierarquia de todos os demais requisitos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RNF-01 a 08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Requisitos não funcionais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jornada-atendente-assistente-ia.md (SLAs de operação)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Seções 3 (fallback) e 4 (feedback)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N/A — requisitos de qualidade</w:t>
            </w:r>
          </w:p>
        </w:tc>
      </w:tr>
    </w:tbl>
    <w:p>
      <w:pPr>
        <w:spacing w:after="60" w:before="0"/>
        <w:jc w:val="left"/>
      </w:pPr>
      <w:r>
        <w:rPr>
          <w:rFonts w:ascii="Arial" w:cs="Arial" w:eastAsia="Arial" w:hAnsi="Arial"/>
          <w:b w:val="false"/>
          <w:bCs w:val="false"/>
          <w:i w:val="false"/>
          <w:iCs w:val="false"/>
          <w:color w:val="000000"/>
          <w:sz w:val="20"/>
          <w:szCs w:val="20"/>
        </w:rPr>
        <w:t xml:space="preserve"/>
      </w:r>
    </w:p>
    <w:p>
      <w:r>
        <w:br w:type="page"/>
      </w:r>
    </w:p>
    <w:p>
      <w:pPr>
        <w:pStyle w:val="Heading1"/>
        <w:pBdr>
          <w:bottom w:val="single" w:color="2E75B6" w:sz="6" w:space="4"/>
        </w:pBdr>
        <w:spacing w:after="120" w:before="360"/>
      </w:pPr>
      <w:r>
        <w:rPr>
          <w:rFonts w:ascii="Arial" w:cs="Arial" w:eastAsia="Arial" w:hAnsi="Arial"/>
          <w:b/>
          <w:bCs/>
          <w:color w:val="1B3A6B"/>
          <w:sz w:val="32"/>
          <w:szCs w:val="32"/>
        </w:rPr>
        <w:t xml:space="preserve">8. Gaps e Pendências — Decisões de Negócio Necessárias</w:t>
      </w:r>
    </w:p>
    <w:p>
      <w:pPr>
        <w:spacing w:after="160" w:before="0"/>
        <w:jc w:val="left"/>
      </w:pPr>
      <w:r>
        <w:rPr>
          <w:rFonts w:ascii="Arial" w:cs="Arial" w:eastAsia="Arial" w:hAnsi="Arial"/>
          <w:b w:val="false"/>
          <w:bCs w:val="false"/>
          <w:i w:val="false"/>
          <w:iCs w:val="false"/>
          <w:color w:val="000000"/>
          <w:sz w:val="20"/>
          <w:szCs w:val="20"/>
        </w:rPr>
        <w:t xml:space="preserve">Os itens abaixo são perguntas abertas que não podem ser respondidas com base na documentação disponível e requerem decisão formal de uma área responsável antes do go-live do assistente.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400"/>
        <w:gridCol w:w="2000"/>
        <w:gridCol w:w="196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FFFFFF"/>
                <w:sz w:val="18"/>
                <w:szCs w:val="18"/>
              </w:rPr>
              <w:t xml:space="preserve">#</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FFFFFF"/>
                <w:sz w:val="18"/>
                <w:szCs w:val="18"/>
              </w:rPr>
              <w:t xml:space="preserve">Pergunta / Gap</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FFFFFF"/>
                <w:sz w:val="18"/>
                <w:szCs w:val="18"/>
              </w:rPr>
              <w:t xml:space="preserve">Impacto se não resolvido</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FFFFFF"/>
                <w:sz w:val="18"/>
                <w:szCs w:val="18"/>
              </w:rPr>
              <w:t xml:space="preserve">Área Responsável</w:t>
            </w:r>
          </w:p>
        </w:tc>
        <w:tc>
          <w:tcPr>
            <w:tcW w:type="dxa" w:w="1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FFFFFF"/>
                <w:sz w:val="18"/>
                <w:szCs w:val="18"/>
              </w:rPr>
              <w:t xml:space="preserve">Prazo Sugerido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G-01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Qual versão do PROC-042 deve ser considerada vigente? A v2 substitui formalmente a v1, ou ambas coexistem para contratos específicos?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O assistente não pode responder sobre frete especial sem acionar fallback em 100% dos casos. Risco de conflito em cada resposta.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Diretoria Comercial + Operações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Antes do go-live</w:t>
            </w:r>
          </w:p>
        </w:tc>
      </w:tr>
      <w:tr>
        <w:tc>
          <w:tcPr>
            <w:tcW w:type="dxa" w:w="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G-02</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Existe política formal para tratamento de carga danificada em trânsito? O processo descrito no FAQ-38 (registro em 48h, encaminhamento para sinistros@) é oficial?</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O assistente declara ausência de cobertura para todas as perguntas sobre carga danificada, mesmo havendo orientação prática no FAQ.</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Diretoria de Operações + Jurídico</w:t>
            </w:r>
          </w:p>
        </w:tc>
        <w:tc>
          <w:tcPr>
            <w:tcW w:type="dxa" w:w="1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Antes do go-live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G-03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Existe documento formal sobre seguro de carga? Os percentuais do FAQ Item 22 (0,3% e 0,8%) são corretos e vigentes?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O assistente recusa responder sobre seguro de carga. Para clientes que perguntam com frequência, isso gera escalonamento desnecessário.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Comercial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Antes do go-live</w:t>
            </w:r>
          </w:p>
        </w:tc>
      </w:tr>
      <w:tr>
        <w:tc>
          <w:tcPr>
            <w:tcW w:type="dxa" w:w="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G-04</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Existe procedimento formal para frete padrão (cargas abaixo de 500kg)? Onde está documentada a tabela de fretes-base?</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35% das dúvidas são sobre prazo/frete. Sem documento de frete padrão, o assistente cobre apenas frete especial (acima de 500kg).</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Comercial + Operações</w:t>
            </w:r>
          </w:p>
        </w:tc>
        <w:tc>
          <w:tcPr>
            <w:tcW w:type="dxa" w:w="1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Antes do go-live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G-05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Qual o procedimento formal da Gestão de Riscos para devolução de carga perigosa? A POL-001 menciona o ramal 4500, mas não descreve o processo de tratamento.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O atendente encaminha para o ramal 4500 sem saber o que esperar ou comunicar ao cliente. Falta de procedimento cria inconsistência de atendimento.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Gestão de Riscos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Sprint 2 (pós go-live)</w:t>
            </w:r>
          </w:p>
        </w:tc>
      </w:tr>
      <w:tr>
        <w:tc>
          <w:tcPr>
            <w:tcW w:type="dxa" w:w="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G-06</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A PROC-043 (Frete de Cargas Perigosas) está em revisão pelo Compliance. Quando será publicada? Como o assistente deve responder sobre esse tema até lá?</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Perguntas sobre frete de carga perigosa não têm resposta formal. O FAQ-32 não tem respaldo normativo. Orientação ao atendente é ambígua.</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Compliance</w:t>
            </w:r>
          </w:p>
        </w:tc>
        <w:tc>
          <w:tcPr>
            <w:tcW w:type="dxa" w:w="1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Sprint 2 (pós go-live)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G-07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Como o assistente deve tratar chamados de clientes em período de transição do PROC-042 (abertos antes de 01/12/2023, ainda em processamento em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A disposição transitória da seção 5 do PROC-042-v2 menciona essa situação, mas não define o que acontece quando o chamado persiste além de 2023.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Operações + Comercial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Antes do go-live</w:t>
            </w:r>
          </w:p>
        </w:tc>
      </w:tr>
      <w:tr>
        <w:tc>
          <w:tcPr>
            <w:tcW w:type="dxa" w:w="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G-08</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Qual o dono formal e ciclo de revisão do FAQ-Atendimento? Quem valida as atualizações e com que frequência?</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Sem dono formal, o FAQ continuará desatualizado. O assistente pode receber feedbacks de 'fonte insuficiente' sem que haja área responsável por corrigir o FAQ.</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Gerência de Atendimento</w:t>
            </w:r>
          </w:p>
        </w:tc>
        <w:tc>
          <w:tcPr>
            <w:tcW w:type="dxa" w:w="1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Sprint 1 (paralelo ao desenvolvimento)</w:t>
            </w:r>
          </w:p>
        </w:tc>
      </w:tr>
    </w:tbl>
    <w:p>
      <w:pPr>
        <w:spacing w:after="60" w:before="0"/>
        <w:jc w:val="left"/>
      </w:pPr>
      <w:r>
        <w:rPr>
          <w:rFonts w:ascii="Arial" w:cs="Arial" w:eastAsia="Arial" w:hAnsi="Arial"/>
          <w:b w:val="false"/>
          <w:bCs w:val="false"/>
          <w:i w:val="false"/>
          <w:iCs w:val="false"/>
          <w:color w:val="000000"/>
          <w:sz w:val="20"/>
          <w:szCs w:val="20"/>
        </w:rPr>
        <w:t xml:space="preserve"/>
      </w:r>
    </w:p>
    <w:p>
      <w:r>
        <w:br w:type="page"/>
      </w:r>
    </w:p>
    <w:p>
      <w:pPr>
        <w:pStyle w:val="Heading1"/>
        <w:pBdr>
          <w:bottom w:val="single" w:color="2E75B6" w:sz="6" w:space="4"/>
        </w:pBdr>
        <w:spacing w:after="120" w:before="360"/>
      </w:pPr>
      <w:r>
        <w:rPr>
          <w:rFonts w:ascii="Arial" w:cs="Arial" w:eastAsia="Arial" w:hAnsi="Arial"/>
          <w:b/>
          <w:bCs/>
          <w:color w:val="1B3A6B"/>
          <w:sz w:val="32"/>
          <w:szCs w:val="32"/>
        </w:rPr>
        <w:t xml:space="preserve">9. Cenários de Teste BDD — Requisitos Críticos</w:t>
      </w:r>
    </w:p>
    <w:p>
      <w:pPr>
        <w:spacing w:after="160" w:before="0"/>
        <w:jc w:val="left"/>
      </w:pPr>
      <w:r>
        <w:rPr>
          <w:rFonts w:ascii="Arial" w:cs="Arial" w:eastAsia="Arial" w:hAnsi="Arial"/>
          <w:b w:val="false"/>
          <w:bCs w:val="false"/>
          <w:i w:val="false"/>
          <w:iCs w:val="false"/>
          <w:color w:val="000000"/>
          <w:sz w:val="20"/>
          <w:szCs w:val="20"/>
        </w:rPr>
        <w:t xml:space="preserve">Os cenários abaixo seguem o formato Given / When / Then (Dado / Quando / Então) e são diretamente testáveis por QA ou pelo atendente durante o piloto. Cada cenário mapeia a um ou mais requisitos funcionais desta especificação.</w:t>
      </w:r>
    </w:p>
    <w:p>
      <w:pPr>
        <w:pStyle w:val="Heading3"/>
        <w:spacing w:after="80" w:before="200"/>
      </w:pPr>
      <w:r>
        <w:rPr>
          <w:rFonts w:ascii="Arial" w:cs="Arial" w:eastAsia="Arial" w:hAnsi="Arial"/>
          <w:b/>
          <w:bCs/>
          <w:color w:val="2E75B6"/>
          <w:sz w:val="22"/>
          <w:szCs w:val="22"/>
        </w:rPr>
        <w:t xml:space="preserve">BDD-01 — Devolução de carga perigosa — restrição categórica [RF-01 / RF-06]</w:t>
      </w:r>
    </w:p>
    <w:tbl>
      <w:tblPr>
        <w:tblW w:type="dxa" w:w="9360"/>
        <w:tblBorders>
          <w:top w:val="single" w:color="7B1919" w:sz="8"/>
          <w:left w:val="single" w:color="7B1919" w:sz="8"/>
          <w:bottom w:val="single" w:color="7B1919" w:sz="8"/>
          <w:right w:val="single" w:color="7B1919" w:sz="8"/>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DAD9"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7B1919"/>
                <w:sz w:val="20"/>
                <w:szCs w:val="20"/>
              </w:rPr>
              <w:t xml:space="preserve">Cenário: Devolução de carga perigosa — restrição categórica</w:t>
            </w:r>
          </w:p>
          <w:p>
            <w:pPr>
              <w:spacing w:after="60" w:before="0"/>
              <w:jc w:val="left"/>
            </w:pPr>
            <w:r>
              <w:rPr>
                <w:rFonts w:ascii="Arial" w:cs="Arial" w:eastAsia="Arial" w:hAnsi="Arial"/>
                <w:b w:val="false"/>
                <w:bCs w:val="false"/>
                <w:i w:val="false"/>
                <w:iCs w:val="false"/>
                <w:color w:val="000000"/>
                <w:sz w:val="18"/>
                <w:szCs w:val="18"/>
              </w:rPr>
              <w:t xml:space="preserve">Dado que o atendente consulta o assistente sobre devolução de carga perigosa classe 3 (líquido inflamável)</w:t>
            </w:r>
          </w:p>
          <w:p>
            <w:pPr>
              <w:spacing w:after="60" w:before="0"/>
              <w:jc w:val="left"/>
            </w:pPr>
            <w:r>
              <w:rPr>
                <w:rFonts w:ascii="Arial" w:cs="Arial" w:eastAsia="Arial" w:hAnsi="Arial"/>
                <w:b w:val="false"/>
                <w:bCs w:val="false"/>
                <w:i w:val="false"/>
                <w:iCs w:val="false"/>
                <w:color w:val="000000"/>
                <w:sz w:val="18"/>
                <w:szCs w:val="18"/>
              </w:rPr>
              <w:t xml:space="preserve">Quando o assistente processa a pergunta e recupera os chunks da base documental</w:t>
            </w:r>
          </w:p>
          <w:p>
            <w:pPr>
              <w:spacing w:after="60" w:before="0"/>
              <w:jc w:val="left"/>
            </w:pPr>
            <w:r>
              <w:rPr>
                <w:rFonts w:ascii="Arial" w:cs="Arial" w:eastAsia="Arial" w:hAnsi="Arial"/>
                <w:b w:val="false"/>
                <w:bCs w:val="false"/>
                <w:i w:val="false"/>
                <w:iCs w:val="false"/>
                <w:color w:val="000000"/>
                <w:sz w:val="18"/>
                <w:szCs w:val="18"/>
              </w:rPr>
              <w:t xml:space="preserve">Então a resposta deve citar a seção 3.2 da POL-001 como fonte primária</w:t>
            </w:r>
          </w:p>
          <w:p>
            <w:pPr>
              <w:spacing w:after="60" w:before="0"/>
              <w:jc w:val="left"/>
            </w:pPr>
            <w:r>
              <w:rPr>
                <w:rFonts w:ascii="Arial" w:cs="Arial" w:eastAsia="Arial" w:hAnsi="Arial"/>
                <w:b w:val="false"/>
                <w:bCs w:val="false"/>
                <w:i w:val="false"/>
                <w:iCs w:val="false"/>
                <w:color w:val="000000"/>
                <w:sz w:val="18"/>
                <w:szCs w:val="18"/>
              </w:rPr>
              <w:t xml:space="preserve">E a resposta deve informar que cargas perigosas NÃO são elegíveis pelo processo padrão</w:t>
            </w:r>
          </w:p>
          <w:p>
            <w:pPr>
              <w:spacing w:after="60" w:before="0"/>
              <w:jc w:val="left"/>
            </w:pPr>
            <w:r>
              <w:rPr>
                <w:rFonts w:ascii="Arial" w:cs="Arial" w:eastAsia="Arial" w:hAnsi="Arial"/>
                <w:b w:val="false"/>
                <w:bCs w:val="false"/>
                <w:i w:val="false"/>
                <w:iCs w:val="false"/>
                <w:color w:val="000000"/>
                <w:sz w:val="18"/>
                <w:szCs w:val="18"/>
              </w:rPr>
              <w:t xml:space="preserve">E a resposta deve instruir o encaminhamento para Gestão de Riscos — ramal 4500</w:t>
            </w:r>
          </w:p>
          <w:p>
            <w:pPr>
              <w:spacing w:after="60" w:before="0"/>
              <w:jc w:val="left"/>
            </w:pPr>
            <w:r>
              <w:rPr>
                <w:rFonts w:ascii="Arial" w:cs="Arial" w:eastAsia="Arial" w:hAnsi="Arial"/>
                <w:b w:val="false"/>
                <w:bCs w:val="false"/>
                <w:i w:val="false"/>
                <w:iCs w:val="false"/>
                <w:color w:val="000000"/>
                <w:sz w:val="18"/>
                <w:szCs w:val="18"/>
              </w:rPr>
              <w:t xml:space="preserve">E a resposta NÃO deve conter linguagem condicional como 'pode haver exceções' ou 'dependendo da autorização'</w:t>
            </w:r>
          </w:p>
          <w:p>
            <w:pPr>
              <w:spacing w:after="60" w:before="0"/>
              <w:jc w:val="left"/>
            </w:pPr>
            <w:r>
              <w:rPr>
                <w:rFonts w:ascii="Arial" w:cs="Arial" w:eastAsia="Arial" w:hAnsi="Arial"/>
                <w:b w:val="false"/>
                <w:bCs w:val="false"/>
                <w:i w:val="false"/>
                <w:iCs w:val="false"/>
                <w:color w:val="000000"/>
                <w:sz w:val="18"/>
                <w:szCs w:val="18"/>
              </w:rPr>
              <w:t xml:space="preserve">E o FAQ-03 NÃO deve ser citado como fonte de autoridade sobre elegibilidade</w:t>
            </w:r>
          </w:p>
        </w:tc>
      </w:tr>
    </w:tbl>
    <w:p>
      <w:pPr>
        <w:spacing w:after="60" w:before="0"/>
        <w:jc w:val="left"/>
      </w:pPr>
      <w:r>
        <w:rPr>
          <w:rFonts w:ascii="Arial" w:cs="Arial" w:eastAsia="Arial" w:hAnsi="Arial"/>
          <w:b w:val="false"/>
          <w:bCs w:val="false"/>
          <w:i w:val="false"/>
          <w:iCs w:val="false"/>
          <w:color w:val="000000"/>
          <w:sz w:val="20"/>
          <w:szCs w:val="20"/>
        </w:rPr>
        <w:t xml:space="preserve"/>
      </w:r>
    </w:p>
    <w:p>
      <w:pPr>
        <w:pStyle w:val="Heading3"/>
        <w:spacing w:after="80" w:before="200"/>
      </w:pPr>
      <w:r>
        <w:rPr>
          <w:rFonts w:ascii="Arial" w:cs="Arial" w:eastAsia="Arial" w:hAnsi="Arial"/>
          <w:b/>
          <w:bCs/>
          <w:color w:val="2E75B6"/>
          <w:sz w:val="22"/>
          <w:szCs w:val="22"/>
        </w:rPr>
        <w:t xml:space="preserve">BDD-02 — Conflito entre versões do PROC-042 — multiplicador regional [RF-02 / RF-04]</w:t>
      </w:r>
    </w:p>
    <w:tbl>
      <w:tblPr>
        <w:tblW w:type="dxa" w:w="9360"/>
        <w:tblBorders>
          <w:top w:val="single" w:color="7F4E1E" w:sz="8"/>
          <w:left w:val="single" w:color="7F4E1E" w:sz="8"/>
          <w:bottom w:val="single" w:color="7F4E1E" w:sz="8"/>
          <w:right w:val="single" w:color="7F4E1E" w:sz="8"/>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7F4E1E"/>
                <w:sz w:val="20"/>
                <w:szCs w:val="20"/>
              </w:rPr>
              <w:t xml:space="preserve">Cenário: Conflito entre versões do PROC-042 — multiplicador regional</w:t>
            </w:r>
          </w:p>
          <w:p>
            <w:pPr>
              <w:spacing w:after="60" w:before="0"/>
              <w:jc w:val="left"/>
            </w:pPr>
            <w:r>
              <w:rPr>
                <w:rFonts w:ascii="Arial" w:cs="Arial" w:eastAsia="Arial" w:hAnsi="Arial"/>
                <w:b w:val="false"/>
                <w:bCs w:val="false"/>
                <w:i w:val="false"/>
                <w:iCs w:val="false"/>
                <w:color w:val="000000"/>
                <w:sz w:val="18"/>
                <w:szCs w:val="18"/>
              </w:rPr>
              <w:t xml:space="preserve">Dado que o atendente pergunta sobre o multiplicador regional para frete especial com destino ao Norte</w:t>
            </w:r>
          </w:p>
          <w:p>
            <w:pPr>
              <w:spacing w:after="60" w:before="0"/>
              <w:jc w:val="left"/>
            </w:pPr>
            <w:r>
              <w:rPr>
                <w:rFonts w:ascii="Arial" w:cs="Arial" w:eastAsia="Arial" w:hAnsi="Arial"/>
                <w:b w:val="false"/>
                <w:bCs w:val="false"/>
                <w:i w:val="false"/>
                <w:iCs w:val="false"/>
                <w:color w:val="000000"/>
                <w:sz w:val="18"/>
                <w:szCs w:val="18"/>
              </w:rPr>
              <w:t xml:space="preserve">E a base de dados contém chunks de PROC-042 v1 (Norte = 1,6) e PROC-042 v2 (Norte = 1,8)</w:t>
            </w:r>
          </w:p>
          <w:p>
            <w:pPr>
              <w:spacing w:after="60" w:before="0"/>
              <w:jc w:val="left"/>
            </w:pPr>
            <w:r>
              <w:rPr>
                <w:rFonts w:ascii="Arial" w:cs="Arial" w:eastAsia="Arial" w:hAnsi="Arial"/>
                <w:b w:val="false"/>
                <w:bCs w:val="false"/>
                <w:i w:val="false"/>
                <w:iCs w:val="false"/>
                <w:color w:val="000000"/>
                <w:sz w:val="18"/>
                <w:szCs w:val="18"/>
              </w:rPr>
              <w:t xml:space="preserve">Quando o assistente recupera chunks de ambas as versões</w:t>
            </w:r>
          </w:p>
          <w:p>
            <w:pPr>
              <w:spacing w:after="60" w:before="0"/>
              <w:jc w:val="left"/>
            </w:pPr>
            <w:r>
              <w:rPr>
                <w:rFonts w:ascii="Arial" w:cs="Arial" w:eastAsia="Arial" w:hAnsi="Arial"/>
                <w:b w:val="false"/>
                <w:bCs w:val="false"/>
                <w:i w:val="false"/>
                <w:iCs w:val="false"/>
                <w:color w:val="000000"/>
                <w:sz w:val="18"/>
                <w:szCs w:val="18"/>
              </w:rPr>
              <w:t xml:space="preserve">Então a resposta deve apresentar os dois valores com identificação de versão (v1 e v2)</w:t>
            </w:r>
          </w:p>
          <w:p>
            <w:pPr>
              <w:spacing w:after="60" w:before="0"/>
              <w:jc w:val="left"/>
            </w:pPr>
            <w:r>
              <w:rPr>
                <w:rFonts w:ascii="Arial" w:cs="Arial" w:eastAsia="Arial" w:hAnsi="Arial"/>
                <w:b w:val="false"/>
                <w:bCs w:val="false"/>
                <w:i w:val="false"/>
                <w:iCs w:val="false"/>
                <w:color w:val="000000"/>
                <w:sz w:val="18"/>
                <w:szCs w:val="18"/>
              </w:rPr>
              <w:t xml:space="preserve">E a resposta deve exibir alerta explícito de conflito documental</w:t>
            </w:r>
          </w:p>
          <w:p>
            <w:pPr>
              <w:spacing w:after="60" w:before="0"/>
              <w:jc w:val="left"/>
            </w:pPr>
            <w:r>
              <w:rPr>
                <w:rFonts w:ascii="Arial" w:cs="Arial" w:eastAsia="Arial" w:hAnsi="Arial"/>
                <w:b w:val="false"/>
                <w:bCs w:val="false"/>
                <w:i w:val="false"/>
                <w:iCs w:val="false"/>
                <w:color w:val="000000"/>
                <w:sz w:val="18"/>
                <w:szCs w:val="18"/>
              </w:rPr>
              <w:t xml:space="preserve">E a resposta NÃO deve apresentar um único valor como correto</w:t>
            </w:r>
          </w:p>
          <w:p>
            <w:pPr>
              <w:spacing w:after="60" w:before="0"/>
              <w:jc w:val="left"/>
            </w:pPr>
            <w:r>
              <w:rPr>
                <w:rFonts w:ascii="Arial" w:cs="Arial" w:eastAsia="Arial" w:hAnsi="Arial"/>
                <w:b w:val="false"/>
                <w:bCs w:val="false"/>
                <w:i w:val="false"/>
                <w:iCs w:val="false"/>
                <w:color w:val="000000"/>
                <w:sz w:val="18"/>
                <w:szCs w:val="18"/>
              </w:rPr>
              <w:t xml:space="preserve">E a resposta deve instruir escalonamento para Supervisor → Operações</w:t>
            </w:r>
          </w:p>
        </w:tc>
      </w:tr>
    </w:tbl>
    <w:p>
      <w:pPr>
        <w:spacing w:after="60" w:before="0"/>
        <w:jc w:val="left"/>
      </w:pPr>
      <w:r>
        <w:rPr>
          <w:rFonts w:ascii="Arial" w:cs="Arial" w:eastAsia="Arial" w:hAnsi="Arial"/>
          <w:b w:val="false"/>
          <w:bCs w:val="false"/>
          <w:i w:val="false"/>
          <w:iCs w:val="false"/>
          <w:color w:val="000000"/>
          <w:sz w:val="20"/>
          <w:szCs w:val="20"/>
        </w:rPr>
        <w:t xml:space="preserve"/>
      </w:r>
    </w:p>
    <w:p>
      <w:pPr>
        <w:pStyle w:val="Heading3"/>
        <w:spacing w:after="80" w:before="200"/>
      </w:pPr>
      <w:r>
        <w:rPr>
          <w:rFonts w:ascii="Arial" w:cs="Arial" w:eastAsia="Arial" w:hAnsi="Arial"/>
          <w:b/>
          <w:bCs/>
          <w:color w:val="2E75B6"/>
          <w:sz w:val="22"/>
          <w:szCs w:val="22"/>
        </w:rPr>
        <w:t xml:space="preserve">BDD-03 — SLA de cliente Gold — resposta completa obrigatória [RF-03]</w:t>
      </w:r>
    </w:p>
    <w:tbl>
      <w:tblPr>
        <w:tblW w:type="dxa" w:w="9360"/>
        <w:tblBorders>
          <w:top w:val="single" w:color="375623" w:sz="8"/>
          <w:left w:val="single" w:color="375623" w:sz="8"/>
          <w:bottom w:val="single" w:color="375623" w:sz="8"/>
          <w:right w:val="single" w:color="375623" w:sz="8"/>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375623"/>
                <w:sz w:val="20"/>
                <w:szCs w:val="20"/>
              </w:rPr>
              <w:t xml:space="preserve">Cenário: SLA de cliente Gold — resposta completa obrigatória</w:t>
            </w:r>
          </w:p>
          <w:p>
            <w:pPr>
              <w:spacing w:after="60" w:before="0"/>
              <w:jc w:val="left"/>
            </w:pPr>
            <w:r>
              <w:rPr>
                <w:rFonts w:ascii="Arial" w:cs="Arial" w:eastAsia="Arial" w:hAnsi="Arial"/>
                <w:b w:val="false"/>
                <w:bCs w:val="false"/>
                <w:i w:val="false"/>
                <w:iCs w:val="false"/>
                <w:color w:val="000000"/>
                <w:sz w:val="18"/>
                <w:szCs w:val="18"/>
              </w:rPr>
              <w:t xml:space="preserve">Dado que o atendente pergunta sobre o SLA do cliente Gold</w:t>
            </w:r>
          </w:p>
          <w:p>
            <w:pPr>
              <w:spacing w:after="60" w:before="0"/>
              <w:jc w:val="left"/>
            </w:pPr>
            <w:r>
              <w:rPr>
                <w:rFonts w:ascii="Arial" w:cs="Arial" w:eastAsia="Arial" w:hAnsi="Arial"/>
                <w:b w:val="false"/>
                <w:bCs w:val="false"/>
                <w:i w:val="false"/>
                <w:iCs w:val="false"/>
                <w:color w:val="000000"/>
                <w:sz w:val="18"/>
                <w:szCs w:val="18"/>
              </w:rPr>
              <w:t xml:space="preserve">Quando o assistente processa a pergunta</w:t>
            </w:r>
          </w:p>
          <w:p>
            <w:pPr>
              <w:spacing w:after="60" w:before="0"/>
              <w:jc w:val="left"/>
            </w:pPr>
            <w:r>
              <w:rPr>
                <w:rFonts w:ascii="Arial" w:cs="Arial" w:eastAsia="Arial" w:hAnsi="Arial"/>
                <w:b w:val="false"/>
                <w:bCs w:val="false"/>
                <w:i w:val="false"/>
                <w:iCs w:val="false"/>
                <w:color w:val="000000"/>
                <w:sz w:val="18"/>
                <w:szCs w:val="18"/>
              </w:rPr>
              <w:t xml:space="preserve">Então a resposta deve incluir o tier do cliente (Gold)</w:t>
            </w:r>
          </w:p>
          <w:p>
            <w:pPr>
              <w:spacing w:after="60" w:before="0"/>
              <w:jc w:val="left"/>
            </w:pPr>
            <w:r>
              <w:rPr>
                <w:rFonts w:ascii="Arial" w:cs="Arial" w:eastAsia="Arial" w:hAnsi="Arial"/>
                <w:b w:val="false"/>
                <w:bCs w:val="false"/>
                <w:i w:val="false"/>
                <w:iCs w:val="false"/>
                <w:color w:val="000000"/>
                <w:sz w:val="18"/>
                <w:szCs w:val="18"/>
              </w:rPr>
              <w:t xml:space="preserve">E a resposta deve informar os valores de SLA para chamado geral (resposta 2h úteis, resolução 24h úteis)</w:t>
            </w:r>
          </w:p>
          <w:p>
            <w:pPr>
              <w:spacing w:after="60" w:before="0"/>
              <w:jc w:val="left"/>
            </w:pPr>
            <w:r>
              <w:rPr>
                <w:rFonts w:ascii="Arial" w:cs="Arial" w:eastAsia="Arial" w:hAnsi="Arial"/>
                <w:b w:val="false"/>
                <w:bCs w:val="false"/>
                <w:i w:val="false"/>
                <w:iCs w:val="false"/>
                <w:color w:val="000000"/>
                <w:sz w:val="18"/>
                <w:szCs w:val="18"/>
              </w:rPr>
              <w:t xml:space="preserve">E a resposta deve informar os valores de SLA para incidente crítico (resposta 30min, resolução 4h)</w:t>
            </w:r>
          </w:p>
          <w:p>
            <w:pPr>
              <w:spacing w:after="60" w:before="0"/>
              <w:jc w:val="left"/>
            </w:pPr>
            <w:r>
              <w:rPr>
                <w:rFonts w:ascii="Arial" w:cs="Arial" w:eastAsia="Arial" w:hAnsi="Arial"/>
                <w:b w:val="false"/>
                <w:bCs w:val="false"/>
                <w:i w:val="false"/>
                <w:iCs w:val="false"/>
                <w:color w:val="000000"/>
                <w:sz w:val="18"/>
                <w:szCs w:val="18"/>
              </w:rPr>
              <w:t xml:space="preserve">E a resposta deve mencionar o critério de medição (horário comercial 08h-18h para chamados gerais)</w:t>
            </w:r>
          </w:p>
          <w:p>
            <w:pPr>
              <w:spacing w:after="60" w:before="0"/>
              <w:jc w:val="left"/>
            </w:pPr>
            <w:r>
              <w:rPr>
                <w:rFonts w:ascii="Arial" w:cs="Arial" w:eastAsia="Arial" w:hAnsi="Arial"/>
                <w:b w:val="false"/>
                <w:bCs w:val="false"/>
                <w:i w:val="false"/>
                <w:iCs w:val="false"/>
                <w:color w:val="000000"/>
                <w:sz w:val="18"/>
                <w:szCs w:val="18"/>
              </w:rPr>
              <w:t xml:space="preserve">E a resposta deve citar a SLA-2024 como documento fonte</w:t>
            </w:r>
          </w:p>
          <w:p>
            <w:pPr>
              <w:spacing w:after="60" w:before="0"/>
              <w:jc w:val="left"/>
            </w:pPr>
            <w:r>
              <w:rPr>
                <w:rFonts w:ascii="Arial" w:cs="Arial" w:eastAsia="Arial" w:hAnsi="Arial"/>
                <w:b w:val="false"/>
                <w:bCs w:val="false"/>
                <w:i w:val="false"/>
                <w:iCs w:val="false"/>
                <w:color w:val="000000"/>
                <w:sz w:val="18"/>
                <w:szCs w:val="18"/>
              </w:rPr>
              <w:t xml:space="preserve">E a resposta NÃO deve apresentar apenas valores numéricos sem contexto de tier ou tipo de chamado</w:t>
            </w:r>
          </w:p>
        </w:tc>
      </w:tr>
    </w:tbl>
    <w:p>
      <w:pPr>
        <w:spacing w:after="60" w:before="0"/>
        <w:jc w:val="left"/>
      </w:pPr>
      <w:r>
        <w:rPr>
          <w:rFonts w:ascii="Arial" w:cs="Arial" w:eastAsia="Arial" w:hAnsi="Arial"/>
          <w:b w:val="false"/>
          <w:bCs w:val="false"/>
          <w:i w:val="false"/>
          <w:iCs w:val="false"/>
          <w:color w:val="000000"/>
          <w:sz w:val="20"/>
          <w:szCs w:val="20"/>
        </w:rPr>
        <w:t xml:space="preserve"/>
      </w:r>
    </w:p>
    <w:p>
      <w:pPr>
        <w:pStyle w:val="Heading3"/>
        <w:spacing w:after="80" w:before="200"/>
      </w:pPr>
      <w:r>
        <w:rPr>
          <w:rFonts w:ascii="Arial" w:cs="Arial" w:eastAsia="Arial" w:hAnsi="Arial"/>
          <w:b/>
          <w:bCs/>
          <w:color w:val="2E75B6"/>
          <w:sz w:val="22"/>
          <w:szCs w:val="22"/>
        </w:rPr>
        <w:t xml:space="preserve">BDD-04 — Tier inexistente — cliente Platinum [RF-07]</w:t>
      </w:r>
    </w:p>
    <w:tbl>
      <w:tblPr>
        <w:tblW w:type="dxa" w:w="9360"/>
        <w:tblBorders>
          <w:top w:val="single" w:color="2E75B6" w:sz="8"/>
          <w:left w:val="single" w:color="2E75B6" w:sz="8"/>
          <w:bottom w:val="single" w:color="2E75B6" w:sz="8"/>
          <w:right w:val="single" w:color="2E75B6" w:sz="8"/>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2E75B6"/>
                <w:sz w:val="20"/>
                <w:szCs w:val="20"/>
              </w:rPr>
              <w:t xml:space="preserve">Cenário: Tier inexistente — cliente Platinum</w:t>
            </w:r>
          </w:p>
          <w:p>
            <w:pPr>
              <w:spacing w:after="60" w:before="0"/>
              <w:jc w:val="left"/>
            </w:pPr>
            <w:r>
              <w:rPr>
                <w:rFonts w:ascii="Arial" w:cs="Arial" w:eastAsia="Arial" w:hAnsi="Arial"/>
                <w:b w:val="false"/>
                <w:bCs w:val="false"/>
                <w:i w:val="false"/>
                <w:iCs w:val="false"/>
                <w:color w:val="000000"/>
                <w:sz w:val="18"/>
                <w:szCs w:val="18"/>
              </w:rPr>
              <w:t xml:space="preserve">Dado que o atendente pergunta sobre o SLA do cliente Platinum</w:t>
            </w:r>
          </w:p>
          <w:p>
            <w:pPr>
              <w:spacing w:after="60" w:before="0"/>
              <w:jc w:val="left"/>
            </w:pPr>
            <w:r>
              <w:rPr>
                <w:rFonts w:ascii="Arial" w:cs="Arial" w:eastAsia="Arial" w:hAnsi="Arial"/>
                <w:b w:val="false"/>
                <w:bCs w:val="false"/>
                <w:i w:val="false"/>
                <w:iCs w:val="false"/>
                <w:color w:val="000000"/>
                <w:sz w:val="18"/>
                <w:szCs w:val="18"/>
              </w:rPr>
              <w:t xml:space="preserve">Quando o assistente processa a pergunta e recupera chunks da SLA-2024</w:t>
            </w:r>
          </w:p>
          <w:p>
            <w:pPr>
              <w:spacing w:after="60" w:before="0"/>
              <w:jc w:val="left"/>
            </w:pPr>
            <w:r>
              <w:rPr>
                <w:rFonts w:ascii="Arial" w:cs="Arial" w:eastAsia="Arial" w:hAnsi="Arial"/>
                <w:b w:val="false"/>
                <w:bCs w:val="false"/>
                <w:i w:val="false"/>
                <w:iCs w:val="false"/>
                <w:color w:val="000000"/>
                <w:sz w:val="18"/>
                <w:szCs w:val="18"/>
              </w:rPr>
              <w:t xml:space="preserve">Então a resposta deve informar que o tier Platinum não existe na NovaTech</w:t>
            </w:r>
          </w:p>
          <w:p>
            <w:pPr>
              <w:spacing w:after="60" w:before="0"/>
              <w:jc w:val="left"/>
            </w:pPr>
            <w:r>
              <w:rPr>
                <w:rFonts w:ascii="Arial" w:cs="Arial" w:eastAsia="Arial" w:hAnsi="Arial"/>
                <w:b w:val="false"/>
                <w:bCs w:val="false"/>
                <w:i w:val="false"/>
                <w:iCs w:val="false"/>
                <w:color w:val="000000"/>
                <w:sz w:val="18"/>
                <w:szCs w:val="18"/>
              </w:rPr>
              <w:t xml:space="preserve">E a resposta deve listar os três tiers vigentes (Gold, Silver, Standard)</w:t>
            </w:r>
          </w:p>
          <w:p>
            <w:pPr>
              <w:spacing w:after="60" w:before="0"/>
              <w:jc w:val="left"/>
            </w:pPr>
            <w:r>
              <w:rPr>
                <w:rFonts w:ascii="Arial" w:cs="Arial" w:eastAsia="Arial" w:hAnsi="Arial"/>
                <w:b w:val="false"/>
                <w:bCs w:val="false"/>
                <w:i w:val="false"/>
                <w:iCs w:val="false"/>
                <w:color w:val="000000"/>
                <w:sz w:val="18"/>
                <w:szCs w:val="18"/>
              </w:rPr>
              <w:t xml:space="preserve">E a resposta deve citar a seção 1 da SLA-2024 como fonte</w:t>
            </w:r>
          </w:p>
          <w:p>
            <w:pPr>
              <w:spacing w:after="60" w:before="0"/>
              <w:jc w:val="left"/>
            </w:pPr>
            <w:r>
              <w:rPr>
                <w:rFonts w:ascii="Arial" w:cs="Arial" w:eastAsia="Arial" w:hAnsi="Arial"/>
                <w:b w:val="false"/>
                <w:bCs w:val="false"/>
                <w:i w:val="false"/>
                <w:iCs w:val="false"/>
                <w:color w:val="000000"/>
                <w:sz w:val="18"/>
                <w:szCs w:val="18"/>
              </w:rPr>
              <w:t xml:space="preserve">E a resposta NÃO deve apresentar nenhum valor de SLA para o tier Platinum</w:t>
            </w:r>
          </w:p>
        </w:tc>
      </w:tr>
    </w:tbl>
    <w:p>
      <w:pPr>
        <w:spacing w:after="60" w:before="0"/>
        <w:jc w:val="left"/>
      </w:pPr>
      <w:r>
        <w:rPr>
          <w:rFonts w:ascii="Arial" w:cs="Arial" w:eastAsia="Arial" w:hAnsi="Arial"/>
          <w:b w:val="false"/>
          <w:bCs w:val="false"/>
          <w:i w:val="false"/>
          <w:iCs w:val="false"/>
          <w:color w:val="000000"/>
          <w:sz w:val="20"/>
          <w:szCs w:val="20"/>
        </w:rPr>
        <w:t xml:space="preserve"/>
      </w:r>
    </w:p>
    <w:p>
      <w:pPr>
        <w:pStyle w:val="Heading3"/>
        <w:spacing w:after="80" w:before="200"/>
      </w:pPr>
      <w:r>
        <w:rPr>
          <w:rFonts w:ascii="Arial" w:cs="Arial" w:eastAsia="Arial" w:hAnsi="Arial"/>
          <w:b/>
          <w:bCs/>
          <w:color w:val="2E75B6"/>
          <w:sz w:val="22"/>
          <w:szCs w:val="22"/>
        </w:rPr>
        <w:t xml:space="preserve">BDD-05 — Pergunta sem cobertura documental — frete padrão [RF-05]</w:t>
      </w:r>
    </w:p>
    <w:tbl>
      <w:tblPr>
        <w:tblW w:type="dxa" w:w="9360"/>
        <w:tblBorders>
          <w:top w:val="single" w:color="7F4E1E" w:sz="8"/>
          <w:left w:val="single" w:color="7F4E1E" w:sz="8"/>
          <w:bottom w:val="single" w:color="7F4E1E" w:sz="8"/>
          <w:right w:val="single" w:color="7F4E1E" w:sz="8"/>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7F4E1E"/>
                <w:sz w:val="20"/>
                <w:szCs w:val="20"/>
              </w:rPr>
              <w:t xml:space="preserve">Cenário: Pergunta sem cobertura documental — frete padrão</w:t>
            </w:r>
          </w:p>
          <w:p>
            <w:pPr>
              <w:spacing w:after="60" w:before="0"/>
              <w:jc w:val="left"/>
            </w:pPr>
            <w:r>
              <w:rPr>
                <w:rFonts w:ascii="Arial" w:cs="Arial" w:eastAsia="Arial" w:hAnsi="Arial"/>
                <w:b w:val="false"/>
                <w:bCs w:val="false"/>
                <w:i w:val="false"/>
                <w:iCs w:val="false"/>
                <w:color w:val="000000"/>
                <w:sz w:val="18"/>
                <w:szCs w:val="18"/>
              </w:rPr>
              <w:t xml:space="preserve">Dado que o atendente pergunta sobre o valor ou prazo de frete para carga de 300kg (abaixo de 500kg)</w:t>
            </w:r>
          </w:p>
          <w:p>
            <w:pPr>
              <w:spacing w:after="60" w:before="0"/>
              <w:jc w:val="left"/>
            </w:pPr>
            <w:r>
              <w:rPr>
                <w:rFonts w:ascii="Arial" w:cs="Arial" w:eastAsia="Arial" w:hAnsi="Arial"/>
                <w:b w:val="false"/>
                <w:bCs w:val="false"/>
                <w:i w:val="false"/>
                <w:iCs w:val="false"/>
                <w:color w:val="000000"/>
                <w:sz w:val="18"/>
                <w:szCs w:val="18"/>
              </w:rPr>
              <w:t xml:space="preserve">Quando o assistente processa a pergunta e busca na base documental</w:t>
            </w:r>
          </w:p>
          <w:p>
            <w:pPr>
              <w:spacing w:after="60" w:before="0"/>
              <w:jc w:val="left"/>
            </w:pPr>
            <w:r>
              <w:rPr>
                <w:rFonts w:ascii="Arial" w:cs="Arial" w:eastAsia="Arial" w:hAnsi="Arial"/>
                <w:b w:val="false"/>
                <w:bCs w:val="false"/>
                <w:i w:val="false"/>
                <w:iCs w:val="false"/>
                <w:color w:val="000000"/>
                <w:sz w:val="18"/>
                <w:szCs w:val="18"/>
              </w:rPr>
              <w:t xml:space="preserve">Então a resposta deve declarar explicitamente que não há documentação formal na base para frete padrão</w:t>
            </w:r>
          </w:p>
          <w:p>
            <w:pPr>
              <w:spacing w:after="60" w:before="0"/>
              <w:jc w:val="left"/>
            </w:pPr>
            <w:r>
              <w:rPr>
                <w:rFonts w:ascii="Arial" w:cs="Arial" w:eastAsia="Arial" w:hAnsi="Arial"/>
                <w:b w:val="false"/>
                <w:bCs w:val="false"/>
                <w:i w:val="false"/>
                <w:iCs w:val="false"/>
                <w:color w:val="000000"/>
                <w:sz w:val="18"/>
                <w:szCs w:val="18"/>
              </w:rPr>
              <w:t xml:space="preserve">E a resposta deve acionar o fluxo de fallback de ausência de cobertura</w:t>
            </w:r>
          </w:p>
          <w:p>
            <w:pPr>
              <w:spacing w:after="60" w:before="0"/>
              <w:jc w:val="left"/>
            </w:pPr>
            <w:r>
              <w:rPr>
                <w:rFonts w:ascii="Arial" w:cs="Arial" w:eastAsia="Arial" w:hAnsi="Arial"/>
                <w:b w:val="false"/>
                <w:bCs w:val="false"/>
                <w:i w:val="false"/>
                <w:iCs w:val="false"/>
                <w:color w:val="000000"/>
                <w:sz w:val="18"/>
                <w:szCs w:val="18"/>
              </w:rPr>
              <w:t xml:space="preserve">E a resposta NÃO deve apresentar nenhum valor de frete calculado ou estimado</w:t>
            </w:r>
          </w:p>
          <w:p>
            <w:pPr>
              <w:spacing w:after="60" w:before="0"/>
              <w:jc w:val="left"/>
            </w:pPr>
            <w:r>
              <w:rPr>
                <w:rFonts w:ascii="Arial" w:cs="Arial" w:eastAsia="Arial" w:hAnsi="Arial"/>
                <w:b w:val="false"/>
                <w:bCs w:val="false"/>
                <w:i w:val="false"/>
                <w:iCs w:val="false"/>
                <w:color w:val="000000"/>
                <w:sz w:val="18"/>
                <w:szCs w:val="18"/>
              </w:rPr>
              <w:t xml:space="preserve">E a resposta deve instruir o atendente a escalonar para Supervisor</w:t>
            </w:r>
          </w:p>
        </w:tc>
      </w:tr>
    </w:tbl>
    <w:p>
      <w:pPr>
        <w:spacing w:after="60" w:before="0"/>
        <w:jc w:val="left"/>
      </w:pPr>
      <w:r>
        <w:rPr>
          <w:rFonts w:ascii="Arial" w:cs="Arial" w:eastAsia="Arial" w:hAnsi="Arial"/>
          <w:b w:val="false"/>
          <w:bCs w:val="false"/>
          <w:i w:val="false"/>
          <w:iCs w:val="false"/>
          <w:color w:val="000000"/>
          <w:sz w:val="20"/>
          <w:szCs w:val="20"/>
        </w:rPr>
        <w:t xml:space="preserve"/>
      </w:r>
    </w:p>
    <w:p>
      <w:pPr>
        <w:pStyle w:val="Heading3"/>
        <w:spacing w:after="80" w:before="200"/>
      </w:pPr>
      <w:r>
        <w:rPr>
          <w:rFonts w:ascii="Arial" w:cs="Arial" w:eastAsia="Arial" w:hAnsi="Arial"/>
          <w:b/>
          <w:bCs/>
          <w:color w:val="2E75B6"/>
          <w:sz w:val="22"/>
          <w:szCs w:val="22"/>
        </w:rPr>
        <w:t xml:space="preserve">BDD-06 — Prazo de frete especial — rastreabilidade de versão obrigatória [RF-08]</w:t>
      </w:r>
    </w:p>
    <w:tbl>
      <w:tblPr>
        <w:tblW w:type="dxa" w:w="9360"/>
        <w:tblBorders>
          <w:top w:val="single" w:color="375623" w:sz="8"/>
          <w:left w:val="single" w:color="375623" w:sz="8"/>
          <w:bottom w:val="single" w:color="375623" w:sz="8"/>
          <w:right w:val="single" w:color="375623" w:sz="8"/>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375623"/>
                <w:sz w:val="20"/>
                <w:szCs w:val="20"/>
              </w:rPr>
              <w:t xml:space="preserve">Cenário: Prazo de frete especial — rastreabilidade de versão obrigatória</w:t>
            </w:r>
          </w:p>
          <w:p>
            <w:pPr>
              <w:spacing w:after="60" w:before="0"/>
              <w:jc w:val="left"/>
            </w:pPr>
            <w:r>
              <w:rPr>
                <w:rFonts w:ascii="Arial" w:cs="Arial" w:eastAsia="Arial" w:hAnsi="Arial"/>
                <w:b w:val="false"/>
                <w:bCs w:val="false"/>
                <w:i w:val="false"/>
                <w:iCs w:val="false"/>
                <w:color w:val="000000"/>
                <w:sz w:val="18"/>
                <w:szCs w:val="18"/>
              </w:rPr>
              <w:t xml:space="preserve">Dado que o atendente pergunta sobre o prazo adicional para frete especial</w:t>
            </w:r>
          </w:p>
          <w:p>
            <w:pPr>
              <w:spacing w:after="60" w:before="0"/>
              <w:jc w:val="left"/>
            </w:pPr>
            <w:r>
              <w:rPr>
                <w:rFonts w:ascii="Arial" w:cs="Arial" w:eastAsia="Arial" w:hAnsi="Arial"/>
                <w:b w:val="false"/>
                <w:bCs w:val="false"/>
                <w:i w:val="false"/>
                <w:iCs w:val="false"/>
                <w:color w:val="000000"/>
                <w:sz w:val="18"/>
                <w:szCs w:val="18"/>
              </w:rPr>
              <w:t xml:space="preserve">Quando o assistente gera a resposta com base na PROC-042-v2</w:t>
            </w:r>
          </w:p>
          <w:p>
            <w:pPr>
              <w:spacing w:after="60" w:before="0"/>
              <w:jc w:val="left"/>
            </w:pPr>
            <w:r>
              <w:rPr>
                <w:rFonts w:ascii="Arial" w:cs="Arial" w:eastAsia="Arial" w:hAnsi="Arial"/>
                <w:b w:val="false"/>
                <w:bCs w:val="false"/>
                <w:i w:val="false"/>
                <w:iCs w:val="false"/>
                <w:color w:val="000000"/>
                <w:sz w:val="18"/>
                <w:szCs w:val="18"/>
              </w:rPr>
              <w:t xml:space="preserve">Então a resposta deve indicar 'PROC-042 v2 (emissão: 10/11/2023)' como documento fonte</w:t>
            </w:r>
          </w:p>
          <w:p>
            <w:pPr>
              <w:spacing w:after="60" w:before="0"/>
              <w:jc w:val="left"/>
            </w:pPr>
            <w:r>
              <w:rPr>
                <w:rFonts w:ascii="Arial" w:cs="Arial" w:eastAsia="Arial" w:hAnsi="Arial"/>
                <w:b w:val="false"/>
                <w:bCs w:val="false"/>
                <w:i w:val="false"/>
                <w:iCs w:val="false"/>
                <w:color w:val="000000"/>
                <w:sz w:val="18"/>
                <w:szCs w:val="18"/>
              </w:rPr>
              <w:t xml:space="preserve">E a resposta deve informar o prazo de +3 dias úteis (não +2 dias da v1)</w:t>
            </w:r>
          </w:p>
          <w:p>
            <w:pPr>
              <w:spacing w:after="60" w:before="0"/>
              <w:jc w:val="left"/>
            </w:pPr>
            <w:r>
              <w:rPr>
                <w:rFonts w:ascii="Arial" w:cs="Arial" w:eastAsia="Arial" w:hAnsi="Arial"/>
                <w:b w:val="false"/>
                <w:bCs w:val="false"/>
                <w:i w:val="false"/>
                <w:iCs w:val="false"/>
                <w:color w:val="000000"/>
                <w:sz w:val="18"/>
                <w:szCs w:val="18"/>
              </w:rPr>
              <w:t xml:space="preserve">E a resposta deve mencionar que existe uma versão anterior (v1) indexada na base</w:t>
            </w:r>
          </w:p>
          <w:p>
            <w:pPr>
              <w:spacing w:after="60" w:before="0"/>
              <w:jc w:val="left"/>
            </w:pPr>
            <w:r>
              <w:rPr>
                <w:rFonts w:ascii="Arial" w:cs="Arial" w:eastAsia="Arial" w:hAnsi="Arial"/>
                <w:b w:val="false"/>
                <w:bCs w:val="false"/>
                <w:i w:val="false"/>
                <w:iCs w:val="false"/>
                <w:color w:val="000000"/>
                <w:sz w:val="18"/>
                <w:szCs w:val="18"/>
              </w:rPr>
              <w:t xml:space="preserve">E a resposta NÃO deve informar prazo sem identificação de versão e data de emissão</w:t>
            </w:r>
          </w:p>
        </w:tc>
      </w:tr>
    </w:tbl>
    <w:p>
      <w:pPr>
        <w:spacing w:after="60" w:before="0"/>
        <w:jc w:val="left"/>
      </w:pPr>
      <w:r>
        <w:rPr>
          <w:rFonts w:ascii="Arial" w:cs="Arial" w:eastAsia="Arial" w:hAnsi="Arial"/>
          <w:b w:val="false"/>
          <w:bCs w:val="false"/>
          <w:i w:val="false"/>
          <w:iCs w:val="false"/>
          <w:color w:val="000000"/>
          <w:sz w:val="20"/>
          <w:szCs w:val="20"/>
        </w:rPr>
        <w:t xml:space="preserve"/>
      </w:r>
    </w:p>
    <w:p>
      <w:pPr>
        <w:pStyle w:val="Heading3"/>
        <w:spacing w:after="80" w:before="200"/>
      </w:pPr>
      <w:r>
        <w:rPr>
          <w:rFonts w:ascii="Arial" w:cs="Arial" w:eastAsia="Arial" w:hAnsi="Arial"/>
          <w:b/>
          <w:bCs/>
          <w:color w:val="2E75B6"/>
          <w:sz w:val="22"/>
          <w:szCs w:val="22"/>
        </w:rPr>
        <w:t xml:space="preserve">BDD-07 — Feedback do atendente — ciclo de revisão crítico [RF-09]</w:t>
      </w:r>
    </w:p>
    <w:tbl>
      <w:tblPr>
        <w:tblW w:type="dxa" w:w="9360"/>
        <w:tblBorders>
          <w:top w:val="single" w:color="7B1919" w:sz="8"/>
          <w:left w:val="single" w:color="7B1919" w:sz="8"/>
          <w:bottom w:val="single" w:color="7B1919" w:sz="8"/>
          <w:right w:val="single" w:color="7B1919" w:sz="8"/>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DAD9"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7B1919"/>
                <w:sz w:val="20"/>
                <w:szCs w:val="20"/>
              </w:rPr>
              <w:t xml:space="preserve">Cenário: Feedback do atendente — ciclo de revisão crítico</w:t>
            </w:r>
          </w:p>
          <w:p>
            <w:pPr>
              <w:spacing w:after="60" w:before="0"/>
              <w:jc w:val="left"/>
            </w:pPr>
            <w:r>
              <w:rPr>
                <w:rFonts w:ascii="Arial" w:cs="Arial" w:eastAsia="Arial" w:hAnsi="Arial"/>
                <w:b w:val="false"/>
                <w:bCs w:val="false"/>
                <w:i w:val="false"/>
                <w:iCs w:val="false"/>
                <w:color w:val="000000"/>
                <w:sz w:val="18"/>
                <w:szCs w:val="18"/>
              </w:rPr>
              <w:t xml:space="preserve">Dado que o atendente recebeu uma resposta do assistente sobre SLA de carga perigosa</w:t>
            </w:r>
          </w:p>
          <w:p>
            <w:pPr>
              <w:spacing w:after="60" w:before="0"/>
              <w:jc w:val="left"/>
            </w:pPr>
            <w:r>
              <w:rPr>
                <w:rFonts w:ascii="Arial" w:cs="Arial" w:eastAsia="Arial" w:hAnsi="Arial"/>
                <w:b w:val="false"/>
                <w:bCs w:val="false"/>
                <w:i w:val="false"/>
                <w:iCs w:val="false"/>
                <w:color w:val="000000"/>
                <w:sz w:val="18"/>
                <w:szCs w:val="18"/>
              </w:rPr>
              <w:t xml:space="preserve">E o atendente classifica a resposta como 'resposta errada'</w:t>
            </w:r>
          </w:p>
          <w:p>
            <w:pPr>
              <w:spacing w:after="60" w:before="0"/>
              <w:jc w:val="left"/>
            </w:pPr>
            <w:r>
              <w:rPr>
                <w:rFonts w:ascii="Arial" w:cs="Arial" w:eastAsia="Arial" w:hAnsi="Arial"/>
                <w:b w:val="false"/>
                <w:bCs w:val="false"/>
                <w:i w:val="false"/>
                <w:iCs w:val="false"/>
                <w:color w:val="000000"/>
                <w:sz w:val="18"/>
                <w:szCs w:val="18"/>
              </w:rPr>
              <w:t xml:space="preserve">Quando o atendente submete o feedback com descrição do erro</w:t>
            </w:r>
          </w:p>
          <w:p>
            <w:pPr>
              <w:spacing w:after="60" w:before="0"/>
              <w:jc w:val="left"/>
            </w:pPr>
            <w:r>
              <w:rPr>
                <w:rFonts w:ascii="Arial" w:cs="Arial" w:eastAsia="Arial" w:hAnsi="Arial"/>
                <w:b w:val="false"/>
                <w:bCs w:val="false"/>
                <w:i w:val="false"/>
                <w:iCs w:val="false"/>
                <w:color w:val="000000"/>
                <w:sz w:val="18"/>
                <w:szCs w:val="18"/>
              </w:rPr>
              <w:t xml:space="preserve">Então o sistema deve registrar: categoria 'resposta errada', descrição, ID do chamado e documento fonte citado</w:t>
            </w:r>
          </w:p>
          <w:p>
            <w:pPr>
              <w:spacing w:after="60" w:before="0"/>
              <w:jc w:val="left"/>
            </w:pPr>
            <w:r>
              <w:rPr>
                <w:rFonts w:ascii="Arial" w:cs="Arial" w:eastAsia="Arial" w:hAnsi="Arial"/>
                <w:b w:val="false"/>
                <w:bCs w:val="false"/>
                <w:i w:val="false"/>
                <w:iCs w:val="false"/>
                <w:color w:val="000000"/>
                <w:sz w:val="18"/>
                <w:szCs w:val="18"/>
              </w:rPr>
              <w:t xml:space="preserve">E o feedback deve ser triado pela equipe de curadoria em até 24 horas</w:t>
            </w:r>
          </w:p>
          <w:p>
            <w:pPr>
              <w:spacing w:after="60" w:before="0"/>
              <w:jc w:val="left"/>
            </w:pPr>
            <w:r>
              <w:rPr>
                <w:rFonts w:ascii="Arial" w:cs="Arial" w:eastAsia="Arial" w:hAnsi="Arial"/>
                <w:b w:val="false"/>
                <w:bCs w:val="false"/>
                <w:i w:val="false"/>
                <w:iCs w:val="false"/>
                <w:color w:val="000000"/>
                <w:sz w:val="18"/>
                <w:szCs w:val="18"/>
              </w:rPr>
              <w:t xml:space="preserve">E o atendente deve receber confirmação de recebimento dentro do prazo</w:t>
            </w:r>
          </w:p>
          <w:p>
            <w:pPr>
              <w:spacing w:after="60" w:before="0"/>
              <w:jc w:val="left"/>
            </w:pPr>
            <w:r>
              <w:rPr>
                <w:rFonts w:ascii="Arial" w:cs="Arial" w:eastAsia="Arial" w:hAnsi="Arial"/>
                <w:b w:val="false"/>
                <w:bCs w:val="false"/>
                <w:i w:val="false"/>
                <w:iCs w:val="false"/>
                <w:color w:val="000000"/>
                <w:sz w:val="18"/>
                <w:szCs w:val="18"/>
              </w:rPr>
              <w:t xml:space="preserve">E a resposta do assistente NÃO deve ser alterada automaticamente sem validação humana</w:t>
            </w:r>
          </w:p>
        </w:tc>
      </w:tr>
    </w:tbl>
    <w:p>
      <w:pPr>
        <w:spacing w:after="60" w:before="0"/>
        <w:jc w:val="left"/>
      </w:pPr>
      <w:r>
        <w:rPr>
          <w:rFonts w:ascii="Arial" w:cs="Arial" w:eastAsia="Arial" w:hAnsi="Arial"/>
          <w:b w:val="false"/>
          <w:bCs w:val="false"/>
          <w:i w:val="false"/>
          <w:iCs w:val="false"/>
          <w:color w:val="000000"/>
          <w:sz w:val="20"/>
          <w:szCs w:val="20"/>
        </w:rPr>
        <w:t xml:space="preserve"/>
      </w:r>
    </w:p>
    <w:p>
      <w:pPr>
        <w:pStyle w:val="Heading3"/>
        <w:spacing w:after="80" w:before="200"/>
      </w:pPr>
      <w:r>
        <w:rPr>
          <w:rFonts w:ascii="Arial" w:cs="Arial" w:eastAsia="Arial" w:hAnsi="Arial"/>
          <w:b/>
          <w:bCs/>
          <w:color w:val="2E75B6"/>
          <w:sz w:val="22"/>
          <w:szCs w:val="22"/>
        </w:rPr>
        <w:t xml:space="preserve">BDD-08 — Precedência documental — FAQ vs POL em conflito [RF-10]</w:t>
      </w:r>
    </w:p>
    <w:tbl>
      <w:tblPr>
        <w:tblW w:type="dxa" w:w="9360"/>
        <w:tblBorders>
          <w:top w:val="single" w:color="2E75B6" w:sz="8"/>
          <w:left w:val="single" w:color="2E75B6" w:sz="8"/>
          <w:bottom w:val="single" w:color="2E75B6" w:sz="8"/>
          <w:right w:val="single" w:color="2E75B6" w:sz="8"/>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2E75B6"/>
                <w:sz w:val="20"/>
                <w:szCs w:val="20"/>
              </w:rPr>
              <w:t xml:space="preserve">Cenário: Precedência documental — FAQ vs POL em conflito</w:t>
            </w:r>
          </w:p>
          <w:p>
            <w:pPr>
              <w:spacing w:after="60" w:before="0"/>
              <w:jc w:val="left"/>
            </w:pPr>
            <w:r>
              <w:rPr>
                <w:rFonts w:ascii="Arial" w:cs="Arial" w:eastAsia="Arial" w:hAnsi="Arial"/>
                <w:b w:val="false"/>
                <w:bCs w:val="false"/>
                <w:i w:val="false"/>
                <w:iCs w:val="false"/>
                <w:color w:val="000000"/>
                <w:sz w:val="18"/>
                <w:szCs w:val="18"/>
              </w:rPr>
              <w:t xml:space="preserve">Dado que o atendente pergunta sobre a elegibilidade de devolução de carga refrigerada</w:t>
            </w:r>
          </w:p>
          <w:p>
            <w:pPr>
              <w:spacing w:after="60" w:before="0"/>
              <w:jc w:val="left"/>
            </w:pPr>
            <w:r>
              <w:rPr>
                <w:rFonts w:ascii="Arial" w:cs="Arial" w:eastAsia="Arial" w:hAnsi="Arial"/>
                <w:b w:val="false"/>
                <w:bCs w:val="false"/>
                <w:i w:val="false"/>
                <w:iCs w:val="false"/>
                <w:color w:val="000000"/>
                <w:sz w:val="18"/>
                <w:szCs w:val="18"/>
              </w:rPr>
              <w:t xml:space="preserve">E a base contém a POL-001 seção 3.2 (carga refrigerada com cadeia de frio rompida: NÃO elegível) e um item do FAQ sem respaldo formal</w:t>
            </w:r>
          </w:p>
          <w:p>
            <w:pPr>
              <w:spacing w:after="60" w:before="0"/>
              <w:jc w:val="left"/>
            </w:pPr>
            <w:r>
              <w:rPr>
                <w:rFonts w:ascii="Arial" w:cs="Arial" w:eastAsia="Arial" w:hAnsi="Arial"/>
                <w:b w:val="false"/>
                <w:bCs w:val="false"/>
                <w:i w:val="false"/>
                <w:iCs w:val="false"/>
                <w:color w:val="000000"/>
                <w:sz w:val="18"/>
                <w:szCs w:val="18"/>
              </w:rPr>
              <w:t xml:space="preserve">Quando o assistente recupera ambas as fontes</w:t>
            </w:r>
          </w:p>
          <w:p>
            <w:pPr>
              <w:spacing w:after="60" w:before="0"/>
              <w:jc w:val="left"/>
            </w:pPr>
            <w:r>
              <w:rPr>
                <w:rFonts w:ascii="Arial" w:cs="Arial" w:eastAsia="Arial" w:hAnsi="Arial"/>
                <w:b w:val="false"/>
                <w:bCs w:val="false"/>
                <w:i w:val="false"/>
                <w:iCs w:val="false"/>
                <w:color w:val="000000"/>
                <w:sz w:val="18"/>
                <w:szCs w:val="18"/>
              </w:rPr>
              <w:t xml:space="preserve">Então a resposta deve citar a POL-001 como fonte primária</w:t>
            </w:r>
          </w:p>
          <w:p>
            <w:pPr>
              <w:spacing w:after="60" w:before="0"/>
              <w:jc w:val="left"/>
            </w:pPr>
            <w:r>
              <w:rPr>
                <w:rFonts w:ascii="Arial" w:cs="Arial" w:eastAsia="Arial" w:hAnsi="Arial"/>
                <w:b w:val="false"/>
                <w:bCs w:val="false"/>
                <w:i w:val="false"/>
                <w:iCs w:val="false"/>
                <w:color w:val="000000"/>
                <w:sz w:val="18"/>
                <w:szCs w:val="18"/>
              </w:rPr>
              <w:t xml:space="preserve">E a resposta deve sinalizar que há orientação no FAQ, mas que diverge do documento formal</w:t>
            </w:r>
          </w:p>
          <w:p>
            <w:pPr>
              <w:spacing w:after="60" w:before="0"/>
              <w:jc w:val="left"/>
            </w:pPr>
            <w:r>
              <w:rPr>
                <w:rFonts w:ascii="Arial" w:cs="Arial" w:eastAsia="Arial" w:hAnsi="Arial"/>
                <w:b w:val="false"/>
                <w:bCs w:val="false"/>
                <w:i w:val="false"/>
                <w:iCs w:val="false"/>
                <w:color w:val="000000"/>
                <w:sz w:val="18"/>
                <w:szCs w:val="18"/>
              </w:rPr>
              <w:t xml:space="preserve">E a resposta NÃO deve tratar o FAQ como fonte de igual autoridade à POL</w:t>
            </w:r>
          </w:p>
        </w:tc>
      </w:tr>
    </w:tbl>
    <w:p>
      <w:pPr>
        <w:spacing w:after="60" w:before="0"/>
        <w:jc w:val="left"/>
      </w:pPr>
      <w:r>
        <w:rPr>
          <w:rFonts w:ascii="Arial" w:cs="Arial" w:eastAsia="Arial" w:hAnsi="Arial"/>
          <w:b w:val="false"/>
          <w:bCs w:val="false"/>
          <w:i w:val="false"/>
          <w:iCs w:val="false"/>
          <w:color w:val="000000"/>
          <w:sz w:val="20"/>
          <w:szCs w:val="20"/>
        </w:rPr>
        <w:t xml:space="preserve"/>
      </w:r>
    </w:p>
    <w:p>
      <w:r>
        <w:br w:type="page"/>
      </w:r>
    </w:p>
    <w:p>
      <w:pPr>
        <w:pStyle w:val="Heading1"/>
        <w:pBdr>
          <w:bottom w:val="single" w:color="2E75B6" w:sz="6" w:space="4"/>
        </w:pBdr>
        <w:spacing w:after="120" w:before="360"/>
      </w:pPr>
      <w:r>
        <w:rPr>
          <w:rFonts w:ascii="Arial" w:cs="Arial" w:eastAsia="Arial" w:hAnsi="Arial"/>
          <w:b/>
          <w:bCs/>
          <w:color w:val="1B3A6B"/>
          <w:sz w:val="32"/>
          <w:szCs w:val="32"/>
        </w:rPr>
        <w:t xml:space="preserve">Apêndice — Riscos de Curadoria de Conteúdo</w:t>
      </w:r>
    </w:p>
    <w:p>
      <w:pPr>
        <w:spacing w:after="160" w:before="0"/>
        <w:jc w:val="left"/>
      </w:pPr>
      <w:r>
        <w:rPr>
          <w:rFonts w:ascii="Arial" w:cs="Arial" w:eastAsia="Arial" w:hAnsi="Arial"/>
          <w:b w:val="false"/>
          <w:bCs w:val="false"/>
          <w:i w:val="false"/>
          <w:iCs w:val="false"/>
          <w:color w:val="000000"/>
          <w:sz w:val="20"/>
          <w:szCs w:val="20"/>
        </w:rPr>
        <w:t xml:space="preserve">A qualidade das respostas do assistente depende diretamente da qualidade da base documental indexada. Os riscos abaixo foram identificados na análise da documentação atual da NovaTech e devem ser tratados como parte do projeto — não apenas como problemas técnicos de indexação.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800"/>
        <w:gridCol w:w="3360"/>
      </w:tblGrid>
      <w:tr>
        <w:trPr>
          <w:tblHeader/>
        </w:trP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FFFFFF"/>
                <w:sz w:val="18"/>
                <w:szCs w:val="18"/>
              </w:rPr>
              <w:t xml:space="preserve">Tipo de Risco</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FFFFFF"/>
                <w:sz w:val="18"/>
                <w:szCs w:val="18"/>
              </w:rPr>
              <w:t xml:space="preserve">Exemplo Identificado</w:t>
            </w:r>
          </w:p>
        </w:tc>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FFFFFF"/>
                <w:sz w:val="18"/>
                <w:szCs w:val="18"/>
              </w:rPr>
              <w:t xml:space="preserve">Consequência para o Assistente</w:t>
            </w:r>
          </w:p>
        </w:tc>
        <w:tc>
          <w:tcPr>
            <w:tcW w:type="dxa" w:w="3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FFFFFF"/>
                <w:sz w:val="18"/>
                <w:szCs w:val="18"/>
              </w:rPr>
              <w:t xml:space="preserve">Mitigação Recomendada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Versão obsoleta não arquivada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PROC-042 v1 coexiste com v2 sem hierarquia formal declarada no SharePoint.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O assistente recupera chunks de ambas e aciona fallback de conflito em toda pergunta sobre frete especial.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Arquivar formalmente o PROC-042 v1 ou adicionar metadado de 'substituído por PROC-042-v2' antes da indexação.</w:t>
            </w:r>
          </w:p>
        </w:tc>
      </w:tr>
      <w:tr>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Documento sem dono</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FAQ-Atendimento não tem responsável formal, versão ou data de aprovação.</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Qualquer orientação do FAQ pode ser desatualizada ou incorreta sem que ninguém saiba ou seja responsabilizado.</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Nomear responsável formal, definir ciclo de revisão semestral e adicionar cabeçalho de controle de versão.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Gap documental (processo sem POL/PROC)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Processo de tratamento de carga danificada existe na prática, mas só está no FAQ-38 — sem documento normativo.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O assistente declara ausência de cobertura para tema frequente, gerando escalonamento desnecessário.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Criar POL ou PROC formal antes do go-live, ou documentar explicitamente que o FAQ-38 é o processo vigente até publicação da política.</w:t>
            </w:r>
          </w:p>
        </w:tc>
      </w:tr>
      <w:tr>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Referência a documento externo não indexado</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PROC-042 v1 referencia tabela de fretes-base em caminho de rede (\\novatech-fs\comercial\...). SLA-2024 referencia critérios do sistema Azure DevOps.</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O assistente não tem acesso ao valor base de frete nem ao timestamp de abertura de chamado — resposta sempre parcial.</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Indexar os documentos referenciados ou incluir instrução explícita ao atendente para consultar a fonte externa.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Documento em revisão sem substituto publicado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PROC-043 (Frete de Cargas Perigosas) está em revisão pelo Compliance.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Todas as perguntas sobre frete de carga perigosa acionam fallback com encaminhamento ao Compliance — processo lento e ineficiente.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Publicar versão transitória do PROC-043 ou comunicar prazo de publicação para que o assistente possa informar o atendente.</w:t>
            </w:r>
          </w:p>
        </w:tc>
      </w:tr>
      <w:tr>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Informação crítica só em fonte informal</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Seguro de carga (percentuais 0,3% / 0,8%) e processo de interceptação de carga em trânsito existem apenas no FAQ.</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O assistente recusa ou sinaliza baixa confiança para temas que têm resposta prática disponível — mas não pode validar.</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8"/>
                <w:szCs w:val="18"/>
              </w:rPr>
              <w:t xml:space="preserve">Criar documentos formais para os temas recorrentes identificados no FAQ. Priorizar: seguro de carga, carga danificada, interceptação.</w:t>
            </w:r>
          </w:p>
        </w:tc>
      </w:tr>
    </w:tbl>
    <w:p>
      <w:pPr>
        <w:spacing w:after="60" w:before="0"/>
        <w:jc w:val="left"/>
      </w:pPr>
      <w:r>
        <w:rPr>
          <w:rFonts w:ascii="Arial" w:cs="Arial" w:eastAsia="Arial" w:hAnsi="Arial"/>
          <w:b w:val="false"/>
          <w:bCs w:val="false"/>
          <w:i w:val="false"/>
          <w:iCs w:val="false"/>
          <w:color w:val="000000"/>
          <w:sz w:val="20"/>
          <w:szCs w:val="20"/>
        </w:rPr>
        <w:t xml:space="preserve"/>
      </w:r>
    </w:p>
    <w:p>
      <w:pPr>
        <w:spacing w:after="60" w:before="0"/>
        <w:jc w:val="left"/>
      </w:pPr>
      <w:r>
        <w:rPr>
          <w:rFonts w:ascii="Arial" w:cs="Arial" w:eastAsia="Arial" w:hAnsi="Arial"/>
          <w:b/>
          <w:bCs/>
          <w:i w:val="false"/>
          <w:iCs w:val="false"/>
          <w:color w:val="000000"/>
          <w:sz w:val="20"/>
          <w:szCs w:val="20"/>
        </w:rPr>
        <w:t xml:space="preserve">Nota final: </w:t>
      </w:r>
      <w:r>
        <w:rPr>
          <w:rFonts w:ascii="Arial" w:cs="Arial" w:eastAsia="Arial" w:hAnsi="Arial"/>
          <w:b w:val="false"/>
          <w:bCs w:val="false"/>
          <w:i w:val="false"/>
          <w:iCs w:val="false"/>
          <w:color w:val="000000"/>
          <w:sz w:val="20"/>
          <w:szCs w:val="20"/>
        </w:rPr>
        <w:t xml:space="preserve">Esta especificação foi elaborada com base exclusiva nos documentos fornecidos: POL-001 v3.1, PROC-042 v1.0, PROC-042-v2 v2.0, SLA-2024 v2024.1, FAQ-Atendimento (versão não controlada) e o documento 'Jornada do Atendente com Assistente de IA'. Qualquer requisito não coberto por esses documentos foi explicitamente marcado como pendência de decisão de negócio (seção 8). Nenhuma informação externa foi utilizada.</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left"/>
    </w:pPr>
    <w:r>
      <w:rPr>
        <w:rFonts w:ascii="Arial" w:cs="Arial" w:eastAsia="Arial" w:hAnsi="Arial"/>
        <w:color w:val="595959"/>
        <w:sz w:val="16"/>
        <w:szCs w:val="16"/>
      </w:rPr>
      <w:t xml:space="preserve">NovaTech — Especificação de Requisitos: Assistente de Atendimento com RAG</w:t>
    </w:r>
    <w:r>
      <w:rPr>
        <w:rFonts w:ascii="Arial" w:cs="Arial" w:eastAsia="Arial" w:hAnsi="Arial"/>
        <w:color w:val="595959"/>
        <w:sz w:val="16"/>
        <w:szCs w:val="16"/>
      </w:rPr>
      <w:pgNum/>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720" w:hanging="360"/>
      </w:pPr>
    </w:lvl>
  </w:abstractNum>
  <w:abstractNum w:abstractNumId="3" w15:restartNumberingAfterBreak="0">
    <w:multiLevelType w:val="hybridMultilevel"/>
    <w:lvl w:ilvl="0" w15:tentative="1">
      <w:start w:val="1"/>
      <w:numFmt w:val="bullet"/>
      <w:lvlText w:val="–"/>
      <w:lvlJc w:val="left"/>
      <w:pPr>
        <w:spacing w:after="40"/>
        <w:ind w:left="1080" w:hanging="360"/>
      </w:pPr>
    </w:lvl>
  </w:abstractNum>
  <w:abstractNum w:abstractNumId="4" w15:restartNumberingAfterBreak="0">
    <w:multiLevelType w:val="hybridMultilevel"/>
    <w:lvl w:ilvl="0" w15:tentative="1">
      <w:start w:val="1"/>
      <w:numFmt w:val="decimal"/>
      <w:lvlText w:val="%1."/>
      <w:lvlJc w:val="left"/>
      <w:pPr>
        <w:spacing w:after="60"/>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B3A6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2026-06-03T15:29:35.295Z</dcterms:created>
  <dcterms:modified xsi:type="dcterms:W3CDTF">2026-06-03T15:29:35.309Z</dcterms:modified>
</cp:coreProperties>
</file>

<file path=docProps/custom.xml><?xml version="1.0" encoding="utf-8"?>
<Properties xmlns="http://schemas.openxmlformats.org/officeDocument/2006/custom-properties" xmlns:vt="http://schemas.openxmlformats.org/officeDocument/2006/docPropsVTypes"/>
</file>