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Placard 120*240*55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cajones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estantes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baulera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percheros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puertas corredizas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 blanco o madera.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