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Vestidor enfrentados 250x250x250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 cajones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4 percheros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estantes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bandejas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bauleras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Blanco o color madera.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