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97D"/>
          <w:sz w:val="48"/>
        </w:rPr>
        <w:t>DIAGNÓSTICO FINANCIERO INTEGRAL</w:t>
      </w:r>
    </w:p>
    <w:p>
      <w:pPr>
        <w:jc w:val="center"/>
      </w:pPr>
      <w:r>
        <w:rPr>
          <w:color w:val="2E75B6"/>
          <w:sz w:val="32"/>
        </w:rPr>
        <w:t>Empresa Metalmecánica</w:t>
      </w:r>
    </w:p>
    <w:p>
      <w:pPr>
        <w:jc w:val="center"/>
      </w:pPr>
      <w:r>
        <w:rPr>
          <w:color w:val="2E75B6"/>
          <w:sz w:val="28"/>
        </w:rPr>
        <w:t>Enero – Abril 2026 vs 2025</w:t>
      </w:r>
    </w:p>
    <w:p/>
    <w:p>
      <w:pPr>
        <w:jc w:val="center"/>
      </w:pPr>
      <w:r>
        <w:rPr>
          <w:i/>
          <w:color w:val="595659"/>
          <w:sz w:val="22"/>
        </w:rPr>
        <w:t>Cifras en millones de pesos colombianos (COP $M)</w:t>
      </w:r>
    </w:p>
    <w:p/>
    <w:p>
      <w:pPr>
        <w:jc w:val="center"/>
      </w:pPr>
      <w:r>
        <w:rPr>
          <w:color w:val="595659"/>
          <w:sz w:val="20"/>
        </w:rPr>
        <w:t>Preparado con base en:</w:t>
        <w:br/>
        <w:t>• 1-Relacion ventas 2026-1.xlsx</w:t>
        <w:br/>
        <w:t>• 2-Estado de resultados 2026-abril-completo.xlsm</w:t>
        <w:br/>
        <w:t>• 5-Informe costos 2024-2025-2026 abril.xlsx</w:t>
      </w:r>
    </w:p>
    <w:p/>
    <w:p>
      <w:pPr>
        <w:jc w:val="center"/>
      </w:pPr>
      <w:r>
        <w:rPr>
          <w:b/>
          <w:color w:val="1F497D"/>
          <w:sz w:val="22"/>
        </w:rPr>
        <w:t>Mayo 2026</w:t>
      </w:r>
    </w:p>
    <w:p>
      <w:r>
        <w:br w:type="page"/>
      </w:r>
    </w:p>
    <w:p>
      <w:pPr>
        <w:spacing w:before="360" w:after="120"/>
        <w:pBdr>
          <w:bottom w:val="single" w:sz="8" w:space="1" w:color="1F497D"/>
        </w:pBdr>
      </w:pPr>
      <w:r>
        <w:rPr>
          <w:b/>
          <w:color w:val="1F497D"/>
          <w:sz w:val="32"/>
        </w:rPr>
        <w:t>PARTE 1: RESUMEN EJECUTIVO — 10 HALLAZGOS CLAVE</w:t>
      </w:r>
    </w:p>
    <w:tbl>
      <w:tblPr>
        <w:tblStyle w:val="TableGrid"/>
        <w:tblW w:type="auto" w:w="0"/>
        <w:tblLook w:firstColumn="1" w:firstRow="1" w:lastColumn="0" w:lastRow="0" w:noHBand="0" w:noVBand="1" w:val="04A0"/>
      </w:tblPr>
      <w:tblGrid>
        <w:gridCol w:w="4873"/>
        <w:gridCol w:w="4873"/>
      </w:tblGrid>
      <w:tr>
        <w:tc>
          <w:tcPr>
            <w:tcW w:type="dxa" w:w="567"/>
            <w:shd w:val="clear" w:color="auto" w:fill="C00000"/>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tcPr>
          <w:p>
            <w:pPr>
              <w:jc w:val="center"/>
            </w:pPr>
            <w:r>
              <w:rPr>
                <w:b/>
                <w:color w:val="FFFFFF"/>
                <w:sz w:val="28"/>
              </w:rPr>
              <w:t>1</w:t>
            </w:r>
          </w:p>
        </w:tc>
        <w:tc>
          <w:tcPr>
            <w:tcW w:type="dxa" w:w="4873"/>
            <w:shd w:val="clear" w:color="auto" w:fill="FFFFFF"/>
            <w:tcBorders>
              <w:top w:val="single" w:sz="2" w:space="0" w:color="CCCCCC"/>
              <w:left w:val="single" w:sz="2" w:space="0" w:color="CCCCCC"/>
              <w:bottom w:val="single" w:sz="2" w:space="0" w:color="CCCCCC"/>
              <w:right w:val="single" w:sz="2" w:space="0" w:color="CCCCCC"/>
              <w:insideH w:val="single" w:sz="2" w:space="0" w:color="CCCCCC"/>
              <w:insideV w:val="single" w:sz="2" w:space="0" w:color="CCCCCC"/>
            </w:tcBorders>
          </w:tcPr>
          <w:p>
            <w:r>
              <w:rPr>
                <w:b/>
                <w:color w:val="C00000"/>
                <w:sz w:val="20"/>
              </w:rPr>
              <w:t xml:space="preserve">Ventas crecen +11.3% (+$1,936M) pero utilidad neta cae -56.2% (-$2,086M). </w:t>
            </w:r>
          </w:p>
          <w:p>
            <w:r>
              <w:rPr>
                <w:sz w:val="18"/>
              </w:rPr>
              <w:t>El crecimiento es real pero está siendo destruido por deterioro en márgenes brutos, explosión de costos de producción y un salto masivo en gastos familiares.</w:t>
            </w:r>
          </w:p>
        </w:tc>
      </w:tr>
    </w:tbl>
    <w:p>
      <w:pPr>
        <w:spacing w:after="20"/>
      </w:pPr>
    </w:p>
    <w:tbl>
      <w:tblPr>
        <w:tblStyle w:val="TableGrid"/>
        <w:tblW w:type="auto" w:w="0"/>
        <w:tblLook w:firstColumn="1" w:firstRow="1" w:lastColumn="0" w:lastRow="0" w:noHBand="0" w:noVBand="1" w:val="04A0"/>
      </w:tblPr>
      <w:tblGrid>
        <w:gridCol w:w="4873"/>
        <w:gridCol w:w="4873"/>
      </w:tblGrid>
      <w:tr>
        <w:tc>
          <w:tcPr>
            <w:tcW w:type="dxa" w:w="567"/>
            <w:shd w:val="clear" w:color="auto" w:fill="C00000"/>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tcPr>
          <w:p>
            <w:pPr>
              <w:jc w:val="center"/>
            </w:pPr>
            <w:r>
              <w:rPr>
                <w:b/>
                <w:color w:val="FFFFFF"/>
                <w:sz w:val="28"/>
              </w:rPr>
              <w:t>2</w:t>
            </w:r>
          </w:p>
        </w:tc>
        <w:tc>
          <w:tcPr>
            <w:tcW w:type="dxa" w:w="4873"/>
            <w:shd w:val="clear" w:color="auto" w:fill="F2F2F2"/>
            <w:tcBorders>
              <w:top w:val="single" w:sz="2" w:space="0" w:color="CCCCCC"/>
              <w:left w:val="single" w:sz="2" w:space="0" w:color="CCCCCC"/>
              <w:bottom w:val="single" w:sz="2" w:space="0" w:color="CCCCCC"/>
              <w:right w:val="single" w:sz="2" w:space="0" w:color="CCCCCC"/>
              <w:insideH w:val="single" w:sz="2" w:space="0" w:color="CCCCCC"/>
              <w:insideV w:val="single" w:sz="2" w:space="0" w:color="CCCCCC"/>
            </w:tcBorders>
          </w:tcPr>
          <w:p>
            <w:r>
              <w:rPr>
                <w:b/>
                <w:color w:val="C00000"/>
                <w:sz w:val="20"/>
              </w:rPr>
              <w:t xml:space="preserve">Margen bruto cayó de 35.1% a 28.4% (-6.6 puntos porcentuales). </w:t>
            </w:r>
          </w:p>
          <w:p>
            <w:r>
              <w:rPr>
                <w:sz w:val="18"/>
              </w:rPr>
              <w:t>$581M menos de utilidad bruta a pesar de vender $1,936M más. El crecimiento en ventas no solo no mejora la rentabilidad — la empeora.</w:t>
            </w:r>
          </w:p>
        </w:tc>
      </w:tr>
    </w:tbl>
    <w:p>
      <w:pPr>
        <w:spacing w:after="20"/>
      </w:pPr>
    </w:p>
    <w:tbl>
      <w:tblPr>
        <w:tblStyle w:val="TableGrid"/>
        <w:tblW w:type="auto" w:w="0"/>
        <w:tblLook w:firstColumn="1" w:firstRow="1" w:lastColumn="0" w:lastRow="0" w:noHBand="0" w:noVBand="1" w:val="04A0"/>
      </w:tblPr>
      <w:tblGrid>
        <w:gridCol w:w="4873"/>
        <w:gridCol w:w="4873"/>
      </w:tblGrid>
      <w:tr>
        <w:tc>
          <w:tcPr>
            <w:tcW w:type="dxa" w:w="567"/>
            <w:shd w:val="clear" w:color="auto" w:fill="C00000"/>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tcPr>
          <w:p>
            <w:pPr>
              <w:jc w:val="center"/>
            </w:pPr>
            <w:r>
              <w:rPr>
                <w:b/>
                <w:color w:val="FFFFFF"/>
                <w:sz w:val="28"/>
              </w:rPr>
              <w:t>3</w:t>
            </w:r>
          </w:p>
        </w:tc>
        <w:tc>
          <w:tcPr>
            <w:tcW w:type="dxa" w:w="4873"/>
            <w:shd w:val="clear" w:color="auto" w:fill="FFFFFF"/>
            <w:tcBorders>
              <w:top w:val="single" w:sz="2" w:space="0" w:color="CCCCCC"/>
              <w:left w:val="single" w:sz="2" w:space="0" w:color="CCCCCC"/>
              <w:bottom w:val="single" w:sz="2" w:space="0" w:color="CCCCCC"/>
              <w:right w:val="single" w:sz="2" w:space="0" w:color="CCCCCC"/>
              <w:insideH w:val="single" w:sz="2" w:space="0" w:color="CCCCCC"/>
              <w:insideV w:val="single" w:sz="2" w:space="0" w:color="CCCCCC"/>
            </w:tcBorders>
          </w:tcPr>
          <w:p>
            <w:r>
              <w:rPr>
                <w:b/>
                <w:color w:val="C00000"/>
                <w:sz w:val="20"/>
              </w:rPr>
              <w:t xml:space="preserve">Las varillas pasaron del 1.6% al 11.8% de las ventas, con margen del 9.1%. </w:t>
            </w:r>
          </w:p>
          <w:p>
            <w:r>
              <w:rPr>
                <w:sz w:val="18"/>
              </w:rPr>
              <w:t>Generaron $2,251M en ventas pero solo $204M de utilidad bruta. Están distorsionando completamente el mix y destruyendo el margen consolidado.</w:t>
            </w:r>
          </w:p>
        </w:tc>
      </w:tr>
    </w:tbl>
    <w:p>
      <w:pPr>
        <w:spacing w:after="20"/>
      </w:pPr>
    </w:p>
    <w:tbl>
      <w:tblPr>
        <w:tblStyle w:val="TableGrid"/>
        <w:tblW w:type="auto" w:w="0"/>
        <w:tblLook w:firstColumn="1" w:firstRow="1" w:lastColumn="0" w:lastRow="0" w:noHBand="0" w:noVBand="1" w:val="04A0"/>
      </w:tblPr>
      <w:tblGrid>
        <w:gridCol w:w="4873"/>
        <w:gridCol w:w="4873"/>
      </w:tblGrid>
      <w:tr>
        <w:tc>
          <w:tcPr>
            <w:tcW w:type="dxa" w:w="567"/>
            <w:shd w:val="clear" w:color="auto" w:fill="C00000"/>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tcPr>
          <w:p>
            <w:pPr>
              <w:jc w:val="center"/>
            </w:pPr>
            <w:r>
              <w:rPr>
                <w:b/>
                <w:color w:val="FFFFFF"/>
                <w:sz w:val="28"/>
              </w:rPr>
              <w:t>4</w:t>
            </w:r>
          </w:p>
        </w:tc>
        <w:tc>
          <w:tcPr>
            <w:tcW w:type="dxa" w:w="4873"/>
            <w:shd w:val="clear" w:color="auto" w:fill="F2F2F2"/>
            <w:tcBorders>
              <w:top w:val="single" w:sz="2" w:space="0" w:color="CCCCCC"/>
              <w:left w:val="single" w:sz="2" w:space="0" w:color="CCCCCC"/>
              <w:bottom w:val="single" w:sz="2" w:space="0" w:color="CCCCCC"/>
              <w:right w:val="single" w:sz="2" w:space="0" w:color="CCCCCC"/>
              <w:insideH w:val="single" w:sz="2" w:space="0" w:color="CCCCCC"/>
              <w:insideV w:val="single" w:sz="2" w:space="0" w:color="CCCCCC"/>
            </w:tcBorders>
          </w:tcPr>
          <w:p>
            <w:r>
              <w:rPr>
                <w:b/>
                <w:color w:val="C00000"/>
                <w:sz w:val="20"/>
              </w:rPr>
              <w:t xml:space="preserve">El Fabricado Plástico colapsó su margen: de 32.8% a 18.4% (-14.4 pp). </w:t>
            </w:r>
          </w:p>
          <w:p>
            <w:r>
              <w:rPr>
                <w:sz w:val="18"/>
              </w:rPr>
              <w:t>Con ventas de $2,315M, esto implica $262M de utilidad bruta destruida.</w:t>
            </w:r>
          </w:p>
        </w:tc>
      </w:tr>
    </w:tbl>
    <w:p>
      <w:pPr>
        <w:spacing w:after="20"/>
      </w:pPr>
    </w:p>
    <w:tbl>
      <w:tblPr>
        <w:tblStyle w:val="TableGrid"/>
        <w:tblW w:type="auto" w:w="0"/>
        <w:tblLook w:firstColumn="1" w:firstRow="1" w:lastColumn="0" w:lastRow="0" w:noHBand="0" w:noVBand="1" w:val="04A0"/>
      </w:tblPr>
      <w:tblGrid>
        <w:gridCol w:w="4873"/>
        <w:gridCol w:w="4873"/>
      </w:tblGrid>
      <w:tr>
        <w:tc>
          <w:tcPr>
            <w:tcW w:type="dxa" w:w="567"/>
            <w:shd w:val="clear" w:color="auto" w:fill="C55A11"/>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tcPr>
          <w:p>
            <w:pPr>
              <w:jc w:val="center"/>
            </w:pPr>
            <w:r>
              <w:rPr>
                <w:b/>
                <w:color w:val="FFFFFF"/>
                <w:sz w:val="28"/>
              </w:rPr>
              <w:t>5</w:t>
            </w:r>
          </w:p>
        </w:tc>
        <w:tc>
          <w:tcPr>
            <w:tcW w:type="dxa" w:w="4873"/>
            <w:shd w:val="clear" w:color="auto" w:fill="FFFFFF"/>
            <w:tcBorders>
              <w:top w:val="single" w:sz="2" w:space="0" w:color="CCCCCC"/>
              <w:left w:val="single" w:sz="2" w:space="0" w:color="CCCCCC"/>
              <w:bottom w:val="single" w:sz="2" w:space="0" w:color="CCCCCC"/>
              <w:right w:val="single" w:sz="2" w:space="0" w:color="CCCCCC"/>
              <w:insideH w:val="single" w:sz="2" w:space="0" w:color="CCCCCC"/>
              <w:insideV w:val="single" w:sz="2" w:space="0" w:color="CCCCCC"/>
            </w:tcBorders>
          </w:tcPr>
          <w:p>
            <w:r>
              <w:rPr>
                <w:b/>
                <w:color w:val="C55A11"/>
                <w:sz w:val="20"/>
              </w:rPr>
              <w:t xml:space="preserve">Los costos de producción subieron +25.9% (+$913M), triplicando el crecimiento de los fabricados. </w:t>
            </w:r>
          </w:p>
          <w:p>
            <w:r>
              <w:rPr>
                <w:sz w:val="18"/>
              </w:rPr>
              <w:t>Arriendos: +315% (+$254M). CIF: +52.3%. MOI: +24.5%. MOD: +14.8%. La planta absorbe más costo sin crecer en volumen de fabricados (metalmecánica cayó -2.8%).</w:t>
            </w:r>
          </w:p>
        </w:tc>
      </w:tr>
    </w:tbl>
    <w:p>
      <w:pPr>
        <w:spacing w:after="20"/>
      </w:pPr>
    </w:p>
    <w:tbl>
      <w:tblPr>
        <w:tblStyle w:val="TableGrid"/>
        <w:tblW w:type="auto" w:w="0"/>
        <w:tblLook w:firstColumn="1" w:firstRow="1" w:lastColumn="0" w:lastRow="0" w:noHBand="0" w:noVBand="1" w:val="04A0"/>
      </w:tblPr>
      <w:tblGrid>
        <w:gridCol w:w="4873"/>
        <w:gridCol w:w="4873"/>
      </w:tblGrid>
      <w:tr>
        <w:tc>
          <w:tcPr>
            <w:tcW w:type="dxa" w:w="567"/>
            <w:shd w:val="clear" w:color="auto" w:fill="C00000"/>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tcPr>
          <w:p>
            <w:pPr>
              <w:jc w:val="center"/>
            </w:pPr>
            <w:r>
              <w:rPr>
                <w:b/>
                <w:color w:val="FFFFFF"/>
                <w:sz w:val="28"/>
              </w:rPr>
              <w:t>6</w:t>
            </w:r>
          </w:p>
        </w:tc>
        <w:tc>
          <w:tcPr>
            <w:tcW w:type="dxa" w:w="4873"/>
            <w:shd w:val="clear" w:color="auto" w:fill="F2F2F2"/>
            <w:tcBorders>
              <w:top w:val="single" w:sz="2" w:space="0" w:color="CCCCCC"/>
              <w:left w:val="single" w:sz="2" w:space="0" w:color="CCCCCC"/>
              <w:bottom w:val="single" w:sz="2" w:space="0" w:color="CCCCCC"/>
              <w:right w:val="single" w:sz="2" w:space="0" w:color="CCCCCC"/>
              <w:insideH w:val="single" w:sz="2" w:space="0" w:color="CCCCCC"/>
              <w:insideV w:val="single" w:sz="2" w:space="0" w:color="CCCCCC"/>
            </w:tcBorders>
          </w:tcPr>
          <w:p>
            <w:r>
              <w:rPr>
                <w:b/>
                <w:color w:val="C00000"/>
                <w:sz w:val="20"/>
              </w:rPr>
              <w:t xml:space="preserve">Los gastos de la familia se dispararon +311% (+$781M): de $251M a $1,032M en 4 meses. </w:t>
            </w:r>
          </w:p>
          <w:p>
            <w:r>
              <w:rPr>
                <w:sz w:val="18"/>
              </w:rPr>
              <w:t>"De personal familia": $968M. Este renglón pasó del 1.5% al 5.4% de las ventas. Es el ítem individual que más destruyó la utilidad neta.</w:t>
            </w:r>
          </w:p>
        </w:tc>
      </w:tr>
    </w:tbl>
    <w:p>
      <w:pPr>
        <w:spacing w:after="20"/>
      </w:pPr>
    </w:p>
    <w:tbl>
      <w:tblPr>
        <w:tblStyle w:val="TableGrid"/>
        <w:tblW w:type="auto" w:w="0"/>
        <w:tblLook w:firstColumn="1" w:firstRow="1" w:lastColumn="0" w:lastRow="0" w:noHBand="0" w:noVBand="1" w:val="04A0"/>
      </w:tblPr>
      <w:tblGrid>
        <w:gridCol w:w="4873"/>
        <w:gridCol w:w="4873"/>
      </w:tblGrid>
      <w:tr>
        <w:tc>
          <w:tcPr>
            <w:tcW w:type="dxa" w:w="567"/>
            <w:shd w:val="clear" w:color="auto" w:fill="C00000"/>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tcPr>
          <w:p>
            <w:pPr>
              <w:jc w:val="center"/>
            </w:pPr>
            <w:r>
              <w:rPr>
                <w:b/>
                <w:color w:val="FFFFFF"/>
                <w:sz w:val="28"/>
              </w:rPr>
              <w:t>7</w:t>
            </w:r>
          </w:p>
        </w:tc>
        <w:tc>
          <w:tcPr>
            <w:tcW w:type="dxa" w:w="4873"/>
            <w:shd w:val="clear" w:color="auto" w:fill="FFFFFF"/>
            <w:tcBorders>
              <w:top w:val="single" w:sz="2" w:space="0" w:color="CCCCCC"/>
              <w:left w:val="single" w:sz="2" w:space="0" w:color="CCCCCC"/>
              <w:bottom w:val="single" w:sz="2" w:space="0" w:color="CCCCCC"/>
              <w:right w:val="single" w:sz="2" w:space="0" w:color="CCCCCC"/>
              <w:insideH w:val="single" w:sz="2" w:space="0" w:color="CCCCCC"/>
              <w:insideV w:val="single" w:sz="2" w:space="0" w:color="CCCCCC"/>
            </w:tcBorders>
          </w:tcPr>
          <w:p>
            <w:r>
              <w:rPr>
                <w:b/>
                <w:color w:val="C00000"/>
                <w:sz w:val="20"/>
              </w:rPr>
              <w:t xml:space="preserve">CE-125 y Adaptadores venden por debajo de costo. </w:t>
            </w:r>
          </w:p>
          <w:p>
            <w:r>
              <w:rPr>
                <w:sz w:val="18"/>
              </w:rPr>
              <w:t>CE-125: pérdida bruta -$16M (margen -8.3%). Adaptadores: pérdida bruta -$6M (margen -4.7%). Dos líneas que consumen recursos y generan pérdida.</w:t>
            </w:r>
          </w:p>
        </w:tc>
      </w:tr>
    </w:tbl>
    <w:p>
      <w:pPr>
        <w:spacing w:after="20"/>
      </w:pPr>
    </w:p>
    <w:tbl>
      <w:tblPr>
        <w:tblStyle w:val="TableGrid"/>
        <w:tblW w:type="auto" w:w="0"/>
        <w:tblLook w:firstColumn="1" w:firstRow="1" w:lastColumn="0" w:lastRow="0" w:noHBand="0" w:noVBand="1" w:val="04A0"/>
      </w:tblPr>
      <w:tblGrid>
        <w:gridCol w:w="4873"/>
        <w:gridCol w:w="4873"/>
      </w:tblGrid>
      <w:tr>
        <w:tc>
          <w:tcPr>
            <w:tcW w:type="dxa" w:w="567"/>
            <w:shd w:val="clear" w:color="auto" w:fill="C55A11"/>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tcPr>
          <w:p>
            <w:pPr>
              <w:jc w:val="center"/>
            </w:pPr>
            <w:r>
              <w:rPr>
                <w:b/>
                <w:color w:val="FFFFFF"/>
                <w:sz w:val="28"/>
              </w:rPr>
              <w:t>8</w:t>
            </w:r>
          </w:p>
        </w:tc>
        <w:tc>
          <w:tcPr>
            <w:tcW w:type="dxa" w:w="4873"/>
            <w:shd w:val="clear" w:color="auto" w:fill="F2F2F2"/>
            <w:tcBorders>
              <w:top w:val="single" w:sz="2" w:space="0" w:color="CCCCCC"/>
              <w:left w:val="single" w:sz="2" w:space="0" w:color="CCCCCC"/>
              <w:bottom w:val="single" w:sz="2" w:space="0" w:color="CCCCCC"/>
              <w:right w:val="single" w:sz="2" w:space="0" w:color="CCCCCC"/>
              <w:insideH w:val="single" w:sz="2" w:space="0" w:color="CCCCCC"/>
              <w:insideV w:val="single" w:sz="2" w:space="0" w:color="CCCCCC"/>
            </w:tcBorders>
          </w:tcPr>
          <w:p>
            <w:r>
              <w:rPr>
                <w:b/>
                <w:color w:val="C55A11"/>
                <w:sz w:val="20"/>
              </w:rPr>
              <w:t xml:space="preserve">La metalmecánica fabricada cayó en ventas (-2.8%, -$374M) mientras sus costos subieron +25.9%. </w:t>
            </w:r>
          </w:p>
          <w:p>
            <w:r>
              <w:rPr>
                <w:sz w:val="18"/>
              </w:rPr>
              <w:t>Menor volumen + mayor costo fijo = deterioro de absorción y margen por unidad.</w:t>
            </w:r>
          </w:p>
        </w:tc>
      </w:tr>
    </w:tbl>
    <w:p>
      <w:pPr>
        <w:spacing w:after="20"/>
      </w:pPr>
    </w:p>
    <w:tbl>
      <w:tblPr>
        <w:tblStyle w:val="TableGrid"/>
        <w:tblW w:type="auto" w:w="0"/>
        <w:tblLook w:firstColumn="1" w:firstRow="1" w:lastColumn="0" w:lastRow="0" w:noHBand="0" w:noVBand="1" w:val="04A0"/>
      </w:tblPr>
      <w:tblGrid>
        <w:gridCol w:w="4873"/>
        <w:gridCol w:w="4873"/>
      </w:tblGrid>
      <w:tr>
        <w:tc>
          <w:tcPr>
            <w:tcW w:type="dxa" w:w="567"/>
            <w:shd w:val="clear" w:color="auto" w:fill="C00000"/>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tcPr>
          <w:p>
            <w:pPr>
              <w:jc w:val="center"/>
            </w:pPr>
            <w:r>
              <w:rPr>
                <w:b/>
                <w:color w:val="FFFFFF"/>
                <w:sz w:val="28"/>
              </w:rPr>
              <w:t>9</w:t>
            </w:r>
          </w:p>
        </w:tc>
        <w:tc>
          <w:tcPr>
            <w:tcW w:type="dxa" w:w="4873"/>
            <w:shd w:val="clear" w:color="auto" w:fill="FFFFFF"/>
            <w:tcBorders>
              <w:top w:val="single" w:sz="2" w:space="0" w:color="CCCCCC"/>
              <w:left w:val="single" w:sz="2" w:space="0" w:color="CCCCCC"/>
              <w:bottom w:val="single" w:sz="2" w:space="0" w:color="CCCCCC"/>
              <w:right w:val="single" w:sz="2" w:space="0" w:color="CCCCCC"/>
              <w:insideH w:val="single" w:sz="2" w:space="0" w:color="CCCCCC"/>
              <w:insideV w:val="single" w:sz="2" w:space="0" w:color="CCCCCC"/>
            </w:tcBorders>
          </w:tcPr>
          <w:p>
            <w:r>
              <w:rPr>
                <w:b/>
                <w:color w:val="C00000"/>
                <w:sz w:val="20"/>
              </w:rPr>
              <w:t xml:space="preserve">Marzo 2026 registró utilidad neta negativa: -$151M. </w:t>
            </w:r>
          </w:p>
          <w:p>
            <w:r>
              <w:rPr>
                <w:sz w:val="18"/>
              </w:rPr>
              <w:t>Arrastrado por costos no operacionales de $504M (incluyendo $408M de intereses) y gastos familiares de $339M en ese solo mes.</w:t>
            </w:r>
          </w:p>
        </w:tc>
      </w:tr>
    </w:tbl>
    <w:p>
      <w:pPr>
        <w:spacing w:after="20"/>
      </w:pPr>
    </w:p>
    <w:tbl>
      <w:tblPr>
        <w:tblStyle w:val="TableGrid"/>
        <w:tblW w:type="auto" w:w="0"/>
        <w:tblLook w:firstColumn="1" w:firstRow="1" w:lastColumn="0" w:lastRow="0" w:noHBand="0" w:noVBand="1" w:val="04A0"/>
      </w:tblPr>
      <w:tblGrid>
        <w:gridCol w:w="4873"/>
        <w:gridCol w:w="4873"/>
      </w:tblGrid>
      <w:tr>
        <w:tc>
          <w:tcPr>
            <w:tcW w:type="dxa" w:w="567"/>
            <w:shd w:val="clear" w:color="auto" w:fill="C55A11"/>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tcPr>
          <w:p>
            <w:pPr>
              <w:jc w:val="center"/>
            </w:pPr>
            <w:r>
              <w:rPr>
                <w:b/>
                <w:color w:val="FFFFFF"/>
                <w:sz w:val="28"/>
              </w:rPr>
              <w:t>10</w:t>
            </w:r>
          </w:p>
        </w:tc>
        <w:tc>
          <w:tcPr>
            <w:tcW w:type="dxa" w:w="4873"/>
            <w:shd w:val="clear" w:color="auto" w:fill="F2F2F2"/>
            <w:tcBorders>
              <w:top w:val="single" w:sz="2" w:space="0" w:color="CCCCCC"/>
              <w:left w:val="single" w:sz="2" w:space="0" w:color="CCCCCC"/>
              <w:bottom w:val="single" w:sz="2" w:space="0" w:color="CCCCCC"/>
              <w:right w:val="single" w:sz="2" w:space="0" w:color="CCCCCC"/>
              <w:insideH w:val="single" w:sz="2" w:space="0" w:color="CCCCCC"/>
              <w:insideV w:val="single" w:sz="2" w:space="0" w:color="CCCCCC"/>
            </w:tcBorders>
          </w:tcPr>
          <w:p>
            <w:r>
              <w:rPr>
                <w:b/>
                <w:color w:val="C55A11"/>
                <w:sz w:val="20"/>
              </w:rPr>
              <w:t xml:space="preserve">La utilidad operacional cayó de 22.7% a 15.3% de ventas (-7.4 pp, -$966M). </w:t>
            </w:r>
          </w:p>
          <w:p>
            <w:r>
              <w:rPr>
                <w:sz w:val="18"/>
              </w:rPr>
              <w:t>Incluso antes de los efectos financieros y familiares, la operación ya genera significativamente menos valor.</w:t>
            </w:r>
          </w:p>
        </w:tc>
      </w:tr>
    </w:tbl>
    <w:p>
      <w:pPr>
        <w:spacing w:after="20"/>
      </w:pPr>
    </w:p>
    <w:p>
      <w:r>
        <w:br w:type="page"/>
      </w:r>
    </w:p>
    <w:p>
      <w:pPr>
        <w:spacing w:before="360" w:after="120"/>
        <w:pBdr>
          <w:bottom w:val="single" w:sz="8" w:space="1" w:color="1F497D"/>
        </w:pBdr>
      </w:pPr>
      <w:r>
        <w:rPr>
          <w:b/>
          <w:color w:val="1F497D"/>
          <w:sz w:val="32"/>
        </w:rPr>
        <w:t>PARTE 2: ANÁLISIS CUANTITATIVO</w:t>
      </w:r>
    </w:p>
    <w:p>
      <w:pPr>
        <w:spacing w:before="280" w:after="80"/>
      </w:pPr>
      <w:r>
        <w:rPr>
          <w:b/>
          <w:color w:val="2E75B6"/>
          <w:sz w:val="26"/>
        </w:rPr>
        <w:t>2.1  Ventas y Margen Bruto por Mes</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247"/>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Mes</w:t>
            </w:r>
          </w:p>
        </w:tc>
        <w:tc>
          <w:tcPr>
            <w:tcW w:type="dxa" w:w="1077"/>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Vtas 2025 $M</w:t>
            </w:r>
          </w:p>
        </w:tc>
        <w:tc>
          <w:tcPr>
            <w:tcW w:type="dxa" w:w="1077"/>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Vtas 2026 $M</w:t>
            </w:r>
          </w:p>
        </w:tc>
        <w:tc>
          <w:tcPr>
            <w:tcW w:type="dxa" w:w="964"/>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Crec. $M</w:t>
            </w:r>
          </w:p>
        </w:tc>
        <w:tc>
          <w:tcPr>
            <w:tcW w:type="dxa" w:w="850"/>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Crec. %</w:t>
            </w:r>
          </w:p>
        </w:tc>
        <w:tc>
          <w:tcPr>
            <w:tcW w:type="dxa" w:w="850"/>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MB% 2025</w:t>
            </w:r>
          </w:p>
        </w:tc>
        <w:tc>
          <w:tcPr>
            <w:tcW w:type="dxa" w:w="850"/>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MB% 2026</w:t>
            </w:r>
          </w:p>
        </w:tc>
        <w:tc>
          <w:tcPr>
            <w:tcW w:type="dxa" w:w="850"/>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Var pp</w:t>
            </w:r>
          </w:p>
        </w:tc>
        <w:tc>
          <w:tcPr>
            <w:tcW w:type="dxa" w:w="1020"/>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U.Neta% 2025</w:t>
            </w:r>
          </w:p>
        </w:tc>
        <w:tc>
          <w:tcPr>
            <w:tcW w:type="dxa" w:w="1020"/>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U.Neta% 2026</w:t>
            </w:r>
          </w:p>
        </w:tc>
      </w:tr>
      <w:tr>
        <w:tc>
          <w:tcPr>
            <w:tcW w:type="dxa" w:w="124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Enero</w:t>
            </w:r>
          </w:p>
        </w:tc>
        <w:tc>
          <w:tcPr>
            <w:tcW w:type="dxa" w:w="107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$4,449</w:t>
            </w:r>
          </w:p>
        </w:tc>
        <w:tc>
          <w:tcPr>
            <w:tcW w:type="dxa" w:w="107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$3,718</w:t>
            </w:r>
          </w:p>
        </w:tc>
        <w:tc>
          <w:tcPr>
            <w:tcW w:type="dxa" w:w="96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C00000"/>
                <w:sz w:val="18"/>
              </w:rPr>
              <w:t>-$731</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-16.4%</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37.1%</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32.1%</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-4.9 pp</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22.9%</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14.2%</w:t>
            </w:r>
          </w:p>
        </w:tc>
      </w:tr>
      <w:tr>
        <w:tc>
          <w:tcPr>
            <w:tcW w:type="dxa" w:w="124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Febrero</w:t>
            </w:r>
          </w:p>
        </w:tc>
        <w:tc>
          <w:tcPr>
            <w:tcW w:type="dxa" w:w="107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$4,493</w:t>
            </w:r>
          </w:p>
        </w:tc>
        <w:tc>
          <w:tcPr>
            <w:tcW w:type="dxa" w:w="107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$5,074</w:t>
            </w:r>
          </w:p>
        </w:tc>
        <w:tc>
          <w:tcPr>
            <w:tcW w:type="dxa" w:w="96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+$581</w:t>
            </w:r>
          </w:p>
        </w:tc>
        <w:tc>
          <w:tcPr>
            <w:tcW w:type="dxa" w:w="85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+12.9%</w:t>
            </w:r>
          </w:p>
        </w:tc>
        <w:tc>
          <w:tcPr>
            <w:tcW w:type="dxa" w:w="85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36.5%</w:t>
            </w:r>
          </w:p>
        </w:tc>
        <w:tc>
          <w:tcPr>
            <w:tcW w:type="dxa" w:w="85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30.3%</w:t>
            </w:r>
          </w:p>
        </w:tc>
        <w:tc>
          <w:tcPr>
            <w:tcW w:type="dxa" w:w="85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-6.1 pp</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22.2%</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14.8%</w:t>
            </w:r>
          </w:p>
        </w:tc>
      </w:tr>
      <w:tr>
        <w:tc>
          <w:tcPr>
            <w:tcW w:type="dxa" w:w="124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Marzo</w:t>
            </w:r>
          </w:p>
        </w:tc>
        <w:tc>
          <w:tcPr>
            <w:tcW w:type="dxa" w:w="107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$4,428</w:t>
            </w:r>
          </w:p>
        </w:tc>
        <w:tc>
          <w:tcPr>
            <w:tcW w:type="dxa" w:w="107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$5,266</w:t>
            </w:r>
          </w:p>
        </w:tc>
        <w:tc>
          <w:tcPr>
            <w:tcW w:type="dxa" w:w="96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+$838</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+18.9%</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32.9%</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25.4%</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-7.4 pp</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22.0%</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-2.9%</w:t>
            </w:r>
          </w:p>
        </w:tc>
      </w:tr>
      <w:tr>
        <w:tc>
          <w:tcPr>
            <w:tcW w:type="dxa" w:w="124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Abril</w:t>
            </w:r>
          </w:p>
        </w:tc>
        <w:tc>
          <w:tcPr>
            <w:tcW w:type="dxa" w:w="107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$3,735</w:t>
            </w:r>
          </w:p>
        </w:tc>
        <w:tc>
          <w:tcPr>
            <w:tcW w:type="dxa" w:w="107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$4,983</w:t>
            </w:r>
          </w:p>
        </w:tc>
        <w:tc>
          <w:tcPr>
            <w:tcW w:type="dxa" w:w="96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+$1,248</w:t>
            </w:r>
          </w:p>
        </w:tc>
        <w:tc>
          <w:tcPr>
            <w:tcW w:type="dxa" w:w="85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+33.4%</w:t>
            </w:r>
          </w:p>
        </w:tc>
        <w:tc>
          <w:tcPr>
            <w:tcW w:type="dxa" w:w="85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33.5%</w:t>
            </w:r>
          </w:p>
        </w:tc>
        <w:tc>
          <w:tcPr>
            <w:tcW w:type="dxa" w:w="85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26.9%</w:t>
            </w:r>
          </w:p>
        </w:tc>
        <w:tc>
          <w:tcPr>
            <w:tcW w:type="dxa" w:w="85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-6.6 pp</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19.4%</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10.0%</w:t>
            </w:r>
          </w:p>
        </w:tc>
      </w:tr>
      <w:tr>
        <w:tc>
          <w:tcPr>
            <w:tcW w:type="dxa" w:w="124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b/>
                <w:color w:val="000000"/>
                <w:sz w:val="18"/>
              </w:rPr>
              <w:t>ACUMULADO</w:t>
            </w:r>
          </w:p>
        </w:tc>
        <w:tc>
          <w:tcPr>
            <w:tcW w:type="dxa" w:w="107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$17,105</w:t>
            </w:r>
          </w:p>
        </w:tc>
        <w:tc>
          <w:tcPr>
            <w:tcW w:type="dxa" w:w="107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$19,041</w:t>
            </w:r>
          </w:p>
        </w:tc>
        <w:tc>
          <w:tcPr>
            <w:tcW w:type="dxa" w:w="96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378610"/>
                <w:sz w:val="18"/>
              </w:rPr>
              <w:t>+$1,936</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+11.3%</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35.1%</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28.4%</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-6.6 pp</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21.7%</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8.5%</w:t>
            </w:r>
          </w:p>
        </w:tc>
      </w:tr>
    </w:tbl>
    <w:p/>
    <w:p>
      <w:pPr>
        <w:spacing w:after="80" w:before="0"/>
        <w:ind w:left="0"/>
      </w:pPr>
      <w:r>
        <w:rPr>
          <w:b w:val="0"/>
          <w:color w:val="1F497D"/>
          <w:sz w:val="20"/>
        </w:rPr>
        <w:t>Tendencia: Enero ya arranca deteriorado (-4.9 pp). Febrero pierde 6.1 pp. Marzo es el peor con -7.4 pp y utilidad neta negativa. Abril mejora levemente pero sigue 6.6 pp por debajo de 2025. El deterioro no mejora — se estabiliza en un nivel estructuralmente inferior.</w:t>
      </w:r>
    </w:p>
    <w:p>
      <w:pPr>
        <w:spacing w:before="280" w:after="80"/>
      </w:pPr>
      <w:r>
        <w:rPr>
          <w:b/>
          <w:color w:val="2E75B6"/>
          <w:sz w:val="26"/>
        </w:rPr>
        <w:t>2.2  Mix de Ventas: Fabricados vs Comercializados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551"/>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Categoría</w:t>
            </w:r>
          </w:p>
        </w:tc>
        <w:tc>
          <w:tcPr>
            <w:tcW w:type="dxa" w:w="1587"/>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Vtas 2025 $M</w:t>
            </w:r>
          </w:p>
        </w:tc>
        <w:tc>
          <w:tcPr>
            <w:tcW w:type="dxa" w:w="1020"/>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 2025</w:t>
            </w:r>
          </w:p>
        </w:tc>
        <w:tc>
          <w:tcPr>
            <w:tcW w:type="dxa" w:w="1587"/>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Vtas 2026 $M</w:t>
            </w:r>
          </w:p>
        </w:tc>
        <w:tc>
          <w:tcPr>
            <w:tcW w:type="dxa" w:w="1020"/>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 2026</w:t>
            </w:r>
          </w:p>
        </w:tc>
        <w:tc>
          <w:tcPr>
            <w:tcW w:type="dxa" w:w="1417"/>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Crecimiento</w:t>
            </w:r>
          </w:p>
        </w:tc>
      </w:tr>
      <w:tr>
        <w:tc>
          <w:tcPr>
            <w:tcW w:type="dxa" w:w="255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b/>
                <w:color w:val="000000"/>
                <w:sz w:val="18"/>
              </w:rPr>
              <w:t>Fabricados totales</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$15,639</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91.4%</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$15,484</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81.3%</w:t>
            </w:r>
          </w:p>
        </w:tc>
        <w:tc>
          <w:tcPr>
            <w:tcW w:type="dxa" w:w="141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-1.0%</w:t>
            </w:r>
          </w:p>
        </w:tc>
      </w:tr>
      <w:tr>
        <w:tc>
          <w:tcPr>
            <w:tcW w:type="dxa" w:w="255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xml:space="preserve">  — Metalmecánica</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$13,544</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79.2%</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$13,169</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69.2%</w:t>
            </w:r>
          </w:p>
        </w:tc>
        <w:tc>
          <w:tcPr>
            <w:tcW w:type="dxa" w:w="141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-2.8%</w:t>
            </w:r>
          </w:p>
        </w:tc>
      </w:tr>
      <w:tr>
        <w:tc>
          <w:tcPr>
            <w:tcW w:type="dxa" w:w="255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xml:space="preserve">  — Plástico</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$2,096</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12.2%</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$2,315</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12.2%</w:t>
            </w:r>
          </w:p>
        </w:tc>
        <w:tc>
          <w:tcPr>
            <w:tcW w:type="dxa" w:w="141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+10.5%</w:t>
            </w:r>
          </w:p>
        </w:tc>
      </w:tr>
      <w:tr>
        <w:tc>
          <w:tcPr>
            <w:tcW w:type="dxa" w:w="255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Comercializados</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$1,767</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10.3%</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$3,976</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20.9%</w:t>
            </w:r>
          </w:p>
        </w:tc>
        <w:tc>
          <w:tcPr>
            <w:tcW w:type="dxa" w:w="141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+125.0%</w:t>
            </w:r>
          </w:p>
        </w:tc>
      </w:tr>
      <w:tr>
        <w:tc>
          <w:tcPr>
            <w:tcW w:type="dxa" w:w="255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xml:space="preserve">  — Breakers</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$1,325</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7.8%</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$1,713</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9.0%</w:t>
            </w:r>
          </w:p>
        </w:tc>
        <w:tc>
          <w:tcPr>
            <w:tcW w:type="dxa" w:w="141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+29.3%</w:t>
            </w:r>
          </w:p>
        </w:tc>
      </w:tr>
      <w:tr>
        <w:tc>
          <w:tcPr>
            <w:tcW w:type="dxa" w:w="255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xml:space="preserve">  — Varillas</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$271</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1.6%</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$2,251</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11.8%</w:t>
            </w:r>
          </w:p>
        </w:tc>
        <w:tc>
          <w:tcPr>
            <w:tcW w:type="dxa" w:w="141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+731.7%</w:t>
            </w:r>
          </w:p>
        </w:tc>
      </w:tr>
      <w:tr>
        <w:tc>
          <w:tcPr>
            <w:tcW w:type="dxa" w:w="255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xml:space="preserve">  — Seti</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$172</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1.0%</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$11</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0.1%</w:t>
            </w:r>
          </w:p>
        </w:tc>
        <w:tc>
          <w:tcPr>
            <w:tcW w:type="dxa" w:w="141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-93.5%</w:t>
            </w:r>
          </w:p>
        </w:tc>
      </w:tr>
      <w:tr>
        <w:tc>
          <w:tcPr>
            <w:tcW w:type="dxa" w:w="255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Descuentos</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C00000"/>
                <w:sz w:val="18"/>
              </w:rPr>
              <w:t>-$380</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-2.2%</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C00000"/>
                <w:sz w:val="18"/>
              </w:rPr>
              <w:t>-$458</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-2.4%</w:t>
            </w:r>
          </w:p>
        </w:tc>
        <w:tc>
          <w:tcPr>
            <w:tcW w:type="dxa" w:w="141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+20.4%</w:t>
            </w:r>
          </w:p>
        </w:tc>
      </w:tr>
      <w:tr>
        <w:tc>
          <w:tcPr>
            <w:tcW w:type="dxa" w:w="255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b/>
                <w:color w:val="000000"/>
                <w:sz w:val="18"/>
              </w:rPr>
              <w:t>TOTAL</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$17,105</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100%</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$19,041</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100%</w:t>
            </w:r>
          </w:p>
        </w:tc>
        <w:tc>
          <w:tcPr>
            <w:tcW w:type="dxa" w:w="141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+11.3%</w:t>
            </w:r>
          </w:p>
        </w:tc>
      </w:tr>
    </w:tbl>
    <w:p/>
    <w:tbl>
      <w:tblPr>
        <w:tblStyle w:val="TableGrid"/>
        <w:tblW w:type="auto" w:w="0"/>
        <w:tblLook w:firstColumn="1" w:firstRow="1" w:lastColumn="0" w:lastRow="0" w:noHBand="0" w:noVBand="1" w:val="04A0"/>
      </w:tblPr>
      <w:tblGrid>
        <w:gridCol w:w="9746"/>
      </w:tblGrid>
      <w:tr>
        <w:tc>
          <w:tcPr>
            <w:tcW w:type="dxa" w:w="9746"/>
            <w:shd w:val="clear" w:color="auto" w:fill="C55A11"/>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jc w:val="left"/>
            </w:pPr>
            <w:r>
              <w:rPr>
                <w:b/>
                <w:color w:val="FFFFFF"/>
                <w:sz w:val="20"/>
              </w:rPr>
              <w:t>⚠  PUNTO CRÍTICO: los comercializados de bajo margen pasaron del 10.3% al 20.9% del total. Solo ese cambio de mezcla destruye el margen consolidado matemáticamente.</w:t>
            </w:r>
          </w:p>
        </w:tc>
      </w:tr>
    </w:tbl>
    <w:p/>
    <w:p>
      <w:pPr>
        <w:spacing w:before="280" w:after="80"/>
      </w:pPr>
      <w:r>
        <w:rPr>
          <w:b/>
          <w:color w:val="2E75B6"/>
          <w:sz w:val="26"/>
        </w:rPr>
        <w:t>2.3  Análisis del Mix de Productos</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2268"/>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Línea</w:t>
            </w:r>
          </w:p>
        </w:tc>
        <w:tc>
          <w:tcPr>
            <w:tcW w:type="dxa" w:w="1304"/>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Vtas 2025 $M</w:t>
            </w:r>
          </w:p>
        </w:tc>
        <w:tc>
          <w:tcPr>
            <w:tcW w:type="dxa" w:w="1304"/>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Vtas 2026 $M</w:t>
            </w:r>
          </w:p>
        </w:tc>
        <w:tc>
          <w:tcPr>
            <w:tcW w:type="dxa" w:w="1134"/>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Crec. %</w:t>
            </w:r>
          </w:p>
        </w:tc>
        <w:tc>
          <w:tcPr>
            <w:tcW w:type="dxa" w:w="1020"/>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MB% 2025</w:t>
            </w:r>
          </w:p>
        </w:tc>
        <w:tc>
          <w:tcPr>
            <w:tcW w:type="dxa" w:w="1020"/>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MB% 2026</w:t>
            </w:r>
          </w:p>
        </w:tc>
        <w:tc>
          <w:tcPr>
            <w:tcW w:type="dxa" w:w="1020"/>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Var pp</w:t>
            </w:r>
          </w:p>
        </w:tc>
        <w:tc>
          <w:tcPr>
            <w:tcW w:type="dxa" w:w="1247"/>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Impacto UB $M</w:t>
            </w:r>
          </w:p>
        </w:tc>
      </w:tr>
      <w:tr>
        <w:tc>
          <w:tcPr>
            <w:tcW w:type="dxa" w:w="2268"/>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Breakers (comerc.)</w:t>
            </w:r>
          </w:p>
        </w:tc>
        <w:tc>
          <w:tcPr>
            <w:tcW w:type="dxa" w:w="130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$1,325</w:t>
            </w:r>
          </w:p>
        </w:tc>
        <w:tc>
          <w:tcPr>
            <w:tcW w:type="dxa" w:w="130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$1,713</w:t>
            </w:r>
          </w:p>
        </w:tc>
        <w:tc>
          <w:tcPr>
            <w:tcW w:type="dxa" w:w="113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+29.3%</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20.3%</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26.1%</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+5.8 pp</w:t>
            </w:r>
          </w:p>
        </w:tc>
        <w:tc>
          <w:tcPr>
            <w:tcW w:type="dxa" w:w="124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+$178</w:t>
            </w:r>
          </w:p>
        </w:tc>
      </w:tr>
      <w:tr>
        <w:tc>
          <w:tcPr>
            <w:tcW w:type="dxa" w:w="2268"/>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Fabricado MT</w:t>
            </w:r>
          </w:p>
        </w:tc>
        <w:tc>
          <w:tcPr>
            <w:tcW w:type="dxa" w:w="130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$13,544</w:t>
            </w:r>
          </w:p>
        </w:tc>
        <w:tc>
          <w:tcPr>
            <w:tcW w:type="dxa" w:w="130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$13,169</w:t>
            </w:r>
          </w:p>
        </w:tc>
        <w:tc>
          <w:tcPr>
            <w:tcW w:type="dxa" w:w="113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-2.8%</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38.9%</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36.1%</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-2.8 pp</w:t>
            </w:r>
          </w:p>
        </w:tc>
        <w:tc>
          <w:tcPr>
            <w:tcW w:type="dxa" w:w="124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C00000"/>
                <w:sz w:val="18"/>
              </w:rPr>
              <w:t>-$518</w:t>
            </w:r>
          </w:p>
        </w:tc>
      </w:tr>
      <w:tr>
        <w:tc>
          <w:tcPr>
            <w:tcW w:type="dxa" w:w="2268"/>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Fabricado Plástico</w:t>
            </w:r>
          </w:p>
        </w:tc>
        <w:tc>
          <w:tcPr>
            <w:tcW w:type="dxa" w:w="130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$2,096</w:t>
            </w:r>
          </w:p>
        </w:tc>
        <w:tc>
          <w:tcPr>
            <w:tcW w:type="dxa" w:w="130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$2,315</w:t>
            </w:r>
          </w:p>
        </w:tc>
        <w:tc>
          <w:tcPr>
            <w:tcW w:type="dxa" w:w="113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+10.5%</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32.8%</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18.4%</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-14.4 pp</w:t>
            </w:r>
          </w:p>
        </w:tc>
        <w:tc>
          <w:tcPr>
            <w:tcW w:type="dxa" w:w="124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C00000"/>
                <w:sz w:val="18"/>
              </w:rPr>
              <w:t>-$262</w:t>
            </w:r>
          </w:p>
        </w:tc>
      </w:tr>
      <w:tr>
        <w:tc>
          <w:tcPr>
            <w:tcW w:type="dxa" w:w="2268"/>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Varillas (comerc.)</w:t>
            </w:r>
          </w:p>
        </w:tc>
        <w:tc>
          <w:tcPr>
            <w:tcW w:type="dxa" w:w="130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$271</w:t>
            </w:r>
          </w:p>
        </w:tc>
        <w:tc>
          <w:tcPr>
            <w:tcW w:type="dxa" w:w="130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$2,251</w:t>
            </w:r>
          </w:p>
        </w:tc>
        <w:tc>
          <w:tcPr>
            <w:tcW w:type="dxa" w:w="113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+731.7%</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11.7%</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9.1%</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-2.7 pp</w:t>
            </w:r>
          </w:p>
        </w:tc>
        <w:tc>
          <w:tcPr>
            <w:tcW w:type="dxa" w:w="124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+$173</w:t>
            </w:r>
          </w:p>
        </w:tc>
      </w:tr>
      <w:tr>
        <w:tc>
          <w:tcPr>
            <w:tcW w:type="dxa" w:w="2268"/>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Seti</w:t>
            </w:r>
          </w:p>
        </w:tc>
        <w:tc>
          <w:tcPr>
            <w:tcW w:type="dxa" w:w="130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$172</w:t>
            </w:r>
          </w:p>
        </w:tc>
        <w:tc>
          <w:tcPr>
            <w:tcW w:type="dxa" w:w="130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$11</w:t>
            </w:r>
          </w:p>
        </w:tc>
        <w:tc>
          <w:tcPr>
            <w:tcW w:type="dxa" w:w="113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-93.5%</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21.8%</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32.7%</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n.a.</w:t>
            </w:r>
          </w:p>
        </w:tc>
        <w:tc>
          <w:tcPr>
            <w:tcW w:type="dxa" w:w="124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C00000"/>
                <w:sz w:val="18"/>
              </w:rPr>
              <w:t>-$34</w:t>
            </w:r>
          </w:p>
        </w:tc>
      </w:tr>
    </w:tbl>
    <w:p/>
    <w:p>
      <w:pPr>
        <w:spacing w:after="80" w:before="0"/>
        <w:ind w:left="0"/>
      </w:pPr>
      <w:r>
        <w:rPr>
          <w:b/>
          <w:color w:val="C00000"/>
          <w:sz w:val="20"/>
        </w:rPr>
        <w:t>Líneas con pérdida bruta:</w:t>
      </w:r>
    </w:p>
    <w:p>
      <w:pPr>
        <w:pStyle w:val="ListBullet"/>
        <w:spacing w:after="40" w:before="0"/>
        <w:ind w:left="283"/>
      </w:pPr>
      <w:r>
        <w:rPr>
          <w:b w:val="0"/>
          <w:color w:val="C00000"/>
          <w:sz w:val="20"/>
        </w:rPr>
        <w:t>CE-125: Ventas $196M, Costos $213M → pérdida -$16M (margen -8.3%)</w:t>
      </w:r>
    </w:p>
    <w:p>
      <w:pPr>
        <w:pStyle w:val="ListBullet"/>
        <w:spacing w:after="40" w:before="0"/>
        <w:ind w:left="283"/>
      </w:pPr>
      <w:r>
        <w:rPr>
          <w:b w:val="0"/>
          <w:color w:val="C00000"/>
          <w:sz w:val="20"/>
        </w:rPr>
        <w:t>Adaptadores: Ventas $128M, Costos $134M → pérdida -$6M (margen -4.7%)</w:t>
      </w:r>
    </w:p>
    <w:p>
      <w:pPr>
        <w:spacing w:after="80" w:before="0"/>
        <w:ind w:left="0"/>
      </w:pPr>
      <w:r>
        <w:rPr>
          <w:b/>
          <w:color w:val="1F497D"/>
          <w:sz w:val="20"/>
        </w:rPr>
        <w:t>Efecto mix cuantificado: Si en 2026 se hubieran mantenido los márgenes de 2025 por línea, la utilidad bruta sería $6,501M vs la real de $5,835M. Pérdida por deterioro de márgenes: $666M.</w:t>
      </w:r>
    </w:p>
    <w:p>
      <w:pPr>
        <w:spacing w:before="280" w:after="80"/>
      </w:pPr>
      <w:r>
        <w:rPr>
          <w:b/>
          <w:color w:val="2E75B6"/>
          <w:sz w:val="26"/>
        </w:rPr>
        <w:t>2.4  Análisis de Costos de Producción — Acumulado Enero-Abril</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2721"/>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Componente</w:t>
            </w:r>
          </w:p>
        </w:tc>
        <w:tc>
          <w:tcPr>
            <w:tcW w:type="dxa" w:w="1020"/>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2025 $M</w:t>
            </w:r>
          </w:p>
        </w:tc>
        <w:tc>
          <w:tcPr>
            <w:tcW w:type="dxa" w:w="907"/>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 Vtas</w:t>
            </w:r>
          </w:p>
        </w:tc>
        <w:tc>
          <w:tcPr>
            <w:tcW w:type="dxa" w:w="1020"/>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2026 $M</w:t>
            </w:r>
          </w:p>
        </w:tc>
        <w:tc>
          <w:tcPr>
            <w:tcW w:type="dxa" w:w="907"/>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 Vtas</w:t>
            </w:r>
          </w:p>
        </w:tc>
        <w:tc>
          <w:tcPr>
            <w:tcW w:type="dxa" w:w="964"/>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Var $M</w:t>
            </w:r>
          </w:p>
        </w:tc>
        <w:tc>
          <w:tcPr>
            <w:tcW w:type="dxa" w:w="964"/>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Var %</w:t>
            </w:r>
          </w:p>
        </w:tc>
      </w:tr>
      <w:tr>
        <w:tc>
          <w:tcPr>
            <w:tcW w:type="dxa" w:w="272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b/>
                <w:color w:val="000000"/>
                <w:sz w:val="18"/>
              </w:rPr>
              <w:t>MOD total</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$1,817</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10.6%</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$2,085</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11.0%</w:t>
            </w:r>
          </w:p>
        </w:tc>
        <w:tc>
          <w:tcPr>
            <w:tcW w:type="dxa" w:w="96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378610"/>
                <w:sz w:val="18"/>
              </w:rPr>
              <w:t>+$268</w:t>
            </w:r>
          </w:p>
        </w:tc>
        <w:tc>
          <w:tcPr>
            <w:tcW w:type="dxa" w:w="96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+14.8%</w:t>
            </w:r>
          </w:p>
        </w:tc>
      </w:tr>
      <w:tr>
        <w:tc>
          <w:tcPr>
            <w:tcW w:type="dxa" w:w="272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xml:space="preserve">  — Personal temporal</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$1,231</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7.2%</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$1,455</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7.6%</w:t>
            </w:r>
          </w:p>
        </w:tc>
        <w:tc>
          <w:tcPr>
            <w:tcW w:type="dxa" w:w="96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+$224</w:t>
            </w:r>
          </w:p>
        </w:tc>
        <w:tc>
          <w:tcPr>
            <w:tcW w:type="dxa" w:w="96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+18.2%</w:t>
            </w:r>
          </w:p>
        </w:tc>
      </w:tr>
      <w:tr>
        <w:tc>
          <w:tcPr>
            <w:tcW w:type="dxa" w:w="272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b/>
                <w:color w:val="000000"/>
                <w:sz w:val="18"/>
              </w:rPr>
              <w:t>MOI total</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$794</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4.6%</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$989</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5.2%</w:t>
            </w:r>
          </w:p>
        </w:tc>
        <w:tc>
          <w:tcPr>
            <w:tcW w:type="dxa" w:w="96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378610"/>
                <w:sz w:val="18"/>
              </w:rPr>
              <w:t>+$195</w:t>
            </w:r>
          </w:p>
        </w:tc>
        <w:tc>
          <w:tcPr>
            <w:tcW w:type="dxa" w:w="96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+24.5%</w:t>
            </w:r>
          </w:p>
        </w:tc>
      </w:tr>
      <w:tr>
        <w:tc>
          <w:tcPr>
            <w:tcW w:type="dxa" w:w="272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xml:space="preserve">  — Temporal MOI</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$177</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1.0%</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$293</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1.5%</w:t>
            </w:r>
          </w:p>
        </w:tc>
        <w:tc>
          <w:tcPr>
            <w:tcW w:type="dxa" w:w="96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+$116</w:t>
            </w:r>
          </w:p>
        </w:tc>
        <w:tc>
          <w:tcPr>
            <w:tcW w:type="dxa" w:w="96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+65.1%</w:t>
            </w:r>
          </w:p>
        </w:tc>
      </w:tr>
      <w:tr>
        <w:tc>
          <w:tcPr>
            <w:tcW w:type="dxa" w:w="272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b/>
                <w:color w:val="000000"/>
                <w:sz w:val="18"/>
              </w:rPr>
              <w:t>CIF total</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$811</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4.7%</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$1,235</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6.5%</w:t>
            </w:r>
          </w:p>
        </w:tc>
        <w:tc>
          <w:tcPr>
            <w:tcW w:type="dxa" w:w="96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378610"/>
                <w:sz w:val="18"/>
              </w:rPr>
              <w:t>+$424</w:t>
            </w:r>
          </w:p>
        </w:tc>
        <w:tc>
          <w:tcPr>
            <w:tcW w:type="dxa" w:w="96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+52.3%</w:t>
            </w:r>
          </w:p>
        </w:tc>
      </w:tr>
      <w:tr>
        <w:tc>
          <w:tcPr>
            <w:tcW w:type="dxa" w:w="272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xml:space="preserve">  — Arriendos bodegas</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$81</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0.5%</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$335</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1.8%</w:t>
            </w:r>
          </w:p>
        </w:tc>
        <w:tc>
          <w:tcPr>
            <w:tcW w:type="dxa" w:w="96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+$254</w:t>
            </w:r>
          </w:p>
        </w:tc>
        <w:tc>
          <w:tcPr>
            <w:tcW w:type="dxa" w:w="96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+314.9%</w:t>
            </w:r>
          </w:p>
        </w:tc>
      </w:tr>
      <w:tr>
        <w:tc>
          <w:tcPr>
            <w:tcW w:type="dxa" w:w="272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xml:space="preserve">  — Mant. metalmecánica</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$57</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0.3%</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$106</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0.6%</w:t>
            </w:r>
          </w:p>
        </w:tc>
        <w:tc>
          <w:tcPr>
            <w:tcW w:type="dxa" w:w="96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+$49</w:t>
            </w:r>
          </w:p>
        </w:tc>
        <w:tc>
          <w:tcPr>
            <w:tcW w:type="dxa" w:w="96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+86.6%</w:t>
            </w:r>
          </w:p>
        </w:tc>
      </w:tr>
      <w:tr>
        <w:tc>
          <w:tcPr>
            <w:tcW w:type="dxa" w:w="272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xml:space="preserve">  — Herramientas</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$20</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0.1%</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$71</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0.4%</w:t>
            </w:r>
          </w:p>
        </w:tc>
        <w:tc>
          <w:tcPr>
            <w:tcW w:type="dxa" w:w="96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+$51</w:t>
            </w:r>
          </w:p>
        </w:tc>
        <w:tc>
          <w:tcPr>
            <w:tcW w:type="dxa" w:w="96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+253.0%</w:t>
            </w:r>
          </w:p>
        </w:tc>
      </w:tr>
      <w:tr>
        <w:tc>
          <w:tcPr>
            <w:tcW w:type="dxa" w:w="272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xml:space="preserve">  — Transportes CIF</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$26</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0.1%</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$46</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0.2%</w:t>
            </w:r>
          </w:p>
        </w:tc>
        <w:tc>
          <w:tcPr>
            <w:tcW w:type="dxa" w:w="96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+$21</w:t>
            </w:r>
          </w:p>
        </w:tc>
        <w:tc>
          <w:tcPr>
            <w:tcW w:type="dxa" w:w="96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+81.6%</w:t>
            </w:r>
          </w:p>
        </w:tc>
      </w:tr>
      <w:tr>
        <w:tc>
          <w:tcPr>
            <w:tcW w:type="dxa" w:w="272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xml:space="preserve">  — Energía eléctrica</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$231</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1.4%</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$213</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1.1%</w:t>
            </w:r>
          </w:p>
        </w:tc>
        <w:tc>
          <w:tcPr>
            <w:tcW w:type="dxa" w:w="96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C00000"/>
                <w:sz w:val="18"/>
              </w:rPr>
              <w:t>-$18</w:t>
            </w:r>
          </w:p>
        </w:tc>
        <w:tc>
          <w:tcPr>
            <w:tcW w:type="dxa" w:w="96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-8.0%</w:t>
            </w:r>
          </w:p>
        </w:tc>
      </w:tr>
      <w:tr>
        <w:tc>
          <w:tcPr>
            <w:tcW w:type="dxa" w:w="272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Servicios Producción</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$107</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0.6%</w:t>
            </w:r>
          </w:p>
        </w:tc>
        <w:tc>
          <w:tcPr>
            <w:tcW w:type="dxa" w:w="102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$132</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0.7%</w:t>
            </w:r>
          </w:p>
        </w:tc>
        <w:tc>
          <w:tcPr>
            <w:tcW w:type="dxa" w:w="96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+$25</w:t>
            </w:r>
          </w:p>
        </w:tc>
        <w:tc>
          <w:tcPr>
            <w:tcW w:type="dxa" w:w="96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+23.8%</w:t>
            </w:r>
          </w:p>
        </w:tc>
      </w:tr>
      <w:tr>
        <w:tc>
          <w:tcPr>
            <w:tcW w:type="dxa" w:w="272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b/>
                <w:color w:val="000000"/>
                <w:sz w:val="18"/>
              </w:rPr>
              <w:t>TOTAL COSTOS PROD</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$3,529</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20.6%</w:t>
            </w:r>
          </w:p>
        </w:tc>
        <w:tc>
          <w:tcPr>
            <w:tcW w:type="dxa" w:w="102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$4,442</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23.3%</w:t>
            </w:r>
          </w:p>
        </w:tc>
        <w:tc>
          <w:tcPr>
            <w:tcW w:type="dxa" w:w="96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378610"/>
                <w:sz w:val="18"/>
              </w:rPr>
              <w:t>+$913</w:t>
            </w:r>
          </w:p>
        </w:tc>
        <w:tc>
          <w:tcPr>
            <w:tcW w:type="dxa" w:w="96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+25.9%</w:t>
            </w:r>
          </w:p>
        </w:tc>
      </w:tr>
    </w:tbl>
    <w:p/>
    <w:p>
      <w:pPr>
        <w:spacing w:after="80" w:before="0"/>
        <w:ind w:left="0"/>
      </w:pPr>
      <w:r>
        <w:rPr>
          <w:b/>
          <w:sz w:val="20"/>
        </w:rPr>
        <w:t>Escalada mensual de costos de producción:</w:t>
      </w:r>
    </w:p>
    <w:p>
      <w:pPr>
        <w:pStyle w:val="ListBullet"/>
        <w:spacing w:after="40" w:before="0"/>
        <w:ind w:left="283"/>
      </w:pPr>
      <w:r>
        <w:rPr>
          <w:b w:val="0"/>
          <w:sz w:val="20"/>
        </w:rPr>
        <w:t>Enero 2026 vs 2025: $876M vs $858M → +2.1% (controlado)</w:t>
      </w:r>
    </w:p>
    <w:p>
      <w:pPr>
        <w:pStyle w:val="ListBullet"/>
        <w:spacing w:after="40" w:before="0"/>
        <w:ind w:left="283"/>
      </w:pPr>
      <w:r>
        <w:rPr>
          <w:b w:val="0"/>
          <w:color w:val="C55A11"/>
          <w:sz w:val="20"/>
        </w:rPr>
        <w:t>Febrero 2026 vs 2025: $1,144M vs $847M → +35.1% (disparo arriendos + MOD)</w:t>
      </w:r>
    </w:p>
    <w:p>
      <w:pPr>
        <w:pStyle w:val="ListBullet"/>
        <w:spacing w:after="40" w:before="0"/>
        <w:ind w:left="283"/>
      </w:pPr>
      <w:r>
        <w:rPr>
          <w:b w:val="0"/>
          <w:color w:val="C55A11"/>
          <w:sz w:val="20"/>
        </w:rPr>
        <w:t>Marzo 2026 vs 2025: $1,201M vs $974M → +23.3% (mant. inyección $52M, predial, tasa seguridad nueva)</w:t>
      </w:r>
    </w:p>
    <w:p>
      <w:pPr>
        <w:pStyle w:val="ListBullet"/>
        <w:spacing w:after="40" w:before="0"/>
        <w:ind w:left="283"/>
      </w:pPr>
      <w:r>
        <w:rPr>
          <w:b w:val="0"/>
          <w:color w:val="C00000"/>
          <w:sz w:val="20"/>
        </w:rPr>
        <w:t>Abril 2026 vs 2025: $1,222M vs $851M → +43.6% (mant. metalmec. $63M, herramientas $40M, dotación)</w:t>
      </w:r>
    </w:p>
    <w:p>
      <w:r>
        <w:br w:type="page"/>
      </w:r>
    </w:p>
    <w:p>
      <w:pPr>
        <w:spacing w:before="280" w:after="80"/>
      </w:pPr>
      <w:r>
        <w:rPr>
          <w:b/>
          <w:color w:val="2E75B6"/>
          <w:sz w:val="26"/>
        </w:rPr>
        <w:t>2.5  Estado de Resultados Completo — Acumulado Enero-Abril</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2381"/>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Rubro</w:t>
            </w:r>
          </w:p>
        </w:tc>
        <w:tc>
          <w:tcPr>
            <w:tcW w:type="dxa" w:w="907"/>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2024 $M</w:t>
            </w:r>
          </w:p>
        </w:tc>
        <w:tc>
          <w:tcPr>
            <w:tcW w:type="dxa" w:w="794"/>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 Vtas</w:t>
            </w:r>
          </w:p>
        </w:tc>
        <w:tc>
          <w:tcPr>
            <w:tcW w:type="dxa" w:w="907"/>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2025 $M</w:t>
            </w:r>
          </w:p>
        </w:tc>
        <w:tc>
          <w:tcPr>
            <w:tcW w:type="dxa" w:w="794"/>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 Vtas</w:t>
            </w:r>
          </w:p>
        </w:tc>
        <w:tc>
          <w:tcPr>
            <w:tcW w:type="dxa" w:w="907"/>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2026 $M</w:t>
            </w:r>
          </w:p>
        </w:tc>
        <w:tc>
          <w:tcPr>
            <w:tcW w:type="dxa" w:w="794"/>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 Vtas</w:t>
            </w:r>
          </w:p>
        </w:tc>
        <w:tc>
          <w:tcPr>
            <w:tcW w:type="dxa" w:w="907"/>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Var $M</w:t>
            </w:r>
          </w:p>
        </w:tc>
        <w:tc>
          <w:tcPr>
            <w:tcW w:type="dxa" w:w="850"/>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Var %</w:t>
            </w:r>
          </w:p>
        </w:tc>
      </w:tr>
      <w:tr>
        <w:tc>
          <w:tcPr>
            <w:tcW w:type="dxa" w:w="238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Ingresos por ventas</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$15,501</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100%</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$17,105</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100%</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$19,041</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100%</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+$1,936</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+11.3%</w:t>
            </w:r>
          </w:p>
        </w:tc>
      </w:tr>
      <w:tr>
        <w:tc>
          <w:tcPr>
            <w:tcW w:type="dxa" w:w="238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xml:space="preserve">  — Fabricados</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$14,177</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91.5%</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$15,639</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91.4%</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$15,484</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81.3%</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C00000"/>
                <w:sz w:val="18"/>
              </w:rPr>
              <w:t>-$155</w:t>
            </w:r>
          </w:p>
        </w:tc>
        <w:tc>
          <w:tcPr>
            <w:tcW w:type="dxa" w:w="85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-1.0%</w:t>
            </w:r>
          </w:p>
        </w:tc>
      </w:tr>
      <w:tr>
        <w:tc>
          <w:tcPr>
            <w:tcW w:type="dxa" w:w="238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xml:space="preserve">  — Comercializados</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$1,518</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9.8%</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$1,767</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10.3%</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$3,976</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20.9%</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+$2,209</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+125.0%</w:t>
            </w:r>
          </w:p>
        </w:tc>
      </w:tr>
      <w:tr>
        <w:tc>
          <w:tcPr>
            <w:tcW w:type="dxa" w:w="238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b/>
                <w:color w:val="000000"/>
                <w:sz w:val="18"/>
              </w:rPr>
              <w:t>CMV</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$10,074</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65.0%</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$11,109</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65.0%</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$13,625</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71.6%</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378610"/>
                <w:sz w:val="18"/>
              </w:rPr>
              <w:t>+$2,516</w:t>
            </w:r>
          </w:p>
        </w:tc>
        <w:tc>
          <w:tcPr>
            <w:tcW w:type="dxa" w:w="85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+22.7%</w:t>
            </w:r>
          </w:p>
        </w:tc>
      </w:tr>
      <w:tr>
        <w:tc>
          <w:tcPr>
            <w:tcW w:type="dxa" w:w="238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xml:space="preserve">  — Costos producción</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$3,675</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23.7%</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$3,762</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22.0%</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$4,442</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23.3%</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+$680</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+18.1%</w:t>
            </w:r>
          </w:p>
        </w:tc>
      </w:tr>
      <w:tr>
        <w:tc>
          <w:tcPr>
            <w:tcW w:type="dxa" w:w="238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xml:space="preserve">  — MP fabricados</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$5,187</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33.5%</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$5,918</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34.6%</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$5,863</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30.8%</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C00000"/>
                <w:sz w:val="18"/>
              </w:rPr>
              <w:t>-$55</w:t>
            </w:r>
          </w:p>
        </w:tc>
        <w:tc>
          <w:tcPr>
            <w:tcW w:type="dxa" w:w="85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-0.9%</w:t>
            </w:r>
          </w:p>
        </w:tc>
      </w:tr>
      <w:tr>
        <w:tc>
          <w:tcPr>
            <w:tcW w:type="dxa" w:w="238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xml:space="preserve">  — Costo comercializados</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$1,213</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7.8%</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$1,429</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8.4%</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$3,320</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17.4%</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+$1,891</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+132.4%</w:t>
            </w:r>
          </w:p>
        </w:tc>
      </w:tr>
      <w:tr>
        <w:tc>
          <w:tcPr>
            <w:tcW w:type="dxa" w:w="238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b/>
                <w:color w:val="000000"/>
                <w:sz w:val="18"/>
              </w:rPr>
              <w:t>UTILIDAD BRUTA</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$5,427</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35.0%</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$5,996</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35.1%</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$5,415</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28.4%</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C00000"/>
                <w:sz w:val="18"/>
              </w:rPr>
              <w:t>-$581</w:t>
            </w:r>
          </w:p>
        </w:tc>
        <w:tc>
          <w:tcPr>
            <w:tcW w:type="dxa" w:w="85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-9.7%</w:t>
            </w:r>
          </w:p>
        </w:tc>
      </w:tr>
      <w:tr>
        <w:tc>
          <w:tcPr>
            <w:tcW w:type="dxa" w:w="238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Gastos Administración</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$458</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3.0%</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$586</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3.4%</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$675</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3.5%</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+$89</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+15.2%</w:t>
            </w:r>
          </w:p>
        </w:tc>
      </w:tr>
      <w:tr>
        <w:tc>
          <w:tcPr>
            <w:tcW w:type="dxa" w:w="238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Gastos Comerciales</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$650</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4.2%</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$786</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4.6%</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$949</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5.0%</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+$163</w:t>
            </w:r>
          </w:p>
        </w:tc>
        <w:tc>
          <w:tcPr>
            <w:tcW w:type="dxa" w:w="85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+20.8%</w:t>
            </w:r>
          </w:p>
        </w:tc>
      </w:tr>
      <w:tr>
        <w:tc>
          <w:tcPr>
            <w:tcW w:type="dxa" w:w="238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Gastos Logística-Salida</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$683</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4.4%</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$739</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4.3%</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$872</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4.6%</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+$133</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+17.9%</w:t>
            </w:r>
          </w:p>
        </w:tc>
      </w:tr>
      <w:tr>
        <w:tc>
          <w:tcPr>
            <w:tcW w:type="dxa" w:w="238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b/>
                <w:color w:val="000000"/>
                <w:sz w:val="18"/>
              </w:rPr>
              <w:t>UTILIDAD OPERACIONAL</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$3,635</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23.4%</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$3,885</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22.7%</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$2,919</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15.3%</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C00000"/>
                <w:sz w:val="18"/>
              </w:rPr>
              <w:t>-$966</w:t>
            </w:r>
          </w:p>
        </w:tc>
        <w:tc>
          <w:tcPr>
            <w:tcW w:type="dxa" w:w="85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-24.9%</w:t>
            </w:r>
          </w:p>
        </w:tc>
      </w:tr>
      <w:tr>
        <w:tc>
          <w:tcPr>
            <w:tcW w:type="dxa" w:w="238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Ingresos no operac.</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$494</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3.2%</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$445</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2.6%</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$260</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1.4%</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C00000"/>
                <w:sz w:val="18"/>
              </w:rPr>
              <w:t>-$185</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-41.5%</w:t>
            </w:r>
          </w:p>
        </w:tc>
      </w:tr>
      <w:tr>
        <w:tc>
          <w:tcPr>
            <w:tcW w:type="dxa" w:w="238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xml:space="preserve">  — Financieros</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$337</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$173</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$85</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C00000"/>
                <w:sz w:val="18"/>
              </w:rPr>
              <w:t>-$88</w:t>
            </w:r>
          </w:p>
        </w:tc>
        <w:tc>
          <w:tcPr>
            <w:tcW w:type="dxa" w:w="85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-51.0%</w:t>
            </w:r>
          </w:p>
        </w:tc>
      </w:tr>
      <w:tr>
        <w:tc>
          <w:tcPr>
            <w:tcW w:type="dxa" w:w="238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xml:space="preserve">  — Arrend. bodega rec.</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$129</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$117</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$155</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+$38</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+32.5%</w:t>
            </w:r>
          </w:p>
        </w:tc>
      </w:tr>
      <w:tr>
        <w:tc>
          <w:tcPr>
            <w:tcW w:type="dxa" w:w="238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Gastos no operac.</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$160</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1.0%</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$368</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2.2%</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$522</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2.7%</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+$154</w:t>
            </w:r>
          </w:p>
        </w:tc>
        <w:tc>
          <w:tcPr>
            <w:tcW w:type="dxa" w:w="85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+41.9%</w:t>
            </w:r>
          </w:p>
        </w:tc>
      </w:tr>
      <w:tr>
        <w:tc>
          <w:tcPr>
            <w:tcW w:type="dxa" w:w="238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xml:space="preserve">  — Intereses</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$0</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$147</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$70</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C00000"/>
                <w:sz w:val="18"/>
              </w:rPr>
              <w:t>-$77</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w:t>
            </w:r>
          </w:p>
        </w:tc>
      </w:tr>
      <w:tr>
        <w:tc>
          <w:tcPr>
            <w:tcW w:type="dxa" w:w="238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xml:space="preserve">  — Imp. 4x1000</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$70</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$63</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$110</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+$47</w:t>
            </w:r>
          </w:p>
        </w:tc>
        <w:tc>
          <w:tcPr>
            <w:tcW w:type="dxa" w:w="85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+73.8%</w:t>
            </w:r>
          </w:p>
        </w:tc>
      </w:tr>
      <w:tr>
        <w:tc>
          <w:tcPr>
            <w:tcW w:type="dxa" w:w="238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xml:space="preserve">  — Extraordinarios</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$185</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+$184</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n.a.</w:t>
            </w:r>
          </w:p>
        </w:tc>
      </w:tr>
      <w:tr>
        <w:tc>
          <w:tcPr>
            <w:tcW w:type="dxa" w:w="238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b/>
                <w:color w:val="000000"/>
                <w:sz w:val="18"/>
              </w:rPr>
              <w:t>UTILIDAD TERCOL</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$3,968</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25.6%</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$3,962</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23.2%</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$2,658</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14.0%</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C00000"/>
                <w:sz w:val="18"/>
              </w:rPr>
              <w:t>-$1,304</w:t>
            </w:r>
          </w:p>
        </w:tc>
        <w:tc>
          <w:tcPr>
            <w:tcW w:type="dxa" w:w="85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-32.9%</w:t>
            </w:r>
          </w:p>
        </w:tc>
      </w:tr>
      <w:tr>
        <w:tc>
          <w:tcPr>
            <w:tcW w:type="dxa" w:w="238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Gastos Familia</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$216</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1.4%</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$251</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1.5%</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$1,032</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5.4%</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+$781</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+311.3%</w:t>
            </w:r>
          </w:p>
        </w:tc>
      </w:tr>
      <w:tr>
        <w:tc>
          <w:tcPr>
            <w:tcW w:type="dxa" w:w="238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xml:space="preserve">  — De personal familia</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$137</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$164</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$968</w:t>
            </w:r>
          </w:p>
        </w:tc>
        <w:tc>
          <w:tcPr>
            <w:tcW w:type="dxa" w:w="794"/>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w:t>
            </w:r>
          </w:p>
        </w:tc>
        <w:tc>
          <w:tcPr>
            <w:tcW w:type="dxa" w:w="90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378610"/>
                <w:sz w:val="18"/>
              </w:rPr>
              <w:t>+$804</w:t>
            </w:r>
          </w:p>
        </w:tc>
        <w:tc>
          <w:tcPr>
            <w:tcW w:type="dxa" w:w="850"/>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+490%</w:t>
            </w:r>
          </w:p>
        </w:tc>
      </w:tr>
      <w:tr>
        <w:tc>
          <w:tcPr>
            <w:tcW w:type="dxa" w:w="238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b/>
                <w:color w:val="000000"/>
                <w:sz w:val="18"/>
              </w:rPr>
              <w:t>UTILIDAD NETA</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$3,753</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24.2%</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$3,712</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21.7%</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$1,626</w:t>
            </w:r>
          </w:p>
        </w:tc>
        <w:tc>
          <w:tcPr>
            <w:tcW w:type="dxa" w:w="794"/>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8.5%</w:t>
            </w:r>
          </w:p>
        </w:tc>
        <w:tc>
          <w:tcPr>
            <w:tcW w:type="dxa" w:w="90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C00000"/>
                <w:sz w:val="18"/>
              </w:rPr>
              <w:t>-$2,086</w:t>
            </w:r>
          </w:p>
        </w:tc>
        <w:tc>
          <w:tcPr>
            <w:tcW w:type="dxa" w:w="850"/>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-56.2%</w:t>
            </w:r>
          </w:p>
        </w:tc>
      </w:tr>
    </w:tbl>
    <w:p/>
    <w:p>
      <w:r>
        <w:br w:type="page"/>
      </w:r>
    </w:p>
    <w:p>
      <w:pPr>
        <w:spacing w:before="360" w:after="120"/>
        <w:pBdr>
          <w:bottom w:val="single" w:sz="8" w:space="1" w:color="1F497D"/>
        </w:pBdr>
      </w:pPr>
      <w:r>
        <w:rPr>
          <w:b/>
          <w:color w:val="1F497D"/>
          <w:sz w:val="32"/>
        </w:rPr>
        <w:t>PARTE 3: CAUSAS PRINCIPALES DEL DETERIORO (ordenadas por impacto)</w:t>
      </w:r>
    </w:p>
    <w:p>
      <w:pPr>
        <w:spacing w:before="160" w:after="40"/>
      </w:pPr>
      <w:r>
        <w:rPr>
          <w:b/>
          <w:color w:val="C00000"/>
          <w:sz w:val="22"/>
        </w:rPr>
        <w:t xml:space="preserve">CAUSA 1: </w:t>
      </w:r>
      <w:r>
        <w:rPr>
          <w:b/>
          <w:color w:val="1F497D"/>
          <w:sz w:val="22"/>
        </w:rPr>
        <w:t>Gastos de la familia</w:t>
      </w:r>
    </w:p>
    <w:p>
      <w:pPr>
        <w:spacing w:after="20"/>
      </w:pPr>
      <w:r>
        <w:rPr>
          <w:b/>
          <w:color w:val="C00000"/>
          <w:sz w:val="20"/>
        </w:rPr>
        <w:t>Impacto: -$781M (-4.1 pp en utilidad neta)</w:t>
      </w:r>
    </w:p>
    <w:p>
      <w:pPr>
        <w:spacing w:after="80" w:before="0"/>
        <w:ind w:left="283"/>
      </w:pPr>
      <w:r>
        <w:rPr>
          <w:b w:val="0"/>
          <w:sz w:val="20"/>
        </w:rPr>
        <w:t>"De personal familia" saltó de $164M a $968M (+490%). Feb: $267M, Mar: $307M, Abr: $267M. Sin este cambio, la utilidad neta sería $2,407M (12.6%) en lugar de $1,626M. Es la causa con mayor impacto individual y la menos vinculada a la operación del negocio.</w:t>
      </w:r>
    </w:p>
    <w:p>
      <w:pPr>
        <w:spacing w:before="160" w:after="40"/>
      </w:pPr>
      <w:r>
        <w:rPr>
          <w:b/>
          <w:color w:val="C00000"/>
          <w:sz w:val="22"/>
        </w:rPr>
        <w:t xml:space="preserve">CAUSA 2: </w:t>
      </w:r>
      <w:r>
        <w:rPr>
          <w:b/>
          <w:color w:val="1F497D"/>
          <w:sz w:val="22"/>
        </w:rPr>
        <w:t>Mezcla hacia comercializados de bajo margen</w:t>
      </w:r>
    </w:p>
    <w:p>
      <w:pPr>
        <w:spacing w:after="20"/>
      </w:pPr>
      <w:r>
        <w:rPr>
          <w:b/>
          <w:color w:val="C00000"/>
          <w:sz w:val="20"/>
        </w:rPr>
        <w:t>Impacto: ~-$666M estimados en Margen Bruto</w:t>
      </w:r>
    </w:p>
    <w:p>
      <w:pPr>
        <w:spacing w:after="80" w:before="0"/>
        <w:ind w:left="283"/>
      </w:pPr>
      <w:r>
        <w:rPr>
          <w:b w:val="0"/>
          <w:sz w:val="20"/>
        </w:rPr>
        <w:t>Las varillas crecieron 731.7% (+$1,980M en ventas) con margen del 9.1%. Ese mismo volumen en fabricados metalmecánicos habría generado ~$860M de UB; en varillas generó solo $204M. Diferencia: $656M que el mix destruyó.</w:t>
      </w:r>
    </w:p>
    <w:p>
      <w:pPr>
        <w:spacing w:before="160" w:after="40"/>
      </w:pPr>
      <w:r>
        <w:rPr>
          <w:b/>
          <w:color w:val="C55A11"/>
          <w:sz w:val="22"/>
        </w:rPr>
        <w:t xml:space="preserve">CAUSA 3: </w:t>
      </w:r>
      <w:r>
        <w:rPr>
          <w:b/>
          <w:color w:val="1F497D"/>
          <w:sz w:val="22"/>
        </w:rPr>
        <w:t>Colapso del margen de Fabricado Plástico</w:t>
      </w:r>
    </w:p>
    <w:p>
      <w:pPr>
        <w:spacing w:after="20"/>
      </w:pPr>
      <w:r>
        <w:rPr>
          <w:b/>
          <w:color w:val="C55A11"/>
          <w:sz w:val="20"/>
        </w:rPr>
        <w:t>Impacto: -$262M en Margen Bruto</w:t>
      </w:r>
    </w:p>
    <w:p>
      <w:pPr>
        <w:spacing w:after="80" w:before="0"/>
        <w:ind w:left="283"/>
      </w:pPr>
      <w:r>
        <w:rPr>
          <w:b w:val="0"/>
          <w:sz w:val="20"/>
        </w:rPr>
        <w:t>El margen pasó de 32.8% a 18.4% (-14.4 pp). La MP plástica subió de $1,361M a $1,890M (+$529M, +38.9%) mientras las ventas solo crecieron +10.5%. Con el margen histórico, el aporte habría sido $759M en lugar de $426M.</w:t>
      </w:r>
    </w:p>
    <w:p>
      <w:pPr>
        <w:spacing w:before="160" w:after="40"/>
      </w:pPr>
      <w:r>
        <w:rPr>
          <w:b/>
          <w:color w:val="C55A11"/>
          <w:sz w:val="22"/>
        </w:rPr>
        <w:t xml:space="preserve">CAUSA 4: </w:t>
      </w:r>
      <w:r>
        <w:rPr>
          <w:b/>
          <w:color w:val="1F497D"/>
          <w:sz w:val="22"/>
        </w:rPr>
        <w:t>Deterioro del margen de Fabricado Metalmecánico</w:t>
      </w:r>
    </w:p>
    <w:p>
      <w:pPr>
        <w:spacing w:after="20"/>
      </w:pPr>
      <w:r>
        <w:rPr>
          <w:b/>
          <w:color w:val="C55A11"/>
          <w:sz w:val="20"/>
        </w:rPr>
        <w:t>Impacto: -$518M en Margen Bruto</w:t>
      </w:r>
    </w:p>
    <w:p>
      <w:pPr>
        <w:spacing w:after="80" w:before="0"/>
        <w:ind w:left="283"/>
      </w:pPr>
      <w:r>
        <w:rPr>
          <w:b w:val="0"/>
          <w:sz w:val="20"/>
        </w:rPr>
        <w:t>Margen bajó de 38.9% a 36.1% (-2.8 pp). La magnitud del volumen ($13,169M) hace que el impacto sea el mayor en términos absolutos. Causa: costos de producción crecieron mientras el volumen fabricado bajó (-2.8%) → mala absorción de costos fijos.</w:t>
      </w:r>
    </w:p>
    <w:p>
      <w:pPr>
        <w:spacing w:before="160" w:after="40"/>
      </w:pPr>
      <w:r>
        <w:rPr>
          <w:b/>
          <w:color w:val="C55A11"/>
          <w:sz w:val="22"/>
        </w:rPr>
        <w:t xml:space="preserve">CAUSA 5: </w:t>
      </w:r>
      <w:r>
        <w:rPr>
          <w:b/>
          <w:color w:val="1F497D"/>
          <w:sz w:val="22"/>
        </w:rPr>
        <w:t>Explosión de costos de producción</w:t>
      </w:r>
    </w:p>
    <w:p>
      <w:pPr>
        <w:spacing w:after="20"/>
      </w:pPr>
      <w:r>
        <w:rPr>
          <w:b/>
          <w:color w:val="C55A11"/>
          <w:sz w:val="20"/>
        </w:rPr>
        <w:t>Impacto: +$913M adicionales en CMV</w:t>
      </w:r>
    </w:p>
    <w:p>
      <w:pPr>
        <w:spacing w:after="80" w:before="0"/>
        <w:ind w:left="283"/>
      </w:pPr>
      <w:r>
        <w:rPr>
          <w:b w:val="0"/>
          <w:sz w:val="20"/>
        </w:rPr>
        <w:t>Arriendos familiares: +$254M (+315%) | Herramientas: +$51M (+253%) | Mant. metalmec.: +$49M (+86.6%) | MOD temporales: +$224M (+18.2%) | MOI temporales: +$116M (+65.1%) | Servicios producción: +$25M (+23.8%)</w:t>
      </w:r>
    </w:p>
    <w:p>
      <w:pPr>
        <w:spacing w:before="160" w:after="40"/>
      </w:pPr>
      <w:r>
        <w:rPr>
          <w:b/>
          <w:color w:val="7030A0"/>
          <w:sz w:val="22"/>
        </w:rPr>
        <w:t xml:space="preserve">CAUSA 6: </w:t>
      </w:r>
      <w:r>
        <w:rPr>
          <w:b/>
          <w:color w:val="1F497D"/>
          <w:sz w:val="22"/>
        </w:rPr>
        <w:t>Gastos operacionales creciendo sin crecimiento en fabricados</w:t>
      </w:r>
    </w:p>
    <w:p>
      <w:pPr>
        <w:spacing w:after="20"/>
      </w:pPr>
      <w:r>
        <w:rPr>
          <w:b/>
          <w:color w:val="7030A0"/>
          <w:sz w:val="20"/>
        </w:rPr>
        <w:t>Impacto: -$385M en U.Op.</w:t>
      </w:r>
    </w:p>
    <w:p>
      <w:pPr>
        <w:spacing w:after="80" w:before="0"/>
        <w:ind w:left="283"/>
      </w:pPr>
      <w:r>
        <w:rPr>
          <w:b w:val="0"/>
          <w:sz w:val="20"/>
        </w:rPr>
        <w:t>Admón +$89M (+15.2%), comerciales +$163M (+20.8%), logística +$133M (+17.9%). Todos crecen más rápido que el negocio core (fabricados -1%). El personal en todas las áreas creció aunque el volumen fabricado no.</w:t>
      </w:r>
    </w:p>
    <w:p>
      <w:pPr>
        <w:spacing w:before="160" w:after="40"/>
      </w:pPr>
      <w:r>
        <w:rPr>
          <w:b/>
          <w:color w:val="7030A0"/>
          <w:sz w:val="22"/>
        </w:rPr>
        <w:t xml:space="preserve">CAUSA 7: </w:t>
      </w:r>
      <w:r>
        <w:rPr>
          <w:b/>
          <w:color w:val="1F497D"/>
          <w:sz w:val="22"/>
        </w:rPr>
        <w:t>Caída de ingresos no operacionales</w:t>
      </w:r>
    </w:p>
    <w:p>
      <w:pPr>
        <w:spacing w:after="20"/>
      </w:pPr>
      <w:r>
        <w:rPr>
          <w:b/>
          <w:color w:val="7030A0"/>
          <w:sz w:val="20"/>
        </w:rPr>
        <w:t>Impacto: -$185M</w:t>
      </w:r>
    </w:p>
    <w:p>
      <w:pPr>
        <w:spacing w:after="80" w:before="0"/>
        <w:ind w:left="283"/>
      </w:pPr>
      <w:r>
        <w:rPr>
          <w:b w:val="0"/>
          <w:sz w:val="20"/>
        </w:rPr>
        <w:t>Rendimientos financieros: de $173M a $85M (-51%). La caja disponible para invertir se redujo, probablemente por mayor capital de trabajo comprometido en inventario de varillas e insumos.</w:t>
      </w:r>
    </w:p>
    <w:p>
      <w:r>
        <w:br w:type="page"/>
      </w:r>
    </w:p>
    <w:p>
      <w:pPr>
        <w:spacing w:before="360" w:after="120"/>
        <w:pBdr>
          <w:bottom w:val="single" w:sz="8" w:space="1" w:color="1F497D"/>
        </w:pBdr>
      </w:pPr>
      <w:r>
        <w:rPr>
          <w:b/>
          <w:color w:val="1F497D"/>
          <w:sz w:val="32"/>
        </w:rPr>
        <w:t>PARTE 4: RIESGOS DEL NEGOCIO</w:t>
      </w:r>
    </w:p>
    <w:p>
      <w:pPr>
        <w:spacing w:before="280" w:after="80"/>
      </w:pPr>
      <w:r>
        <w:rPr>
          <w:b/>
          <w:color w:val="2E75B6"/>
          <w:sz w:val="26"/>
        </w:rPr>
        <w:t>Riesgos Comerciales</w:t>
      </w:r>
    </w:p>
    <w:p>
      <w:pPr>
        <w:pStyle w:val="ListBullet"/>
        <w:spacing w:after="40" w:before="0"/>
        <w:ind w:left="283"/>
      </w:pPr>
      <w:r>
        <w:rPr>
          <w:b w:val="0"/>
          <w:color w:val="C00000"/>
          <w:sz w:val="20"/>
        </w:rPr>
        <w:t>Dependencia de varillas con margen 9.1%: Si las importaciones continúan creciendo, el mix seguirá deteriorando el margen. Cualquier presión de precios convierte este producto en uno con pérdida neta.</w:t>
      </w:r>
    </w:p>
    <w:p>
      <w:pPr>
        <w:pStyle w:val="ListBullet"/>
        <w:spacing w:after="40" w:before="0"/>
        <w:ind w:left="283"/>
      </w:pPr>
      <w:r>
        <w:rPr>
          <w:b w:val="0"/>
          <w:color w:val="C00000"/>
          <w:sz w:val="20"/>
        </w:rPr>
        <w:t>Caída en ventas metalmecánica fabricada (-2.8%, -$374M): El corazón del negocio pierde momentum. ¿Pérdida de participación de mercado? ¿Competencia con importados?</w:t>
      </w:r>
    </w:p>
    <w:p>
      <w:pPr>
        <w:pStyle w:val="ListBullet"/>
        <w:spacing w:after="40" w:before="0"/>
        <w:ind w:left="283"/>
      </w:pPr>
      <w:r>
        <w:rPr>
          <w:b w:val="0"/>
          <w:color w:val="C00000"/>
          <w:sz w:val="20"/>
        </w:rPr>
        <w:t>CE-125 con margen -8.3% y Adaptadores con -4.7%: Dos líneas que se fabrican a pérdida bruta (-$22M combinados).</w:t>
      </w:r>
    </w:p>
    <w:p>
      <w:pPr>
        <w:pStyle w:val="ListBullet"/>
        <w:spacing w:after="40" w:before="0"/>
        <w:ind w:left="283"/>
      </w:pPr>
      <w:r>
        <w:rPr>
          <w:b w:val="0"/>
          <w:color w:val="C55A11"/>
          <w:sz w:val="20"/>
        </w:rPr>
        <w:t>Descuentos creciendo al 20.4% (+$78M): Señal de presión comercial o política de precios permisiva.</w:t>
      </w:r>
    </w:p>
    <w:p>
      <w:pPr>
        <w:spacing w:before="280" w:after="80"/>
      </w:pPr>
      <w:r>
        <w:rPr>
          <w:b/>
          <w:color w:val="2E75B6"/>
          <w:sz w:val="26"/>
        </w:rPr>
        <w:t>Riesgos Operativos</w:t>
      </w:r>
    </w:p>
    <w:p>
      <w:pPr>
        <w:pStyle w:val="ListBullet"/>
        <w:spacing w:after="40" w:before="0"/>
        <w:ind w:left="283"/>
      </w:pPr>
      <w:r>
        <w:rPr>
          <w:b w:val="0"/>
          <w:color w:val="C55A11"/>
          <w:sz w:val="20"/>
        </w:rPr>
        <w:t>Alta dependencia de personal temporal en MOD (69.8% del MOD total, $1,455M): Con 104 temporales en abril, cualquier alza del salario mínimo impacta directamente la estructura.</w:t>
      </w:r>
    </w:p>
    <w:p>
      <w:pPr>
        <w:pStyle w:val="ListBullet"/>
        <w:spacing w:after="40" w:before="0"/>
        <w:ind w:left="283"/>
      </w:pPr>
      <w:r>
        <w:rPr>
          <w:b w:val="0"/>
          <w:color w:val="C55A11"/>
          <w:sz w:val="20"/>
        </w:rPr>
        <w:t>MOI sobre-estructurado: De 36 a 42 personas (+6 cargos). Costo anualizado: +$195M. El retorno de esta inversión no es visible aún en productividad.</w:t>
      </w:r>
    </w:p>
    <w:p>
      <w:pPr>
        <w:pStyle w:val="ListBullet"/>
        <w:spacing w:after="40" w:before="0"/>
        <w:ind w:left="283"/>
      </w:pPr>
      <w:r>
        <w:rPr>
          <w:b w:val="0"/>
          <w:color w:val="C55A11"/>
          <w:sz w:val="20"/>
        </w:rPr>
        <w:t>Mantenimientos imprevistos en Plástico: Reforma molde 225A ($43M) y caja oct8 ($9M) en Marzo. Activos con vida útil extendida que se cargan al período.</w:t>
      </w:r>
    </w:p>
    <w:p>
      <w:pPr>
        <w:pStyle w:val="ListBullet"/>
        <w:spacing w:after="40" w:before="0"/>
        <w:ind w:left="283"/>
      </w:pPr>
      <w:r>
        <w:rPr>
          <w:b w:val="0"/>
          <w:color w:val="C55A11"/>
          <w:sz w:val="20"/>
        </w:rPr>
        <w:t>Mala absorción de costos fijos: La planta absorbe más costo fijo (arriendos $335M, depreciación $155M) con menos volumen fabricado → costo fijo por unidad crece automáticamente.</w:t>
      </w:r>
    </w:p>
    <w:p>
      <w:pPr>
        <w:spacing w:before="280" w:after="80"/>
      </w:pPr>
      <w:r>
        <w:rPr>
          <w:b/>
          <w:color w:val="2E75B6"/>
          <w:sz w:val="26"/>
        </w:rPr>
        <w:t>Riesgos Financieros</w:t>
      </w:r>
    </w:p>
    <w:p>
      <w:pPr>
        <w:pStyle w:val="ListBullet"/>
        <w:spacing w:after="40" w:before="0"/>
        <w:ind w:left="283"/>
      </w:pPr>
      <w:r>
        <w:rPr>
          <w:b w:val="0"/>
          <w:color w:val="C00000"/>
          <w:sz w:val="20"/>
        </w:rPr>
        <w:t>Gastos familia $1,032M en 4 meses ($258M/mes promedio): A este ritmo el año cierra con $2,400–$3,000M en gastos familia. Hace inviable cualquier rentabilidad sostenible.</w:t>
      </w:r>
    </w:p>
    <w:p>
      <w:pPr>
        <w:pStyle w:val="ListBullet"/>
        <w:spacing w:after="40" w:before="0"/>
        <w:ind w:left="283"/>
      </w:pPr>
      <w:r>
        <w:rPr>
          <w:b w:val="0"/>
          <w:color w:val="C00000"/>
          <w:sz w:val="20"/>
        </w:rPr>
        <w:t>$185M en "extraordinarios" no operacionales (2026 vs $1M en 2025): Solo en Abril: $149M. Naturaleza desconocida. Requiere explicación urgente.</w:t>
      </w:r>
    </w:p>
    <w:p>
      <w:pPr>
        <w:pStyle w:val="ListBullet"/>
        <w:spacing w:after="40" w:before="0"/>
        <w:ind w:left="283"/>
      </w:pPr>
      <w:r>
        <w:rPr>
          <w:b w:val="0"/>
          <w:color w:val="C00000"/>
          <w:sz w:val="20"/>
        </w:rPr>
        <w:t>$408M de intereses en Marzo 2026 (un solo mes): En 2025 el total acumulado fue $147M. ¿Devengo anual? ¿Deuda nueva? La posición financiera necesita revisión urgente.</w:t>
      </w:r>
    </w:p>
    <w:p>
      <w:pPr>
        <w:pStyle w:val="ListBullet"/>
        <w:spacing w:after="40" w:before="0"/>
        <w:ind w:left="283"/>
      </w:pPr>
      <w:r>
        <w:rPr>
          <w:b w:val="0"/>
          <w:color w:val="C55A11"/>
          <w:sz w:val="20"/>
        </w:rPr>
        <w:t>Ingresos financieros cayendo -51% (-$88M): Mayor capital de trabajo comprometido en varillas reduce la caja disponible para inversión.</w:t>
      </w:r>
    </w:p>
    <w:p>
      <w:r>
        <w:br w:type="page"/>
      </w:r>
    </w:p>
    <w:p>
      <w:pPr>
        <w:spacing w:before="360" w:after="120"/>
        <w:pBdr>
          <w:bottom w:val="single" w:sz="8" w:space="1" w:color="1F497D"/>
        </w:pBdr>
      </w:pPr>
      <w:r>
        <w:rPr>
          <w:b/>
          <w:color w:val="1F497D"/>
          <w:sz w:val="32"/>
        </w:rPr>
        <w:t>PARTE 5: PLAN DE ACCIÓN</w:t>
      </w:r>
    </w:p>
    <w:tbl>
      <w:tblPr>
        <w:tblStyle w:val="TableGrid"/>
        <w:tblW w:type="auto" w:w="0"/>
        <w:tblLook w:firstColumn="1" w:firstRow="1" w:lastColumn="0" w:lastRow="0" w:noHBand="0" w:noVBand="1" w:val="04A0"/>
      </w:tblPr>
      <w:tblGrid>
        <w:gridCol w:w="9746"/>
      </w:tblGrid>
      <w:tr>
        <w:tc>
          <w:tcPr>
            <w:tcW w:type="dxa" w:w="9746"/>
            <w:shd w:val="clear" w:color="auto" w:fill="C000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jc w:val="left"/>
            </w:pPr>
            <w:r>
              <w:rPr>
                <w:b/>
                <w:color w:val="FFFFFF"/>
                <w:sz w:val="20"/>
              </w:rPr>
              <w:t>30 DÍAS — Detener la hemorragia</w:t>
            </w:r>
          </w:p>
        </w:tc>
      </w:tr>
    </w:tbl>
    <w:p/>
    <w:p>
      <w:pPr>
        <w:spacing w:after="80" w:before="0"/>
        <w:ind w:left="0"/>
      </w:pPr>
      <w:r>
        <w:rPr>
          <w:b/>
          <w:sz w:val="20"/>
        </w:rPr>
        <w:t>1. Auditar y controlar los gastos de la familia.</w:t>
      </w:r>
    </w:p>
    <w:p>
      <w:pPr>
        <w:spacing w:after="80" w:before="0"/>
        <w:ind w:left="283"/>
      </w:pPr>
      <w:r>
        <w:rPr>
          <w:b w:val="0"/>
          <w:sz w:val="20"/>
        </w:rPr>
        <w:t>En 2025: $41M/mes promedio. En 2026: $258M/mes promedio. Establecer límite máximo de $80-100M/mes hasta que la utilidad neta recupere el 15%+. Sin esta decisión, todo lo demás es cosmético.</w:t>
      </w:r>
    </w:p>
    <w:p>
      <w:pPr>
        <w:spacing w:after="80" w:before="0"/>
        <w:ind w:left="0"/>
      </w:pPr>
      <w:r>
        <w:rPr>
          <w:b/>
          <w:sz w:val="20"/>
        </w:rPr>
        <w:t>2. Establecer precio mínimo de venta para varillas.</w:t>
      </w:r>
    </w:p>
    <w:p>
      <w:pPr>
        <w:spacing w:after="80" w:before="0"/>
        <w:ind w:left="283"/>
      </w:pPr>
      <w:r>
        <w:rPr>
          <w:b w:val="0"/>
          <w:sz w:val="20"/>
        </w:rPr>
        <w:t>Calcular el costo completo: importación + aranceles + fletes + financiación del inventario a tasa vigente + asignación de gastos generales. Con $2,251M en ventas al 9.1% de margen, cualquier costo no asignado lleva a pérdida neta.</w:t>
      </w:r>
    </w:p>
    <w:p>
      <w:pPr>
        <w:spacing w:after="80" w:before="0"/>
        <w:ind w:left="0"/>
      </w:pPr>
      <w:r>
        <w:rPr>
          <w:b/>
          <w:sz w:val="20"/>
        </w:rPr>
        <w:t>3. Solicitar costeo real de CE-125 y Adaptadores.</w:t>
      </w:r>
    </w:p>
    <w:p>
      <w:pPr>
        <w:spacing w:after="80" w:before="0"/>
        <w:ind w:left="283"/>
      </w:pPr>
      <w:r>
        <w:rPr>
          <w:b w:val="0"/>
          <w:sz w:val="20"/>
        </w:rPr>
        <w:t>Si el precio sigue por debajo del costo ($22M en pérdida bruta combinada): ajuste de precio inmediato o suspensión de producción.</w:t>
      </w:r>
    </w:p>
    <w:p>
      <w:pPr>
        <w:spacing w:after="80" w:before="0"/>
        <w:ind w:left="0"/>
      </w:pPr>
      <w:r>
        <w:rPr>
          <w:b/>
          <w:sz w:val="20"/>
        </w:rPr>
        <w:t>4. Congelar nuevas contrataciones en MOI.</w:t>
      </w:r>
    </w:p>
    <w:p>
      <w:pPr>
        <w:spacing w:after="80" w:before="0"/>
        <w:ind w:left="283"/>
      </w:pPr>
      <w:r>
        <w:rPr>
          <w:b w:val="0"/>
          <w:sz w:val="20"/>
        </w:rPr>
        <w:t>Hasta validar el ROI de las 6 posiciones adicionales (+$195M anualizados) en logística, innovación, mantenimiento y calidad.</w:t>
      </w:r>
    </w:p>
    <w:p>
      <w:pPr>
        <w:spacing w:after="80" w:before="0"/>
        <w:ind w:left="0"/>
      </w:pPr>
      <w:r>
        <w:rPr>
          <w:b/>
          <w:sz w:val="20"/>
        </w:rPr>
        <w:t>5. Revisar el contrato de arriendos familiares.</w:t>
      </w:r>
    </w:p>
    <w:p>
      <w:pPr>
        <w:spacing w:after="80" w:before="0"/>
        <w:ind w:left="283"/>
      </w:pPr>
      <w:r>
        <w:rPr>
          <w:b w:val="0"/>
          <w:sz w:val="20"/>
        </w:rPr>
        <w:t>El canon pasó de ~$20M/mes a ~$85M/mes (+$254M en el período). Solicitar contrato y avalúo comercial. Comparar con precios de mercado industrial.</w:t>
      </w:r>
    </w:p>
    <w:tbl>
      <w:tblPr>
        <w:tblStyle w:val="TableGrid"/>
        <w:tblW w:type="auto" w:w="0"/>
        <w:tblLook w:firstColumn="1" w:firstRow="1" w:lastColumn="0" w:lastRow="0" w:noHBand="0" w:noVBand="1" w:val="04A0"/>
      </w:tblPr>
      <w:tblGrid>
        <w:gridCol w:w="9746"/>
      </w:tblGrid>
      <w:tr>
        <w:tc>
          <w:tcPr>
            <w:tcW w:type="dxa" w:w="9746"/>
            <w:shd w:val="clear" w:color="auto" w:fill="C55A11"/>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jc w:val="left"/>
            </w:pPr>
            <w:r>
              <w:rPr>
                <w:b/>
                <w:color w:val="FFFFFF"/>
                <w:sz w:val="20"/>
              </w:rPr>
              <w:t>60 DÍAS — Estabilizar márgenes</w:t>
            </w:r>
          </w:p>
        </w:tc>
      </w:tr>
    </w:tbl>
    <w:p/>
    <w:p>
      <w:pPr>
        <w:spacing w:after="80" w:before="0"/>
        <w:ind w:left="0"/>
      </w:pPr>
      <w:r>
        <w:rPr>
          <w:b/>
          <w:sz w:val="20"/>
        </w:rPr>
        <w:t>6. Implementar costeo real por línea de producto mensualmente.</w:t>
      </w:r>
    </w:p>
    <w:p>
      <w:pPr>
        <w:spacing w:after="80" w:before="0"/>
        <w:ind w:left="283"/>
      </w:pPr>
      <w:r>
        <w:rPr>
          <w:b w:val="0"/>
          <w:sz w:val="20"/>
        </w:rPr>
        <w:t>El sistema debe producir el margen bruto por línea el día 5 de cada mes. Sin este dato, no hay toma de decisiones posible.</w:t>
      </w:r>
    </w:p>
    <w:p>
      <w:pPr>
        <w:spacing w:after="80" w:before="0"/>
        <w:ind w:left="0"/>
      </w:pPr>
      <w:r>
        <w:rPr>
          <w:b/>
          <w:sz w:val="20"/>
        </w:rPr>
        <w:t>7. Revisión de la estructura de precios del Fabricado Plástico.</w:t>
      </w:r>
    </w:p>
    <w:p>
      <w:pPr>
        <w:spacing w:after="80" w:before="0"/>
        <w:ind w:left="283"/>
      </w:pPr>
      <w:r>
        <w:rPr>
          <w:b w:val="0"/>
          <w:sz w:val="20"/>
        </w:rPr>
        <w:t>Identificar si el costo de insumos plásticos subió (+$529M en MP plástica, +38.9%) por impuesto al plástico, tipo de cambio en resinas, cambio de proveedor, o si hay un problema de eficiencia/scrap en la inyectora.</w:t>
      </w:r>
    </w:p>
    <w:p>
      <w:pPr>
        <w:spacing w:after="80" w:before="0"/>
        <w:ind w:left="0"/>
      </w:pPr>
      <w:r>
        <w:rPr>
          <w:b/>
          <w:sz w:val="20"/>
        </w:rPr>
        <w:t>8. Auditoría de los extraordinarios de $185M.</w:t>
      </w:r>
    </w:p>
    <w:p>
      <w:pPr>
        <w:spacing w:after="80" w:before="0"/>
        <w:ind w:left="283"/>
      </w:pPr>
      <w:r>
        <w:rPr>
          <w:b w:val="0"/>
          <w:sz w:val="20"/>
        </w:rPr>
        <w:t>Identificar cada concepto. En 2025 este rubro era prácticamente cero ($1M). Si son provisiones por litigios o pérdidas en activos, registrar adecuadamente.</w:t>
      </w:r>
    </w:p>
    <w:p>
      <w:pPr>
        <w:spacing w:after="80" w:before="0"/>
        <w:ind w:left="0"/>
      </w:pPr>
      <w:r>
        <w:rPr>
          <w:b/>
          <w:sz w:val="20"/>
        </w:rPr>
        <w:t>9. Plan de recuperación en metalmecánica.</w:t>
      </w:r>
    </w:p>
    <w:p>
      <w:pPr>
        <w:spacing w:after="80" w:before="0"/>
        <w:ind w:left="283"/>
      </w:pPr>
      <w:r>
        <w:rPr>
          <w:b w:val="0"/>
          <w:sz w:val="20"/>
        </w:rPr>
        <w:t>Identificar por qué las ventas fabricadas cayeron -2.8% (-$374M). Plan con objetivos específicos por vendedor y por cliente.</w:t>
      </w:r>
    </w:p>
    <w:tbl>
      <w:tblPr>
        <w:tblStyle w:val="TableGrid"/>
        <w:tblW w:type="auto" w:w="0"/>
        <w:tblLook w:firstColumn="1" w:firstRow="1" w:lastColumn="0" w:lastRow="0" w:noHBand="0" w:noVBand="1" w:val="04A0"/>
      </w:tblPr>
      <w:tblGrid>
        <w:gridCol w:w="9746"/>
      </w:tblGrid>
      <w:tr>
        <w:tc>
          <w:tcPr>
            <w:tcW w:type="dxa" w:w="9746"/>
            <w:shd w:val="clear" w:color="auto" w:fill="37861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jc w:val="left"/>
            </w:pPr>
            <w:r>
              <w:rPr>
                <w:b/>
                <w:color w:val="FFFFFF"/>
                <w:sz w:val="20"/>
              </w:rPr>
              <w:t>90 DÍAS — Reestructurar el modelo</w:t>
            </w:r>
          </w:p>
        </w:tc>
      </w:tr>
    </w:tbl>
    <w:p/>
    <w:p>
      <w:pPr>
        <w:spacing w:after="80" w:before="0"/>
        <w:ind w:left="0"/>
      </w:pPr>
      <w:r>
        <w:rPr>
          <w:b/>
          <w:sz w:val="20"/>
        </w:rPr>
        <w:t>10. Definir la estrategia de comercializados.</w:t>
      </w:r>
    </w:p>
    <w:p>
      <w:pPr>
        <w:spacing w:after="80" w:before="0"/>
        <w:ind w:left="283"/>
      </w:pPr>
      <w:r>
        <w:rPr>
          <w:b w:val="0"/>
          <w:sz w:val="20"/>
        </w:rPr>
        <w:t>El negocio fabrica al 38.9% de margen y comercializa varillas al 9.1%. Por cada $100 vendidos en varillas, el negocio gana $9 brutos; por $100 en metalmecánica, gana $39. Establecer margen mínimo de admisión para cualquier comercializado.</w:t>
      </w:r>
    </w:p>
    <w:p>
      <w:pPr>
        <w:spacing w:after="80" w:before="0"/>
        <w:ind w:left="0"/>
      </w:pPr>
      <w:r>
        <w:rPr>
          <w:b/>
          <w:sz w:val="20"/>
        </w:rPr>
        <w:t>11. Plan de eficiencia en costos de producción.</w:t>
      </w:r>
    </w:p>
    <w:p>
      <w:pPr>
        <w:spacing w:after="80" w:before="0"/>
        <w:ind w:left="283"/>
      </w:pPr>
      <w:r>
        <w:rPr>
          <w:b w:val="0"/>
          <w:sz w:val="20"/>
        </w:rPr>
        <w:t>El costo de producción creció +25.9% (+$913M) con volumen de fabricados plano. Revisar tiempos estándar, índices de scrap, tiempo muerto y productividad por proceso.</w:t>
      </w:r>
    </w:p>
    <w:p>
      <w:pPr>
        <w:spacing w:after="80" w:before="0"/>
        <w:ind w:left="0"/>
      </w:pPr>
      <w:r>
        <w:rPr>
          <w:b/>
          <w:sz w:val="20"/>
        </w:rPr>
        <w:t>12. Revisión estructural de gastos familiares.</w:t>
      </w:r>
    </w:p>
    <w:p>
      <w:pPr>
        <w:spacing w:after="80" w:before="0"/>
        <w:ind w:left="283"/>
      </w:pPr>
      <w:r>
        <w:rPr>
          <w:b w:val="0"/>
          <w:sz w:val="20"/>
        </w:rPr>
        <w:t>Comparar los $968M de "de personal familia" con compensaciones ejecutivas de mercado. Definir una política formal compatible con la rentabilidad del negocio.</w:t>
      </w:r>
    </w:p>
    <w:p>
      <w:r>
        <w:br w:type="page"/>
      </w:r>
    </w:p>
    <w:p>
      <w:pPr>
        <w:spacing w:before="360" w:after="120"/>
        <w:pBdr>
          <w:bottom w:val="single" w:sz="8" w:space="1" w:color="1F497D"/>
        </w:pBdr>
      </w:pPr>
      <w:r>
        <w:rPr>
          <w:b/>
          <w:color w:val="1F497D"/>
          <w:sz w:val="32"/>
        </w:rPr>
        <w:t>PARTE 6: TABLERO DE INDICADORES RECOMENDADO</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835"/>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Indicador</w:t>
            </w:r>
          </w:p>
        </w:tc>
        <w:tc>
          <w:tcPr>
            <w:tcW w:type="dxa" w:w="1247"/>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Frecuencia</w:t>
            </w:r>
          </w:p>
        </w:tc>
        <w:tc>
          <w:tcPr>
            <w:tcW w:type="dxa" w:w="1587"/>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Alerta Roja</w:t>
            </w:r>
          </w:p>
        </w:tc>
        <w:tc>
          <w:tcPr>
            <w:tcW w:type="dxa" w:w="1587"/>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Alerta Amarilla</w:t>
            </w:r>
          </w:p>
        </w:tc>
        <w:tc>
          <w:tcPr>
            <w:tcW w:type="dxa" w:w="1587"/>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Meta 2026</w:t>
            </w:r>
          </w:p>
        </w:tc>
      </w:tr>
      <w:tr>
        <w:tc>
          <w:tcPr>
            <w:tcW w:type="dxa" w:w="2835"/>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b/>
                <w:color w:val="000000"/>
                <w:sz w:val="18"/>
              </w:rPr>
              <w:t>Ventas totales</w:t>
            </w:r>
          </w:p>
        </w:tc>
        <w:tc>
          <w:tcPr>
            <w:tcW w:type="dxa" w:w="124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Semanal</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&lt;$1,300M/mes</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&lt;$1,500M/mes</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&gt;$5,500M/mes</w:t>
            </w:r>
          </w:p>
        </w:tc>
      </w:tr>
      <w:tr>
        <w:tc>
          <w:tcPr>
            <w:tcW w:type="dxa" w:w="2835"/>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MB% consolidado</w:t>
            </w:r>
          </w:p>
        </w:tc>
        <w:tc>
          <w:tcPr>
            <w:tcW w:type="dxa" w:w="124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Mensual</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&lt;28%</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&lt;32%</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≥35%</w:t>
            </w:r>
          </w:p>
        </w:tc>
      </w:tr>
      <w:tr>
        <w:tc>
          <w:tcPr>
            <w:tcW w:type="dxa" w:w="2835"/>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MB% metalmecánica</w:t>
            </w:r>
          </w:p>
        </w:tc>
        <w:tc>
          <w:tcPr>
            <w:tcW w:type="dxa" w:w="124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Mensual</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&lt;33%</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&lt;36%</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≥39%</w:t>
            </w:r>
          </w:p>
        </w:tc>
      </w:tr>
      <w:tr>
        <w:tc>
          <w:tcPr>
            <w:tcW w:type="dxa" w:w="2835"/>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MB% plástico</w:t>
            </w:r>
          </w:p>
        </w:tc>
        <w:tc>
          <w:tcPr>
            <w:tcW w:type="dxa" w:w="124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Mensual</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&lt;15%</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&lt;25%</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≥30%</w:t>
            </w:r>
          </w:p>
        </w:tc>
      </w:tr>
      <w:tr>
        <w:tc>
          <w:tcPr>
            <w:tcW w:type="dxa" w:w="2835"/>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MB% varillas</w:t>
            </w:r>
          </w:p>
        </w:tc>
        <w:tc>
          <w:tcPr>
            <w:tcW w:type="dxa" w:w="124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Mensual</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&lt;8%</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&lt;11%</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≥11%</w:t>
            </w:r>
          </w:p>
        </w:tc>
      </w:tr>
      <w:tr>
        <w:tc>
          <w:tcPr>
            <w:tcW w:type="dxa" w:w="2835"/>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MB% breakers</w:t>
            </w:r>
          </w:p>
        </w:tc>
        <w:tc>
          <w:tcPr>
            <w:tcW w:type="dxa" w:w="124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Mensual</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&lt;20%</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&lt;23%</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≥25%</w:t>
            </w:r>
          </w:p>
        </w:tc>
      </w:tr>
      <w:tr>
        <w:tc>
          <w:tcPr>
            <w:tcW w:type="dxa" w:w="2835"/>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b/>
                <w:color w:val="000000"/>
                <w:sz w:val="18"/>
              </w:rPr>
              <w:t>Mix comerc./total</w:t>
            </w:r>
          </w:p>
        </w:tc>
        <w:tc>
          <w:tcPr>
            <w:tcW w:type="dxa" w:w="124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Mensual</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&gt;25%</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&gt;18%</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≤15%</w:t>
            </w:r>
          </w:p>
        </w:tc>
      </w:tr>
      <w:tr>
        <w:tc>
          <w:tcPr>
            <w:tcW w:type="dxa" w:w="2835"/>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MOD / Ventas</w:t>
            </w:r>
          </w:p>
        </w:tc>
        <w:tc>
          <w:tcPr>
            <w:tcW w:type="dxa" w:w="124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Mensual</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&gt;13%</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&gt;11.5%</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≤10.6%</w:t>
            </w:r>
          </w:p>
        </w:tc>
      </w:tr>
      <w:tr>
        <w:tc>
          <w:tcPr>
            <w:tcW w:type="dxa" w:w="2835"/>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MOI / Ventas</w:t>
            </w:r>
          </w:p>
        </w:tc>
        <w:tc>
          <w:tcPr>
            <w:tcW w:type="dxa" w:w="124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Mensual</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&gt;6%</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&gt;5.5%</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≤4.6%</w:t>
            </w:r>
          </w:p>
        </w:tc>
      </w:tr>
      <w:tr>
        <w:tc>
          <w:tcPr>
            <w:tcW w:type="dxa" w:w="2835"/>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CIF (sin arriendos) / Vtas</w:t>
            </w:r>
          </w:p>
        </w:tc>
        <w:tc>
          <w:tcPr>
            <w:tcW w:type="dxa" w:w="124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Mensual</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&gt;5%</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&gt;4.5%</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≤4.5%</w:t>
            </w:r>
          </w:p>
        </w:tc>
      </w:tr>
      <w:tr>
        <w:tc>
          <w:tcPr>
            <w:tcW w:type="dxa" w:w="2835"/>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Arriendos netos / mes</w:t>
            </w:r>
          </w:p>
        </w:tc>
        <w:tc>
          <w:tcPr>
            <w:tcW w:type="dxa" w:w="124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Mensual</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&gt;$60M</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&gt;$45M</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≤$20M</w:t>
            </w:r>
          </w:p>
        </w:tc>
      </w:tr>
      <w:tr>
        <w:tc>
          <w:tcPr>
            <w:tcW w:type="dxa" w:w="2835"/>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Logística / Ventas</w:t>
            </w:r>
          </w:p>
        </w:tc>
        <w:tc>
          <w:tcPr>
            <w:tcW w:type="dxa" w:w="124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Mensual</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&gt;6%</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&gt;5%</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≤4.3%</w:t>
            </w:r>
          </w:p>
        </w:tc>
      </w:tr>
      <w:tr>
        <w:tc>
          <w:tcPr>
            <w:tcW w:type="dxa" w:w="2835"/>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Gtos familia / Ventas</w:t>
            </w:r>
          </w:p>
        </w:tc>
        <w:tc>
          <w:tcPr>
            <w:tcW w:type="dxa" w:w="124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Mensual</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&gt;4%</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&gt;2%</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≤1.5%</w:t>
            </w:r>
          </w:p>
        </w:tc>
      </w:tr>
      <w:tr>
        <w:tc>
          <w:tcPr>
            <w:tcW w:type="dxa" w:w="2835"/>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U.Operacional %</w:t>
            </w:r>
          </w:p>
        </w:tc>
        <w:tc>
          <w:tcPr>
            <w:tcW w:type="dxa" w:w="124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Mensual</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&lt;12%</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&lt;18%</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≥22%</w:t>
            </w:r>
          </w:p>
        </w:tc>
      </w:tr>
      <w:tr>
        <w:tc>
          <w:tcPr>
            <w:tcW w:type="dxa" w:w="2835"/>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U.Neta %</w:t>
            </w:r>
          </w:p>
        </w:tc>
        <w:tc>
          <w:tcPr>
            <w:tcW w:type="dxa" w:w="124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Mensual</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&lt;6%</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&lt;14%</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≥20%</w:t>
            </w:r>
          </w:p>
        </w:tc>
      </w:tr>
      <w:tr>
        <w:tc>
          <w:tcPr>
            <w:tcW w:type="dxa" w:w="2835"/>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b/>
                <w:color w:val="000000"/>
                <w:sz w:val="18"/>
              </w:rPr>
              <w:t># Personal MOI total</w:t>
            </w:r>
          </w:p>
        </w:tc>
        <w:tc>
          <w:tcPr>
            <w:tcW w:type="dxa" w:w="124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Mensual</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&gt;44</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&gt;42</w:t>
            </w:r>
          </w:p>
        </w:tc>
        <w:tc>
          <w:tcPr>
            <w:tcW w:type="dxa" w:w="1587"/>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≤38</w:t>
            </w:r>
          </w:p>
        </w:tc>
      </w:tr>
      <w:tr>
        <w:tc>
          <w:tcPr>
            <w:tcW w:type="dxa" w:w="2835"/>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Personal MOD temporal</w:t>
            </w:r>
          </w:p>
        </w:tc>
        <w:tc>
          <w:tcPr>
            <w:tcW w:type="dxa" w:w="124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Semanal</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&gt;115</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&gt;110</w:t>
            </w:r>
          </w:p>
        </w:tc>
        <w:tc>
          <w:tcPr>
            <w:tcW w:type="dxa" w:w="1587"/>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≤105</w:t>
            </w:r>
          </w:p>
        </w:tc>
      </w:tr>
    </w:tbl>
    <w:p/>
    <w:p>
      <w:r>
        <w:br w:type="page"/>
      </w:r>
    </w:p>
    <w:p>
      <w:pPr>
        <w:spacing w:before="360" w:after="120"/>
        <w:pBdr>
          <w:bottom w:val="single" w:sz="8" w:space="1" w:color="1F497D"/>
        </w:pBdr>
      </w:pPr>
      <w:r>
        <w:rPr>
          <w:b/>
          <w:color w:val="1F497D"/>
          <w:sz w:val="32"/>
        </w:rPr>
        <w:t>PARTE 7: HALLAZGOS ACCIONABLES — RANKING DE PRIORIDADES</w:t>
      </w:r>
    </w:p>
    <w:p>
      <w:pPr>
        <w:spacing w:before="200" w:after="60"/>
      </w:pPr>
      <w:r>
        <w:rPr>
          <w:b/>
          <w:color w:val="1F497D"/>
          <w:sz w:val="22"/>
        </w:rPr>
        <w:t>CRÍTICO 1: Gastos de la familia</w:t>
      </w:r>
    </w:p>
    <w:p>
      <w:pPr>
        <w:spacing w:after="40"/>
      </w:pPr>
      <w:r>
        <w:rPr>
          <w:b/>
          <w:color w:val="C00000"/>
          <w:sz w:val="20"/>
        </w:rPr>
        <w:t xml:space="preserve">Qué pasa: </w:t>
      </w:r>
      <w:r>
        <w:rPr>
          <w:sz w:val="20"/>
        </w:rPr>
        <w:t>"De personal familia" saltó de $164M a $968M en 4 meses (+$804M, +490%). Feb: $267M, Mar: $307M, Abr: $267M.</w:t>
      </w:r>
    </w:p>
    <w:p>
      <w:pPr>
        <w:spacing w:after="40"/>
      </w:pPr>
      <w:r>
        <w:rPr>
          <w:b/>
          <w:color w:val="C00000"/>
          <w:sz w:val="20"/>
        </w:rPr>
        <w:t xml:space="preserve">Evidencia: </w:t>
      </w:r>
      <w:r>
        <w:rPr>
          <w:sz w:val="20"/>
        </w:rPr>
        <w:t>Sin este cambio la utilidad neta sería $2,407M (12.6%) en lugar de $1,626M (8.5%). Impacto directo: -$781M.</w:t>
      </w:r>
    </w:p>
    <w:p>
      <w:pPr>
        <w:spacing w:after="40"/>
      </w:pPr>
      <w:r>
        <w:rPr>
          <w:b/>
          <w:color w:val="C00000"/>
          <w:sz w:val="20"/>
        </w:rPr>
        <w:t xml:space="preserve">Hipótesis: </w:t>
      </w:r>
      <w:r>
        <w:rPr>
          <w:sz w:val="20"/>
        </w:rPr>
        <w:t>Nueva política de remuneración a propietarios/familia, o incorporación de nuevos miembros a nómina a costos muy elevados.</w:t>
      </w:r>
    </w:p>
    <w:p>
      <w:pPr>
        <w:spacing w:after="40"/>
      </w:pPr>
      <w:r>
        <w:rPr>
          <w:b/>
          <w:color w:val="C00000"/>
          <w:sz w:val="20"/>
        </w:rPr>
        <w:t xml:space="preserve">Acción: </w:t>
      </w:r>
      <w:r>
        <w:rPr>
          <w:sz w:val="20"/>
        </w:rPr>
        <w:t>Auditar cada contrato/acuerdo. Límite máximo: 25% de la utilidad operacional mensual.</w:t>
      </w:r>
    </w:p>
    <w:p>
      <w:pPr>
        <w:spacing w:before="200" w:after="60"/>
      </w:pPr>
      <w:r>
        <w:rPr>
          <w:b/>
          <w:color w:val="1F497D"/>
          <w:sz w:val="22"/>
        </w:rPr>
        <w:t>CRÍTICO 2: Varillas — volumen masivo con margen mínimo</w:t>
      </w:r>
    </w:p>
    <w:p>
      <w:pPr>
        <w:spacing w:after="40"/>
      </w:pPr>
      <w:r>
        <w:rPr>
          <w:b/>
          <w:color w:val="C00000"/>
          <w:sz w:val="20"/>
        </w:rPr>
        <w:t xml:space="preserve">Qué pasa: </w:t>
      </w:r>
      <w:r>
        <w:rPr>
          <w:sz w:val="20"/>
        </w:rPr>
        <w:t>De $271M a $2,251M (+731.7%). Margen cayó de 11.7% a 9.1%. En Febrero: solo 7.6%.</w:t>
      </w:r>
    </w:p>
    <w:p>
      <w:pPr>
        <w:spacing w:after="40"/>
      </w:pPr>
      <w:r>
        <w:rPr>
          <w:b/>
          <w:color w:val="C00000"/>
          <w:sz w:val="20"/>
        </w:rPr>
        <w:t xml:space="preserve">Evidencia: </w:t>
      </w:r>
      <w:r>
        <w:rPr>
          <w:sz w:val="20"/>
        </w:rPr>
        <w:t>Por cada $100 de varilla vendida, el negocio gana $9 brutos. El mismo esfuerzo en fabricados generaría $39.</w:t>
      </w:r>
    </w:p>
    <w:p>
      <w:pPr>
        <w:spacing w:after="40"/>
      </w:pPr>
      <w:r>
        <w:rPr>
          <w:b/>
          <w:color w:val="C00000"/>
          <w:sz w:val="20"/>
        </w:rPr>
        <w:t xml:space="preserve">Hipótesis: </w:t>
      </w:r>
      <w:r>
        <w:rPr>
          <w:sz w:val="20"/>
        </w:rPr>
        <w:t>Crecimiento oportunista en importados sin análisis de rentabilidad integral (costo de capital, fletes, riesgo cambiario).</w:t>
      </w:r>
    </w:p>
    <w:p>
      <w:pPr>
        <w:spacing w:after="40"/>
      </w:pPr>
      <w:r>
        <w:rPr>
          <w:b/>
          <w:color w:val="C00000"/>
          <w:sz w:val="20"/>
        </w:rPr>
        <w:t xml:space="preserve">Acción: </w:t>
      </w:r>
      <w:r>
        <w:rPr>
          <w:sz w:val="20"/>
        </w:rPr>
        <w:t>Calcular costo completo vs precio de venta. Establecer precio mínimo. Reducir próxima orden si no es rentable.</w:t>
      </w:r>
    </w:p>
    <w:p>
      <w:pPr>
        <w:spacing w:before="200" w:after="60"/>
      </w:pPr>
      <w:r>
        <w:rPr>
          <w:b/>
          <w:color w:val="1F497D"/>
          <w:sz w:val="22"/>
        </w:rPr>
        <w:t>CRÍTICO 3: Fabricado Plástico — derrumbe de margen</w:t>
      </w:r>
    </w:p>
    <w:p>
      <w:pPr>
        <w:spacing w:after="40"/>
      </w:pPr>
      <w:r>
        <w:rPr>
          <w:b/>
          <w:color w:val="C00000"/>
          <w:sz w:val="20"/>
        </w:rPr>
        <w:t xml:space="preserve">Qué pasa: </w:t>
      </w:r>
      <w:r>
        <w:rPr>
          <w:sz w:val="20"/>
        </w:rPr>
        <w:t>Margen de 32.8% cayó a 18.4% (-14.4 pp). MP plástica: $1,361M → $1,890M (+$529M, +38.9%).</w:t>
      </w:r>
    </w:p>
    <w:p>
      <w:pPr>
        <w:spacing w:after="40"/>
      </w:pPr>
      <w:r>
        <w:rPr>
          <w:b/>
          <w:color w:val="C00000"/>
          <w:sz w:val="20"/>
        </w:rPr>
        <w:t xml:space="preserve">Evidencia: </w:t>
      </w:r>
      <w:r>
        <w:rPr>
          <w:sz w:val="20"/>
        </w:rPr>
        <w:t>Con el margen de 32.8%, el aporte sería $759M. El real fue $426M. Diferencia: -$333M en solo esta línea.</w:t>
      </w:r>
    </w:p>
    <w:p>
      <w:pPr>
        <w:spacing w:after="40"/>
      </w:pPr>
      <w:r>
        <w:rPr>
          <w:b/>
          <w:color w:val="C00000"/>
          <w:sz w:val="20"/>
        </w:rPr>
        <w:t xml:space="preserve">Hipótesis: </w:t>
      </w:r>
      <w:r>
        <w:rPr>
          <w:sz w:val="20"/>
        </w:rPr>
        <w:t>Subida de resinas; impuesto al plástico; cambio de proveedor; scrap elevado; reforma de molde cargada al período ($52M en Marzo).</w:t>
      </w:r>
    </w:p>
    <w:p>
      <w:pPr>
        <w:spacing w:after="40"/>
      </w:pPr>
      <w:r>
        <w:rPr>
          <w:b/>
          <w:color w:val="C00000"/>
          <w:sz w:val="20"/>
        </w:rPr>
        <w:t xml:space="preserve">Acción: </w:t>
      </w:r>
      <w:r>
        <w:rPr>
          <w:sz w:val="20"/>
        </w:rPr>
        <w:t>Costeo por referencia plástica. Comparar precio de insumos mes a mes. Identificar las 5 referencias con mayor deterioro.</w:t>
      </w:r>
    </w:p>
    <w:p>
      <w:pPr>
        <w:spacing w:before="200" w:after="60"/>
      </w:pPr>
      <w:r>
        <w:rPr>
          <w:b/>
          <w:color w:val="1F497D"/>
          <w:sz w:val="22"/>
        </w:rPr>
        <w:t>CRÍTICO 4: CE-125 y Adaptadores — pérdida bruta</w:t>
      </w:r>
    </w:p>
    <w:p>
      <w:pPr>
        <w:spacing w:after="40"/>
      </w:pPr>
      <w:r>
        <w:rPr>
          <w:b/>
          <w:color w:val="C00000"/>
          <w:sz w:val="20"/>
        </w:rPr>
        <w:t xml:space="preserve">Qué pasa: </w:t>
      </w:r>
      <w:r>
        <w:rPr>
          <w:sz w:val="20"/>
        </w:rPr>
        <w:t>CE-125 margen -8.3% (-$16M). Adaptadores margen -4.7% (-$6M). La empresa paga $22M para fabricar estos productos.</w:t>
      </w:r>
    </w:p>
    <w:p>
      <w:pPr>
        <w:spacing w:after="40"/>
      </w:pPr>
      <w:r>
        <w:rPr>
          <w:b/>
          <w:color w:val="C00000"/>
          <w:sz w:val="20"/>
        </w:rPr>
        <w:t xml:space="preserve">Evidencia: </w:t>
      </w:r>
      <w:r>
        <w:rPr>
          <w:sz w:val="20"/>
        </w:rPr>
        <w:t>CE-125: costo $213M &gt; ventas $196M. Adaptadores: costo $134M &gt; ventas $128M.</w:t>
      </w:r>
    </w:p>
    <w:p>
      <w:pPr>
        <w:spacing w:after="40"/>
      </w:pPr>
      <w:r>
        <w:rPr>
          <w:b/>
          <w:color w:val="C00000"/>
          <w:sz w:val="20"/>
        </w:rPr>
        <w:t xml:space="preserve">Hipótesis: </w:t>
      </w:r>
      <w:r>
        <w:rPr>
          <w:sz w:val="20"/>
        </w:rPr>
        <w:t>Precio de venta desactualizado respecto al costo actual de inyección + metalización + ensamble.</w:t>
      </w:r>
    </w:p>
    <w:p>
      <w:pPr>
        <w:spacing w:after="40"/>
      </w:pPr>
      <w:r>
        <w:rPr>
          <w:b/>
          <w:color w:val="C00000"/>
          <w:sz w:val="20"/>
        </w:rPr>
        <w:t xml:space="preserve">Acción: </w:t>
      </w:r>
      <w:r>
        <w:rPr>
          <w:sz w:val="20"/>
        </w:rPr>
        <w:t>Costo unitario estándar vs precio de lista. Si persiste la pérdida: ajuste de precio esta semana o discontinuación.</w:t>
      </w:r>
    </w:p>
    <w:p>
      <w:pPr>
        <w:spacing w:before="200" w:after="60"/>
      </w:pPr>
      <w:r>
        <w:rPr>
          <w:b/>
          <w:color w:val="1F497D"/>
          <w:sz w:val="22"/>
        </w:rPr>
        <w:t>IMPORTANTE 5: Arriendos familiares</w:t>
      </w:r>
    </w:p>
    <w:p>
      <w:pPr>
        <w:spacing w:after="40"/>
      </w:pPr>
      <w:r>
        <w:rPr>
          <w:b/>
          <w:color w:val="C55A11"/>
          <w:sz w:val="20"/>
        </w:rPr>
        <w:t xml:space="preserve">Qué pasa: </w:t>
      </w:r>
      <w:r>
        <w:rPr>
          <w:sz w:val="20"/>
        </w:rPr>
        <w:t>Canon mensual pasó de ~$20M a ~$85M/mes. Total período: $81M (2025) → $335M (2026). Diferencia: +$254M.</w:t>
      </w:r>
    </w:p>
    <w:p>
      <w:pPr>
        <w:spacing w:after="40"/>
      </w:pPr>
      <w:r>
        <w:rPr>
          <w:b/>
          <w:color w:val="C55A11"/>
          <w:sz w:val="20"/>
        </w:rPr>
        <w:t xml:space="preserve">Evidencia: </w:t>
      </w:r>
      <w:r>
        <w:rPr>
          <w:sz w:val="20"/>
        </w:rPr>
        <w:t>Neto (descontando ingreso de arriendo recibido $155M): +$216M adicionales que no existían en 2025.</w:t>
      </w:r>
    </w:p>
    <w:p>
      <w:pPr>
        <w:spacing w:after="40"/>
      </w:pPr>
      <w:r>
        <w:rPr>
          <w:b/>
          <w:color w:val="C55A11"/>
          <w:sz w:val="20"/>
        </w:rPr>
        <w:t xml:space="preserve">Hipótesis: </w:t>
      </w:r>
      <w:r>
        <w:rPr>
          <w:sz w:val="20"/>
        </w:rPr>
        <w:t>A partir de agosto 2025 se incorporaron bodegas de la familia al contrato a precios potencialmente sobre mercado.</w:t>
      </w:r>
    </w:p>
    <w:p>
      <w:pPr>
        <w:spacing w:after="40"/>
      </w:pPr>
      <w:r>
        <w:rPr>
          <w:b/>
          <w:color w:val="C55A11"/>
          <w:sz w:val="20"/>
        </w:rPr>
        <w:t xml:space="preserve">Acción: </w:t>
      </w:r>
      <w:r>
        <w:rPr>
          <w:sz w:val="20"/>
        </w:rPr>
        <w:t>Obtener avalúo comercial de los inmuebles y comparar con canon actual. Negociar ajuste si está fuera de mercado.</w:t>
      </w:r>
    </w:p>
    <w:p>
      <w:pPr>
        <w:spacing w:before="200" w:after="60"/>
      </w:pPr>
      <w:r>
        <w:rPr>
          <w:b/>
          <w:color w:val="1F497D"/>
          <w:sz w:val="22"/>
        </w:rPr>
        <w:t>IMPORTANTE 6: Mantenimientos y herramientas</w:t>
      </w:r>
    </w:p>
    <w:p>
      <w:pPr>
        <w:spacing w:after="40"/>
      </w:pPr>
      <w:r>
        <w:rPr>
          <w:b/>
          <w:color w:val="C55A11"/>
          <w:sz w:val="20"/>
        </w:rPr>
        <w:t xml:space="preserve">Qué pasa: </w:t>
      </w:r>
      <w:r>
        <w:rPr>
          <w:sz w:val="20"/>
        </w:rPr>
        <w:t>Mant. metalmecánica +$49M (+86.6%), herramientas +$51M (+253%). Solo en Abril: mant. $63M + herramientas $40M.</w:t>
      </w:r>
    </w:p>
    <w:p>
      <w:pPr>
        <w:spacing w:after="40"/>
      </w:pPr>
      <w:r>
        <w:rPr>
          <w:b/>
          <w:color w:val="C55A11"/>
          <w:sz w:val="20"/>
        </w:rPr>
        <w:t xml:space="preserve">Evidencia: </w:t>
      </w:r>
      <w:r>
        <w:rPr>
          <w:sz w:val="20"/>
        </w:rPr>
        <w:t>Reforma molde BSC225T $36M, repuesto punzonadora $5M, servomotor + herramientas Amada.</w:t>
      </w:r>
    </w:p>
    <w:p>
      <w:pPr>
        <w:spacing w:after="40"/>
      </w:pPr>
      <w:r>
        <w:rPr>
          <w:b/>
          <w:color w:val="C55A11"/>
          <w:sz w:val="20"/>
        </w:rPr>
        <w:t xml:space="preserve">Hipótesis: </w:t>
      </w:r>
      <w:r>
        <w:rPr>
          <w:sz w:val="20"/>
        </w:rPr>
        <w:t>Maquinaria envejecida o período de rodaje costoso del equipo Amada (consumibles de alta tecnología).</w:t>
      </w:r>
    </w:p>
    <w:p>
      <w:pPr>
        <w:spacing w:after="40"/>
      </w:pPr>
      <w:r>
        <w:rPr>
          <w:b/>
          <w:color w:val="C55A11"/>
          <w:sz w:val="20"/>
        </w:rPr>
        <w:t xml:space="preserve">Acción: </w:t>
      </w:r>
      <w:r>
        <w:rPr>
          <w:sz w:val="20"/>
        </w:rPr>
        <w:t>Presupuesto mensual de mantenimiento y herramientas. Evaluar si la inversión en Amada genera productividad que justifique el costo.</w:t>
      </w:r>
    </w:p>
    <w:p>
      <w:pPr>
        <w:spacing w:before="200" w:after="60"/>
      </w:pPr>
      <w:r>
        <w:rPr>
          <w:b/>
          <w:color w:val="1F497D"/>
          <w:sz w:val="22"/>
        </w:rPr>
        <w:t>SEGUIMIENTO 7: Ingresos financieros cayendo</w:t>
      </w:r>
    </w:p>
    <w:p>
      <w:pPr>
        <w:spacing w:after="40"/>
      </w:pPr>
      <w:r>
        <w:rPr>
          <w:b/>
          <w:color w:val="7030A0"/>
          <w:sz w:val="20"/>
        </w:rPr>
        <w:t xml:space="preserve">Qué pasa: </w:t>
      </w:r>
      <w:r>
        <w:rPr>
          <w:sz w:val="20"/>
        </w:rPr>
        <w:t>De $173M en 2025 a $85M en 2026 (-$88M, -51%).</w:t>
      </w:r>
    </w:p>
    <w:p>
      <w:pPr>
        <w:spacing w:after="40"/>
      </w:pPr>
      <w:r>
        <w:rPr>
          <w:b/>
          <w:color w:val="7030A0"/>
          <w:sz w:val="20"/>
        </w:rPr>
        <w:t xml:space="preserve">Evidencia: </w:t>
      </w:r>
      <w:r>
        <w:rPr>
          <w:sz w:val="20"/>
        </w:rPr>
        <w:t>Señal de menor caja disponible para inversión.</w:t>
      </w:r>
    </w:p>
    <w:p>
      <w:pPr>
        <w:spacing w:after="40"/>
      </w:pPr>
      <w:r>
        <w:rPr>
          <w:b/>
          <w:color w:val="7030A0"/>
          <w:sz w:val="20"/>
        </w:rPr>
        <w:t xml:space="preserve">Hipótesis: </w:t>
      </w:r>
      <w:r>
        <w:rPr>
          <w:sz w:val="20"/>
        </w:rPr>
        <w:t>Mayor capital de trabajo comprometido en inventario de varillas reduce la caja disponible.</w:t>
      </w:r>
    </w:p>
    <w:p>
      <w:pPr>
        <w:spacing w:after="40"/>
      </w:pPr>
      <w:r>
        <w:rPr>
          <w:b/>
          <w:color w:val="7030A0"/>
          <w:sz w:val="20"/>
        </w:rPr>
        <w:t xml:space="preserve">Acción: </w:t>
      </w:r>
      <w:r>
        <w:rPr>
          <w:sz w:val="20"/>
        </w:rPr>
        <w:t>Revisar el ciclo de conversión de caja, especialmente días de inventario en varillas.</w:t>
      </w:r>
    </w:p>
    <w:p>
      <w:r>
        <w:br w:type="page"/>
      </w:r>
    </w:p>
    <w:p>
      <w:pPr>
        <w:spacing w:before="360" w:after="120"/>
        <w:pBdr>
          <w:bottom w:val="single" w:sz="8" w:space="1" w:color="1F497D"/>
        </w:pBdr>
      </w:pPr>
      <w:r>
        <w:rPr>
          <w:b/>
          <w:color w:val="1F497D"/>
          <w:sz w:val="32"/>
        </w:rPr>
        <w:t>PARTE 8: RESPUESTA TIPO DUEÑO / CFO</w:t>
      </w:r>
    </w:p>
    <w:p>
      <w:pPr>
        <w:spacing w:before="280" w:after="80"/>
      </w:pPr>
      <w:r>
        <w:rPr>
          <w:b/>
          <w:color w:val="2E75B6"/>
          <w:sz w:val="26"/>
        </w:rPr>
        <w:t>5 Decisiones para Esta Semana</w:t>
      </w:r>
    </w:p>
    <w:p>
      <w:pPr>
        <w:spacing w:before="120" w:after="40"/>
      </w:pPr>
      <w:r>
        <w:rPr>
          <w:b/>
          <w:color w:val="C00000"/>
          <w:sz w:val="20"/>
        </w:rPr>
        <w:t xml:space="preserve">DECISIÓN 1 — HOY: </w:t>
      </w:r>
      <w:r>
        <w:rPr>
          <w:b/>
          <w:color w:val="1F497D"/>
          <w:sz w:val="20"/>
        </w:rPr>
        <w:t>Auditar y controlar los gastos de la familia.</w:t>
      </w:r>
    </w:p>
    <w:p>
      <w:pPr>
        <w:spacing w:after="80" w:before="0"/>
        <w:ind w:left="283"/>
      </w:pPr>
      <w:r>
        <w:rPr>
          <w:b w:val="0"/>
          <w:sz w:val="20"/>
        </w:rPr>
        <w:t>En 2025: $41M/mes promedio. En 2026: $258M/mes promedio. Convocar reunión con el dueño/familia, presentar los números crudos, y establecer un límite fijo de $80-100M/mes hasta tanto la utilidad neta no recupere el 15%+ de ventas. Sin esta decisión, todo lo demás es cosmético.</w:t>
      </w:r>
    </w:p>
    <w:p>
      <w:pPr>
        <w:spacing w:before="120" w:after="40"/>
      </w:pPr>
      <w:r>
        <w:rPr>
          <w:b/>
          <w:color w:val="C00000"/>
          <w:sz w:val="20"/>
        </w:rPr>
        <w:t xml:space="preserve">DECISIÓN 2 — ESTA SEMANA: </w:t>
      </w:r>
      <w:r>
        <w:rPr>
          <w:b/>
          <w:color w:val="1F497D"/>
          <w:sz w:val="20"/>
        </w:rPr>
        <w:t>Precio mínimo de venta para varillas.</w:t>
      </w:r>
    </w:p>
    <w:p>
      <w:pPr>
        <w:spacing w:after="80" w:before="0"/>
        <w:ind w:left="283"/>
      </w:pPr>
      <w:r>
        <w:rPr>
          <w:b w:val="0"/>
          <w:sz w:val="20"/>
        </w:rPr>
        <w:t>Calcular el costo completo: precio de importación + aranceles + fletes + financiación del inventario a tasa vigente + asignación de gastos generales. Con $2,251M en ventas al 9.1% de margen ($204M de UB), cualquier gasto adicional no asignado lleva a pérdida neta. Si el mercado no permite ese mínimo, reducir la próxima orden de importación a la mitad.</w:t>
      </w:r>
    </w:p>
    <w:p>
      <w:pPr>
        <w:spacing w:before="120" w:after="40"/>
      </w:pPr>
      <w:r>
        <w:rPr>
          <w:b/>
          <w:color w:val="C00000"/>
          <w:sz w:val="20"/>
        </w:rPr>
        <w:t xml:space="preserve">DECISIÓN 3 — ESTA SEMANA: </w:t>
      </w:r>
      <w:r>
        <w:rPr>
          <w:b/>
          <w:color w:val="1F497D"/>
          <w:sz w:val="20"/>
        </w:rPr>
        <w:t>Lista de precios de CE-125 y Adaptadores.</w:t>
      </w:r>
    </w:p>
    <w:p>
      <w:pPr>
        <w:spacing w:after="80" w:before="0"/>
        <w:ind w:left="283"/>
      </w:pPr>
      <w:r>
        <w:rPr>
          <w:b w:val="0"/>
          <w:sz w:val="20"/>
        </w:rPr>
        <w:t>Solicitar el costo unitario estándar actualizado y compararlo con el precio de lista. Si el precio sigue por debajo del costo, comunicar al equipo comercial el nuevo precio mínimo esta misma semana. No aceptar más pedidos al precio actual.</w:t>
      </w:r>
    </w:p>
    <w:p>
      <w:pPr>
        <w:spacing w:before="120" w:after="40"/>
      </w:pPr>
      <w:r>
        <w:rPr>
          <w:b/>
          <w:color w:val="C00000"/>
          <w:sz w:val="20"/>
        </w:rPr>
        <w:t xml:space="preserve">DECISIÓN 4 — ESTA SEMANA: </w:t>
      </w:r>
      <w:r>
        <w:rPr>
          <w:b/>
          <w:color w:val="1F497D"/>
          <w:sz w:val="20"/>
        </w:rPr>
        <w:t>Revisar el contrato de arriendo de bodegas.</w:t>
      </w:r>
    </w:p>
    <w:p>
      <w:pPr>
        <w:spacing w:after="80" w:before="0"/>
        <w:ind w:left="283"/>
      </w:pPr>
      <w:r>
        <w:rPr>
          <w:b w:val="0"/>
          <w:sz w:val="20"/>
        </w:rPr>
        <w:t>El canon mensual subió de ~$20M a ~$85M/mes (+4.2x en un año). Solicitar el contrato físico, el avalúo comercial, y comparar con 3 cotizaciones de bodegas similares en el mismo sector. Si está fuera de mercado, negociar con la familia una reducción o congelación por 12 meses.</w:t>
      </w:r>
    </w:p>
    <w:p>
      <w:pPr>
        <w:spacing w:before="120" w:after="40"/>
      </w:pPr>
      <w:r>
        <w:rPr>
          <w:b/>
          <w:color w:val="C00000"/>
          <w:sz w:val="20"/>
        </w:rPr>
        <w:t xml:space="preserve">DECISIÓN 5 — ESTA SEMANA: </w:t>
      </w:r>
      <w:r>
        <w:rPr>
          <w:b/>
          <w:color w:val="1F497D"/>
          <w:sz w:val="20"/>
        </w:rPr>
        <w:t>Congelar contrataciones y revisar MOI.</w:t>
      </w:r>
    </w:p>
    <w:p>
      <w:pPr>
        <w:spacing w:after="80" w:before="0"/>
        <w:ind w:left="283"/>
      </w:pPr>
      <w:r>
        <w:rPr>
          <w:b w:val="0"/>
          <w:sz w:val="20"/>
        </w:rPr>
        <w:t>El personal indirecto subió de 36 a 42 personas (+$195M anualizados). Antes de aprobar cualquier nueva vinculación, cada una de las 6 posiciones adicionales debe tener métricas de desempeño y un análisis de retorno.</w:t>
      </w:r>
    </w:p>
    <w:p>
      <w:pPr>
        <w:spacing w:before="280" w:after="80"/>
      </w:pPr>
      <w:r>
        <w:rPr>
          <w:b/>
          <w:color w:val="2E75B6"/>
          <w:sz w:val="26"/>
        </w:rPr>
        <w:t>Indicadores a Monitorear Semanalmente</w:t>
      </w:r>
    </w:p>
    <w:tbl>
      <w:tblPr>
        <w:tblStyle w:val="TableGrid"/>
        <w:tblW w:type="auto" w:w="0"/>
        <w:jc w:val="center"/>
        <w:tblLook w:firstColumn="1" w:firstRow="1" w:lastColumn="0" w:lastRow="0" w:noHBand="0" w:noVBand="1" w:val="04A0"/>
      </w:tblPr>
      <w:tblGrid>
        <w:gridCol w:w="3249"/>
        <w:gridCol w:w="3249"/>
        <w:gridCol w:w="3249"/>
      </w:tblGrid>
      <w:tr>
        <w:tc>
          <w:tcPr>
            <w:tcW w:type="dxa" w:w="4535"/>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Indicador</w:t>
            </w:r>
          </w:p>
        </w:tc>
        <w:tc>
          <w:tcPr>
            <w:tcW w:type="dxa" w:w="1701"/>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Frecuencia</w:t>
            </w:r>
          </w:p>
        </w:tc>
        <w:tc>
          <w:tcPr>
            <w:tcW w:type="dxa" w:w="2608"/>
            <w:shd w:val="clear" w:color="auto" w:fill="1F497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center"/>
            </w:pPr>
            <w:r>
              <w:rPr>
                <w:b/>
                <w:color w:val="FFFFFF"/>
                <w:sz w:val="18"/>
              </w:rPr>
              <w:t>Responsable</w:t>
            </w:r>
          </w:p>
        </w:tc>
      </w:tr>
      <w:tr>
        <w:tc>
          <w:tcPr>
            <w:tcW w:type="dxa" w:w="4535"/>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Ventas por línea (fabricados vs comercializados)</w:t>
            </w:r>
          </w:p>
        </w:tc>
        <w:tc>
          <w:tcPr>
            <w:tcW w:type="dxa" w:w="170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Semanal viernes</w:t>
            </w:r>
          </w:p>
        </w:tc>
        <w:tc>
          <w:tcPr>
            <w:tcW w:type="dxa" w:w="2608"/>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Gerente Comercial</w:t>
            </w:r>
          </w:p>
        </w:tc>
      </w:tr>
      <w:tr>
        <w:tc>
          <w:tcPr>
            <w:tcW w:type="dxa" w:w="4535"/>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b/>
                <w:color w:val="000000"/>
                <w:sz w:val="18"/>
              </w:rPr>
              <w:t>Mix comercializados / total ventas (hoy: 20.9%)</w:t>
            </w:r>
          </w:p>
        </w:tc>
        <w:tc>
          <w:tcPr>
            <w:tcW w:type="dxa" w:w="170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Semanal</w:t>
            </w:r>
          </w:p>
        </w:tc>
        <w:tc>
          <w:tcPr>
            <w:tcW w:type="dxa" w:w="2608"/>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b/>
                <w:color w:val="000000"/>
                <w:sz w:val="18"/>
              </w:rPr>
              <w:t>Gerente Comercial</w:t>
            </w:r>
          </w:p>
        </w:tc>
      </w:tr>
      <w:tr>
        <w:tc>
          <w:tcPr>
            <w:tcW w:type="dxa" w:w="4535"/>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Margen bruto % estimado por línea</w:t>
            </w:r>
          </w:p>
        </w:tc>
        <w:tc>
          <w:tcPr>
            <w:tcW w:type="dxa" w:w="170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Quincenal</w:t>
            </w:r>
          </w:p>
        </w:tc>
        <w:tc>
          <w:tcPr>
            <w:tcW w:type="dxa" w:w="2608"/>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Controller</w:t>
            </w:r>
          </w:p>
        </w:tc>
      </w:tr>
      <w:tr>
        <w:tc>
          <w:tcPr>
            <w:tcW w:type="dxa" w:w="4535"/>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Costos de producción vs presupuesto (hoy: $1,110M/mes)</w:t>
            </w:r>
          </w:p>
        </w:tc>
        <w:tc>
          <w:tcPr>
            <w:tcW w:type="dxa" w:w="170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Mensual día 5</w:t>
            </w:r>
          </w:p>
        </w:tc>
        <w:tc>
          <w:tcPr>
            <w:tcW w:type="dxa" w:w="2608"/>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Jefe Prod. / Controller</w:t>
            </w:r>
          </w:p>
        </w:tc>
      </w:tr>
      <w:tr>
        <w:tc>
          <w:tcPr>
            <w:tcW w:type="dxa" w:w="4535"/>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 personas MOD y MOI (hoy: 104 + 42)</w:t>
            </w:r>
          </w:p>
        </w:tc>
        <w:tc>
          <w:tcPr>
            <w:tcW w:type="dxa" w:w="170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Semanal lunes</w:t>
            </w:r>
          </w:p>
        </w:tc>
        <w:tc>
          <w:tcPr>
            <w:tcW w:type="dxa" w:w="2608"/>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RRHH</w:t>
            </w:r>
          </w:p>
        </w:tc>
      </w:tr>
      <w:tr>
        <w:tc>
          <w:tcPr>
            <w:tcW w:type="dxa" w:w="4535"/>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Gastos familiares del mes (hoy: $258M/mes promedio)</w:t>
            </w:r>
          </w:p>
        </w:tc>
        <w:tc>
          <w:tcPr>
            <w:tcW w:type="dxa" w:w="170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Mensual</w:t>
            </w:r>
          </w:p>
        </w:tc>
        <w:tc>
          <w:tcPr>
            <w:tcW w:type="dxa" w:w="2608"/>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Gerente Financiero</w:t>
            </w:r>
          </w:p>
        </w:tc>
      </w:tr>
      <w:tr>
        <w:tc>
          <w:tcPr>
            <w:tcW w:type="dxa" w:w="4535"/>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Precio varillas vs costo real (incluyendo financiación)</w:t>
            </w:r>
          </w:p>
        </w:tc>
        <w:tc>
          <w:tcPr>
            <w:tcW w:type="dxa" w:w="1701"/>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Semanal</w:t>
            </w:r>
          </w:p>
        </w:tc>
        <w:tc>
          <w:tcPr>
            <w:tcW w:type="dxa" w:w="2608"/>
            <w:shd w:val="clear" w:color="auto" w:fill="FFFFFF"/>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Gerente Compras</w:t>
            </w:r>
          </w:p>
        </w:tc>
      </w:tr>
      <w:tr>
        <w:tc>
          <w:tcPr>
            <w:tcW w:type="dxa" w:w="4535"/>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left"/>
            </w:pPr>
            <w:r>
              <w:rPr>
                <w:color w:val="000000"/>
                <w:sz w:val="18"/>
              </w:rPr>
              <w:t>Días de inventario + días de cartera</w:t>
            </w:r>
          </w:p>
        </w:tc>
        <w:tc>
          <w:tcPr>
            <w:tcW w:type="dxa" w:w="1701"/>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Semanal</w:t>
            </w:r>
          </w:p>
        </w:tc>
        <w:tc>
          <w:tcPr>
            <w:tcW w:type="dxa" w:w="2608"/>
            <w:shd w:val="clear" w:color="auto" w:fill="F2F2F2"/>
            <w:tcBorders>
              <w:top w:val="single" w:sz="4" w:space="0" w:color="2E75B6"/>
              <w:left w:val="single" w:sz="4" w:space="0" w:color="2E75B6"/>
              <w:bottom w:val="single" w:sz="4" w:space="0" w:color="2E75B6"/>
              <w:right w:val="single" w:sz="4" w:space="0" w:color="2E75B6"/>
              <w:insideH w:val="single" w:sz="4" w:space="0" w:color="2E75B6"/>
              <w:insideV w:val="single" w:sz="4" w:space="0" w:color="2E75B6"/>
            </w:tcBorders>
          </w:tcPr>
          <w:p>
            <w:pPr>
              <w:jc w:val="right"/>
            </w:pPr>
            <w:r>
              <w:rPr>
                <w:color w:val="000000"/>
                <w:sz w:val="18"/>
              </w:rPr>
              <w:t>Tesorero</w:t>
            </w:r>
          </w:p>
        </w:tc>
      </w:tr>
    </w:tbl>
    <w:p/>
    <w:p>
      <w:r>
        <w:br w:type="page"/>
      </w:r>
    </w:p>
    <w:p>
      <w:pPr>
        <w:spacing w:before="360" w:after="120"/>
        <w:pBdr>
          <w:bottom w:val="single" w:sz="8" w:space="1" w:color="1F497D"/>
        </w:pBdr>
      </w:pPr>
      <w:r>
        <w:rPr>
          <w:b/>
          <w:color w:val="1F497D"/>
          <w:sz w:val="32"/>
        </w:rPr>
        <w:t>CONCLUSIÓN FINAL</w:t>
      </w:r>
    </w:p>
    <w:tbl>
      <w:tblPr>
        <w:tblStyle w:val="TableGrid"/>
        <w:tblW w:type="auto" w:w="0"/>
        <w:tblLook w:firstColumn="1" w:firstRow="1" w:lastColumn="0" w:lastRow="0" w:noHBand="0" w:noVBand="1" w:val="04A0"/>
      </w:tblPr>
      <w:tblGrid>
        <w:gridCol w:w="9746"/>
      </w:tblGrid>
      <w:tr>
        <w:tc>
          <w:tcPr>
            <w:tcW w:type="dxa" w:w="9746"/>
            <w:shd w:val="clear" w:color="auto" w:fill="1F497D"/>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jc w:val="left"/>
            </w:pPr>
            <w:r>
              <w:rPr>
                <w:b/>
                <w:color w:val="FFFFFF"/>
                <w:sz w:val="20"/>
              </w:rPr>
              <w:t>El margen está cayendo principalmente por X, Y y Z:</w:t>
            </w:r>
          </w:p>
        </w:tc>
      </w:tr>
    </w:tbl>
    <w:p/>
    <w:p>
      <w:pPr>
        <w:spacing w:after="80" w:before="0"/>
        <w:ind w:left="0"/>
      </w:pPr>
      <w:r>
        <w:rPr>
          <w:b/>
          <w:color w:val="C00000"/>
          <w:sz w:val="20"/>
        </w:rPr>
        <w:t>X — Cambio radical de mix hacia varillas comercializadas al 9.1% de margen</w:t>
      </w:r>
    </w:p>
    <w:p>
      <w:pPr>
        <w:spacing w:after="80" w:before="0"/>
        <w:ind w:left="283"/>
      </w:pPr>
      <w:r>
        <w:rPr>
          <w:b w:val="0"/>
          <w:sz w:val="20"/>
        </w:rPr>
        <w:t>Las varillas pasaron de $271M (1.6% de ventas) a $2,251M (11.8% de ventas). Solo este efecto mezcla destruye 3-4 puntos porcentuales del margen bruto consolidado: se vende mucho más, pero cada peso adicional vendido en varillas aporta 4 veces menos utilidad que un peso en metalmecánica fabricada.</w:t>
      </w:r>
    </w:p>
    <w:p>
      <w:pPr>
        <w:spacing w:after="80" w:before="0"/>
        <w:ind w:left="0"/>
      </w:pPr>
      <w:r>
        <w:rPr>
          <w:b/>
          <w:color w:val="C00000"/>
          <w:sz w:val="20"/>
        </w:rPr>
        <w:t>Y — Explosión de costos de producción (+25.9%, +$913M) sobre un volumen de fabricados plano o en caída (-2.8%, -$374M)</w:t>
      </w:r>
    </w:p>
    <w:p>
      <w:pPr>
        <w:spacing w:after="80" w:before="0"/>
        <w:ind w:left="283"/>
      </w:pPr>
      <w:r>
        <w:rPr>
          <w:b w:val="0"/>
          <w:sz w:val="20"/>
        </w:rPr>
        <w:t>Liderado por arriendos familiares que se multiplicaron por 4 (+$254M), herramientas y mantenimientos que casi se triplicaron (+$100M), y contrataciones en MOI que no muestran aún retorno en productividad (+$195M anualizados).</w:t>
      </w:r>
    </w:p>
    <w:p>
      <w:pPr>
        <w:spacing w:after="80" w:before="0"/>
        <w:ind w:left="0"/>
      </w:pPr>
      <w:r>
        <w:rPr>
          <w:b/>
          <w:color w:val="C00000"/>
          <w:sz w:val="20"/>
        </w:rPr>
        <w:t>Z — Gastos de la familia que saltaron +311% (+$781M): de $251M a $1,032M en los mismos 4 meses</w:t>
      </w:r>
    </w:p>
    <w:p>
      <w:pPr>
        <w:spacing w:after="80" w:before="0"/>
        <w:ind w:left="283"/>
      </w:pPr>
      <w:r>
        <w:rPr>
          <w:b w:val="0"/>
          <w:sz w:val="20"/>
        </w:rPr>
        <w:t>El promedio mensual pasó de $63M a $258M. El negocio opera razonablemente bien a nivel de utilidad operacional ($2,919M, 15.3%), pero transfiere $1,032M fuera de la operación vía este renglón, dejando solo $1,626M (8.5%) como utilidad neta — menos de la mitad de lo que quedaba en 2025.</w:t>
      </w:r>
    </w:p>
    <w:p/>
    <w:tbl>
      <w:tblPr>
        <w:tblStyle w:val="TableGrid"/>
        <w:tblW w:type="auto" w:w="0"/>
        <w:tblLook w:firstColumn="1" w:firstRow="1" w:lastColumn="0" w:lastRow="0" w:noHBand="0" w:noVBand="1" w:val="04A0"/>
      </w:tblPr>
      <w:tblGrid>
        <w:gridCol w:w="9746"/>
      </w:tblGrid>
      <w:tr>
        <w:tc>
          <w:tcPr>
            <w:tcW w:type="dxa" w:w="9746"/>
            <w:shd w:val="clear" w:color="auto" w:fill="37861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jc w:val="left"/>
            </w:pPr>
            <w:r>
              <w:rPr>
                <w:b/>
                <w:color w:val="FFFFFF"/>
                <w:sz w:val="20"/>
              </w:rPr>
              <w:t>La situación es seria pero recuperable. El negocio core (metalmecánica fabricada) todavía opera al 36.1% de margen bruto, la capacidad instalada existe, y el crecimiento de ventas demuestra que hay demanda. Las tres causas identificadas tienen solución ejecutiva directa — no requieren una transformación de largo plazo, requieren decisiones esta semana.</w:t>
            </w:r>
          </w:p>
        </w:tc>
      </w:tr>
    </w:tbl>
    <w:p/>
    <w:p>
      <w:pPr>
        <w:spacing w:before="360" w:after="120"/>
        <w:pBdr>
          <w:bottom w:val="single" w:sz="8" w:space="1" w:color="1F497D"/>
        </w:pBdr>
      </w:pPr>
      <w:r>
        <w:rPr>
          <w:b/>
          <w:color w:val="1F497D"/>
          <w:sz w:val="32"/>
        </w:rPr>
        <w:t>5 PREGUNTAS CRÍTICAS PARA INVESTIGAR INTERNAMENTE</w:t>
      </w:r>
    </w:p>
    <w:tbl>
      <w:tblPr>
        <w:tblStyle w:val="TableGrid"/>
        <w:tblW w:type="auto" w:w="0"/>
        <w:tblLook w:firstColumn="1" w:firstRow="1" w:lastColumn="0" w:lastRow="0" w:noHBand="0" w:noVBand="1" w:val="04A0"/>
      </w:tblPr>
      <w:tblGrid>
        <w:gridCol w:w="4873"/>
        <w:gridCol w:w="4873"/>
      </w:tblGrid>
      <w:tr>
        <w:tc>
          <w:tcPr>
            <w:tcW w:type="dxa" w:w="454"/>
            <w:shd w:val="clear" w:color="auto" w:fill="2E75B6"/>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tcPr>
          <w:p>
            <w:pPr>
              <w:jc w:val="center"/>
            </w:pPr>
            <w:r>
              <w:rPr>
                <w:b/>
                <w:color w:val="FFFFFF"/>
                <w:sz w:val="32"/>
              </w:rPr>
              <w:t>?</w:t>
            </w:r>
          </w:p>
        </w:tc>
        <w:tc>
          <w:tcPr>
            <w:tcW w:type="dxa" w:w="4873"/>
            <w:shd w:val="clear" w:color="auto" w:fill="F2F2F2"/>
            <w:tcBorders>
              <w:top w:val="single" w:sz="2" w:space="0" w:color="CCCCCC"/>
              <w:left w:val="single" w:sz="2" w:space="0" w:color="CCCCCC"/>
              <w:bottom w:val="single" w:sz="2" w:space="0" w:color="CCCCCC"/>
              <w:right w:val="single" w:sz="2" w:space="0" w:color="CCCCCC"/>
              <w:insideH w:val="single" w:sz="2" w:space="0" w:color="CCCCCC"/>
              <w:insideV w:val="single" w:sz="2" w:space="0" w:color="CCCCCC"/>
            </w:tcBorders>
          </w:tcPr>
          <w:p>
            <w:r>
              <w:rPr>
                <w:sz w:val="20"/>
              </w:rPr>
              <w:t>1. ¿Por qué "de personal familia" subió de $164M a $968M en los mismos 4 meses (+$804M)? ¿Se incorporaron nuevos miembros a nómina, se aumentaron salarios de los existentes, o se están pagando dividendos/anticipos/reembolsos a través de nómina? ¿Existe una política aprobada por junta directiva para esto?</w:t>
            </w:r>
          </w:p>
        </w:tc>
      </w:tr>
    </w:tbl>
    <w:p>
      <w:pPr>
        <w:spacing w:after="40"/>
      </w:pPr>
    </w:p>
    <w:tbl>
      <w:tblPr>
        <w:tblStyle w:val="TableGrid"/>
        <w:tblW w:type="auto" w:w="0"/>
        <w:tblLook w:firstColumn="1" w:firstRow="1" w:lastColumn="0" w:lastRow="0" w:noHBand="0" w:noVBand="1" w:val="04A0"/>
      </w:tblPr>
      <w:tblGrid>
        <w:gridCol w:w="4873"/>
        <w:gridCol w:w="4873"/>
      </w:tblGrid>
      <w:tr>
        <w:tc>
          <w:tcPr>
            <w:tcW w:type="dxa" w:w="454"/>
            <w:shd w:val="clear" w:color="auto" w:fill="2E75B6"/>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tcPr>
          <w:p>
            <w:pPr>
              <w:jc w:val="center"/>
            </w:pPr>
            <w:r>
              <w:rPr>
                <w:b/>
                <w:color w:val="FFFFFF"/>
                <w:sz w:val="32"/>
              </w:rPr>
              <w:t>?</w:t>
            </w:r>
          </w:p>
        </w:tc>
        <w:tc>
          <w:tcPr>
            <w:tcW w:type="dxa" w:w="4873"/>
            <w:shd w:val="clear" w:color="auto" w:fill="F2F2F2"/>
            <w:tcBorders>
              <w:top w:val="single" w:sz="2" w:space="0" w:color="CCCCCC"/>
              <w:left w:val="single" w:sz="2" w:space="0" w:color="CCCCCC"/>
              <w:bottom w:val="single" w:sz="2" w:space="0" w:color="CCCCCC"/>
              <w:right w:val="single" w:sz="2" w:space="0" w:color="CCCCCC"/>
              <w:insideH w:val="single" w:sz="2" w:space="0" w:color="CCCCCC"/>
              <w:insideV w:val="single" w:sz="2" w:space="0" w:color="CCCCCC"/>
            </w:tcBorders>
          </w:tcPr>
          <w:p>
            <w:r>
              <w:rPr>
                <w:sz w:val="20"/>
              </w:rPr>
              <w:t>2. ¿Cuál es el plan de compra de varillas para los próximos 6 meses y cuál es el precio mínimo de venta aprobado? ¿Quién tomó la decisión de crecer de $271M a $2,251M en varillas (+731.7%) sin calcular el impacto en el margen consolidado? ¿Existe un análisis de rentabilidad integral incluyendo el costo financiero del inventario?</w:t>
            </w:r>
          </w:p>
        </w:tc>
      </w:tr>
    </w:tbl>
    <w:p>
      <w:pPr>
        <w:spacing w:after="40"/>
      </w:pPr>
    </w:p>
    <w:tbl>
      <w:tblPr>
        <w:tblStyle w:val="TableGrid"/>
        <w:tblW w:type="auto" w:w="0"/>
        <w:tblLook w:firstColumn="1" w:firstRow="1" w:lastColumn="0" w:lastRow="0" w:noHBand="0" w:noVBand="1" w:val="04A0"/>
      </w:tblPr>
      <w:tblGrid>
        <w:gridCol w:w="4873"/>
        <w:gridCol w:w="4873"/>
      </w:tblGrid>
      <w:tr>
        <w:tc>
          <w:tcPr>
            <w:tcW w:type="dxa" w:w="454"/>
            <w:shd w:val="clear" w:color="auto" w:fill="2E75B6"/>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tcPr>
          <w:p>
            <w:pPr>
              <w:jc w:val="center"/>
            </w:pPr>
            <w:r>
              <w:rPr>
                <w:b/>
                <w:color w:val="FFFFFF"/>
                <w:sz w:val="32"/>
              </w:rPr>
              <w:t>?</w:t>
            </w:r>
          </w:p>
        </w:tc>
        <w:tc>
          <w:tcPr>
            <w:tcW w:type="dxa" w:w="4873"/>
            <w:shd w:val="clear" w:color="auto" w:fill="F2F2F2"/>
            <w:tcBorders>
              <w:top w:val="single" w:sz="2" w:space="0" w:color="CCCCCC"/>
              <w:left w:val="single" w:sz="2" w:space="0" w:color="CCCCCC"/>
              <w:bottom w:val="single" w:sz="2" w:space="0" w:color="CCCCCC"/>
              <w:right w:val="single" w:sz="2" w:space="0" w:color="CCCCCC"/>
              <w:insideH w:val="single" w:sz="2" w:space="0" w:color="CCCCCC"/>
              <w:insideV w:val="single" w:sz="2" w:space="0" w:color="CCCCCC"/>
            </w:tcBorders>
          </w:tcPr>
          <w:p>
            <w:r>
              <w:rPr>
                <w:sz w:val="20"/>
              </w:rPr>
              <w:t>3. ¿Cuál es la causa exacta del derrumbe de margen en Fabricado Plástico (32.8% → 18.4%)? La MP plástica subió $529M (+38.9%) pero las ventas solo crecieron +$219M (+10.5%). ¿Es precio de resinas, impuesto al plástico, scrap elevado, cambio de proveedor, o carga de reforma de moldes al período?</w:t>
            </w:r>
          </w:p>
        </w:tc>
      </w:tr>
    </w:tbl>
    <w:p>
      <w:pPr>
        <w:spacing w:after="40"/>
      </w:pPr>
    </w:p>
    <w:tbl>
      <w:tblPr>
        <w:tblStyle w:val="TableGrid"/>
        <w:tblW w:type="auto" w:w="0"/>
        <w:tblLook w:firstColumn="1" w:firstRow="1" w:lastColumn="0" w:lastRow="0" w:noHBand="0" w:noVBand="1" w:val="04A0"/>
      </w:tblPr>
      <w:tblGrid>
        <w:gridCol w:w="4873"/>
        <w:gridCol w:w="4873"/>
      </w:tblGrid>
      <w:tr>
        <w:tc>
          <w:tcPr>
            <w:tcW w:type="dxa" w:w="454"/>
            <w:shd w:val="clear" w:color="auto" w:fill="2E75B6"/>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tcPr>
          <w:p>
            <w:pPr>
              <w:jc w:val="center"/>
            </w:pPr>
            <w:r>
              <w:rPr>
                <w:b/>
                <w:color w:val="FFFFFF"/>
                <w:sz w:val="32"/>
              </w:rPr>
              <w:t>?</w:t>
            </w:r>
          </w:p>
        </w:tc>
        <w:tc>
          <w:tcPr>
            <w:tcW w:type="dxa" w:w="4873"/>
            <w:shd w:val="clear" w:color="auto" w:fill="F2F2F2"/>
            <w:tcBorders>
              <w:top w:val="single" w:sz="2" w:space="0" w:color="CCCCCC"/>
              <w:left w:val="single" w:sz="2" w:space="0" w:color="CCCCCC"/>
              <w:bottom w:val="single" w:sz="2" w:space="0" w:color="CCCCCC"/>
              <w:right w:val="single" w:sz="2" w:space="0" w:color="CCCCCC"/>
              <w:insideH w:val="single" w:sz="2" w:space="0" w:color="CCCCCC"/>
              <w:insideV w:val="single" w:sz="2" w:space="0" w:color="CCCCCC"/>
            </w:tcBorders>
          </w:tcPr>
          <w:p>
            <w:r>
              <w:rPr>
                <w:sz w:val="20"/>
              </w:rPr>
              <w:t>4. ¿Qué son los $185M en "extraordinarios" de gastos no operacionales y los $408M en intereses de Marzo 2026? En 2025 el total de intereses acumulados en 4 meses fue $147M. ¿Son ajustes contables puntuales? ¿La empresa tiene deuda financiera nueva?</w:t>
            </w:r>
          </w:p>
        </w:tc>
      </w:tr>
    </w:tbl>
    <w:p>
      <w:pPr>
        <w:spacing w:after="40"/>
      </w:pPr>
    </w:p>
    <w:tbl>
      <w:tblPr>
        <w:tblStyle w:val="TableGrid"/>
        <w:tblW w:type="auto" w:w="0"/>
        <w:tblLook w:firstColumn="1" w:firstRow="1" w:lastColumn="0" w:lastRow="0" w:noHBand="0" w:noVBand="1" w:val="04A0"/>
      </w:tblPr>
      <w:tblGrid>
        <w:gridCol w:w="4873"/>
        <w:gridCol w:w="4873"/>
      </w:tblGrid>
      <w:tr>
        <w:tc>
          <w:tcPr>
            <w:tcW w:type="dxa" w:w="454"/>
            <w:shd w:val="clear" w:color="auto" w:fill="2E75B6"/>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tcPr>
          <w:p>
            <w:pPr>
              <w:jc w:val="center"/>
            </w:pPr>
            <w:r>
              <w:rPr>
                <w:b/>
                <w:color w:val="FFFFFF"/>
                <w:sz w:val="32"/>
              </w:rPr>
              <w:t>?</w:t>
            </w:r>
          </w:p>
        </w:tc>
        <w:tc>
          <w:tcPr>
            <w:tcW w:type="dxa" w:w="4873"/>
            <w:shd w:val="clear" w:color="auto" w:fill="F2F2F2"/>
            <w:tcBorders>
              <w:top w:val="single" w:sz="2" w:space="0" w:color="CCCCCC"/>
              <w:left w:val="single" w:sz="2" w:space="0" w:color="CCCCCC"/>
              <w:bottom w:val="single" w:sz="2" w:space="0" w:color="CCCCCC"/>
              <w:right w:val="single" w:sz="2" w:space="0" w:color="CCCCCC"/>
              <w:insideH w:val="single" w:sz="2" w:space="0" w:color="CCCCCC"/>
              <w:insideV w:val="single" w:sz="2" w:space="0" w:color="CCCCCC"/>
            </w:tcBorders>
          </w:tcPr>
          <w:p>
            <w:r>
              <w:rPr>
                <w:sz w:val="20"/>
              </w:rPr>
              <w:t>5. ¿Cuál es la justificación del canon de arriendo de bodegas familiares a $85M/mes? ¿Se realizó un avalúo comercial? ¿El valor está dentro del rango de mercado para bodegas industriales en esa zona? ¿El ingreso de $155M por arrendamiento que aparece como no operacional corresponde a las mismas bodegas u otras?</w:t>
            </w:r>
          </w:p>
        </w:tc>
      </w:tr>
    </w:tbl>
    <w:p>
      <w:pPr>
        <w:spacing w:after="40"/>
      </w:pPr>
    </w:p>
    <w:p/>
    <w:p>
      <w:pPr>
        <w:jc w:val="center"/>
      </w:pPr>
      <w:r>
        <w:rPr>
          <w:i/>
          <w:color w:val="808080"/>
          <w:sz w:val="16"/>
        </w:rPr>
        <w:t>Análisis construido exclusivamente sobre los datos de los archivos proporcionados. Todas las cifras en millones de pesos colombianos (COP $M).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