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usuario debe poder elegir el tipo de fichero externo.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tipo de fichero externo se puede asociar con la herramienta que produce ese tipo de fichero.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software debe acceder a ficheros externos creados por otras herramientas.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tipo de fichero externo puede ser representado por un icono en la barra de herramientas.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/>
      </w:pPr>
      <w:commentRangeStart w:id="0"/>
      <w:r w:rsidDel="00000000" w:rsidR="00000000" w:rsidRPr="00000000">
        <w:rPr>
          <w:rtl w:val="0"/>
        </w:rPr>
        <w:t xml:space="preserve">Usuario.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icono puede ser definido por el usuario.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/>
      </w:pPr>
      <w:commentRangeStart w:id="1"/>
      <w:r w:rsidDel="00000000" w:rsidR="00000000" w:rsidRPr="00000000">
        <w:rPr>
          <w:rtl w:val="0"/>
        </w:rPr>
        <w:t xml:space="preserve">Sistema.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el usuario selecciona uno de estos iconos el efecto es aplicar la herramienta asociada a ese tipo de fichero.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Sistema.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Cesar Alejandro Solano Suarez.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Alexander Toro Serrano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oelia Molero" w:id="0" w:date="2021-10-18T11:52:2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</w:t>
      </w:r>
    </w:p>
  </w:comment>
  <w:comment w:author="Noelia Molero" w:id="1" w:date="2021-10-18T11:52:37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¿Son requisitos de usuario o de sistema?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zx21student027@colegiovalledelmiro.e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