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27" w:rsidRPr="00980B07" w:rsidRDefault="00DC0227" w:rsidP="00DC0227">
      <w:pPr>
        <w:rPr>
          <w:rFonts w:ascii="Times New Roman" w:hAnsi="Times New Roman"/>
          <w:b/>
          <w:sz w:val="28"/>
          <w:szCs w:val="28"/>
        </w:rPr>
      </w:pPr>
      <w:r w:rsidRPr="00980B07">
        <w:rPr>
          <w:rFonts w:ascii="Times New Roman" w:hAnsi="Times New Roman"/>
          <w:sz w:val="28"/>
          <w:szCs w:val="28"/>
        </w:rPr>
        <w:t>Last Name_____________                      First Name_____________</w:t>
      </w:r>
    </w:p>
    <w:p w:rsidR="00DC0227" w:rsidRPr="00980B07" w:rsidRDefault="00DC0227" w:rsidP="00DC0227">
      <w:pPr>
        <w:jc w:val="center"/>
        <w:rPr>
          <w:rFonts w:ascii="Times New Roman" w:hAnsi="Times New Roman"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1468C6">
      <w:pPr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  <w:r w:rsidRPr="00980B07">
        <w:rPr>
          <w:rFonts w:ascii="Times New Roman" w:hAnsi="Times New Roman"/>
          <w:b/>
          <w:sz w:val="28"/>
          <w:szCs w:val="28"/>
        </w:rPr>
        <w:t>Math 1070</w:t>
      </w: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  <w:r w:rsidRPr="00980B07">
        <w:rPr>
          <w:rFonts w:ascii="Times New Roman" w:hAnsi="Times New Roman"/>
          <w:b/>
          <w:sz w:val="28"/>
          <w:szCs w:val="28"/>
        </w:rPr>
        <w:t>Midterm Examination I</w:t>
      </w:r>
    </w:p>
    <w:p w:rsidR="00DC0227" w:rsidRPr="00980B07" w:rsidRDefault="00DC0227" w:rsidP="00DC02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0227" w:rsidRPr="00980B07" w:rsidRDefault="00DC0227" w:rsidP="00DC0227">
      <w:pPr>
        <w:jc w:val="center"/>
        <w:rPr>
          <w:rFonts w:ascii="Times New Roman" w:hAnsi="Times New Roman"/>
          <w:sz w:val="28"/>
          <w:szCs w:val="28"/>
        </w:rPr>
      </w:pPr>
    </w:p>
    <w:p w:rsidR="00DC0227" w:rsidRPr="00980B07" w:rsidRDefault="00DC0227" w:rsidP="00DC0227">
      <w:pPr>
        <w:rPr>
          <w:rFonts w:ascii="Times New Roman" w:hAnsi="Times New Roman"/>
          <w:sz w:val="28"/>
          <w:szCs w:val="28"/>
        </w:rPr>
      </w:pPr>
      <w:r w:rsidRPr="00980B07">
        <w:rPr>
          <w:rFonts w:ascii="Times New Roman" w:hAnsi="Times New Roman"/>
          <w:sz w:val="28"/>
          <w:szCs w:val="28"/>
        </w:rPr>
        <w:t xml:space="preserve"> </w:t>
      </w:r>
    </w:p>
    <w:p w:rsidR="00DC0227" w:rsidRPr="00980B07" w:rsidRDefault="00DC0227" w:rsidP="00DC0227">
      <w:pPr>
        <w:rPr>
          <w:rFonts w:ascii="Times New Roman" w:hAnsi="Times New Roman"/>
        </w:rPr>
      </w:pPr>
      <w:r w:rsidRPr="00980B07">
        <w:rPr>
          <w:rFonts w:ascii="Times New Roman" w:hAnsi="Times New Roman"/>
          <w:sz w:val="28"/>
          <w:szCs w:val="28"/>
        </w:rPr>
        <w:t xml:space="preserve">    </w:t>
      </w:r>
    </w:p>
    <w:p w:rsidR="00DC0227" w:rsidRDefault="00DC0227" w:rsidP="00DC0227">
      <w:pPr>
        <w:rPr>
          <w:rFonts w:ascii="Times New Roman" w:hAnsi="Times New Roman"/>
        </w:rPr>
      </w:pPr>
      <w:r w:rsidRPr="00B01778">
        <w:rPr>
          <w:rFonts w:ascii="Times New Roman" w:hAnsi="Times New Roman"/>
        </w:rPr>
        <w:t>1. The exam will take 50 minutes</w:t>
      </w:r>
    </w:p>
    <w:p w:rsidR="0017743A" w:rsidRPr="00B01778" w:rsidRDefault="0017743A" w:rsidP="00DC0227">
      <w:pPr>
        <w:rPr>
          <w:rFonts w:ascii="Times New Roman" w:hAnsi="Times New Roman"/>
        </w:rPr>
      </w:pPr>
      <w:r>
        <w:rPr>
          <w:rFonts w:ascii="Times New Roman" w:hAnsi="Times New Roman"/>
        </w:rPr>
        <w:t>2.  If you find the space is not enough, you might write in the back, but please specify the question number.</w:t>
      </w:r>
    </w:p>
    <w:p w:rsidR="00DC0227" w:rsidRPr="00B01778" w:rsidRDefault="00101516" w:rsidP="00DC0227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DC0227" w:rsidRPr="00B01778">
        <w:rPr>
          <w:rFonts w:ascii="Times New Roman" w:hAnsi="Times New Roman"/>
        </w:rPr>
        <w:t>. Problem 1-5 are multiple choice questions (5 points each</w:t>
      </w:r>
      <w:r w:rsidR="008A10F2">
        <w:rPr>
          <w:rFonts w:ascii="Times New Roman" w:hAnsi="Times New Roman"/>
        </w:rPr>
        <w:t>, ONE answer merely</w:t>
      </w:r>
      <w:r w:rsidR="00DC0227" w:rsidRPr="00B01778">
        <w:rPr>
          <w:rFonts w:ascii="Times New Roman" w:hAnsi="Times New Roman"/>
        </w:rPr>
        <w:t>)</w:t>
      </w:r>
    </w:p>
    <w:p w:rsidR="00DC0227" w:rsidRPr="00B01778" w:rsidRDefault="00101516" w:rsidP="00DC0227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DC0227" w:rsidRPr="00B01778">
        <w:rPr>
          <w:rFonts w:ascii="Times New Roman" w:hAnsi="Times New Roman"/>
        </w:rPr>
        <w:t>. Problem 6-10 are F</w:t>
      </w:r>
      <w:r w:rsidR="00DD2606" w:rsidRPr="00B01778">
        <w:rPr>
          <w:rFonts w:ascii="Times New Roman" w:hAnsi="Times New Roman"/>
        </w:rPr>
        <w:t xml:space="preserve">REE </w:t>
      </w:r>
      <w:r w:rsidR="00DC0227" w:rsidRPr="00B01778">
        <w:rPr>
          <w:rFonts w:ascii="Times New Roman" w:hAnsi="Times New Roman"/>
        </w:rPr>
        <w:t>answer questions. (15 points each)</w:t>
      </w:r>
    </w:p>
    <w:p w:rsidR="00DC0227" w:rsidRPr="00B01778" w:rsidRDefault="00101516" w:rsidP="00DC0227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DC0227" w:rsidRPr="00B01778">
        <w:rPr>
          <w:rFonts w:ascii="Times New Roman" w:hAnsi="Times New Roman"/>
        </w:rPr>
        <w:t>. Total is 100 points, Good Luck!</w:t>
      </w:r>
    </w:p>
    <w:p w:rsidR="00F16D88" w:rsidRPr="00B01778" w:rsidRDefault="00F16D88" w:rsidP="00DC0227">
      <w:pPr>
        <w:rPr>
          <w:rFonts w:ascii="Times New Roman" w:hAnsi="Times New Roman"/>
        </w:rPr>
      </w:pPr>
    </w:p>
    <w:p w:rsidR="00DC0227" w:rsidRPr="00B01778" w:rsidRDefault="00DC0227" w:rsidP="00DC0227">
      <w:pPr>
        <w:rPr>
          <w:rFonts w:ascii="Times New Roman" w:hAnsi="Times New Roman"/>
        </w:rPr>
      </w:pPr>
    </w:p>
    <w:p w:rsidR="00DC0227" w:rsidRPr="00B01778" w:rsidRDefault="00DC0227" w:rsidP="00DC0227">
      <w:pPr>
        <w:ind w:left="220" w:hangingChars="100" w:hanging="220"/>
        <w:rPr>
          <w:rFonts w:ascii="Times New Roman" w:hAnsi="Times New Roman"/>
        </w:rPr>
      </w:pPr>
    </w:p>
    <w:p w:rsidR="001468C6" w:rsidRPr="00B01778" w:rsidRDefault="001468C6" w:rsidP="00DC0227">
      <w:pPr>
        <w:rPr>
          <w:rFonts w:ascii="Times New Roman" w:hAnsi="Times New Roman"/>
        </w:rPr>
      </w:pPr>
    </w:p>
    <w:p w:rsidR="00DC0227" w:rsidRPr="00B01778" w:rsidRDefault="00DC0227" w:rsidP="00DC0227">
      <w:pPr>
        <w:contextualSpacing/>
        <w:mirrorIndents/>
        <w:rPr>
          <w:rFonts w:ascii="Times New Roman" w:hAnsi="Times New Roman"/>
        </w:rPr>
      </w:pPr>
      <w:r w:rsidRPr="00B01778">
        <w:rPr>
          <w:rFonts w:ascii="Times New Roman" w:hAnsi="Times New Roman"/>
        </w:rPr>
        <w:lastRenderedPageBreak/>
        <w:t>1. Look at the following density curve, which would be larger, the Median or the Mean</w:t>
      </w:r>
      <w:r w:rsidR="00524E52" w:rsidRPr="00B01778">
        <w:rPr>
          <w:rFonts w:ascii="Times New Roman" w:hAnsi="Times New Roman"/>
        </w:rPr>
        <w:t>?</w:t>
      </w:r>
    </w:p>
    <w:p w:rsidR="00DC0227" w:rsidRPr="00B01778" w:rsidRDefault="00202DF5" w:rsidP="00B01778">
      <w:pPr>
        <w:contextualSpacing/>
        <w:mirrorIndents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404745" cy="122301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227" w:rsidRPr="003757FB" w:rsidRDefault="00DC0227" w:rsidP="00B01778">
      <w:pPr>
        <w:spacing w:line="240" w:lineRule="auto"/>
        <w:contextualSpacing/>
        <w:rPr>
          <w:rFonts w:ascii="Times New Roman" w:hAnsi="Times New Roman"/>
          <w:b/>
        </w:rPr>
      </w:pPr>
      <w:r w:rsidRPr="003757FB">
        <w:rPr>
          <w:rFonts w:ascii="Times New Roman" w:hAnsi="Times New Roman"/>
          <w:b/>
        </w:rPr>
        <w:t xml:space="preserve">      </w:t>
      </w:r>
      <w:r w:rsidRPr="003757FB">
        <w:rPr>
          <w:rFonts w:ascii="Times New Roman" w:hAnsi="Times New Roman"/>
          <w:b/>
          <w:highlight w:val="yellow"/>
        </w:rPr>
        <w:t>a. Median is larger</w:t>
      </w:r>
    </w:p>
    <w:p w:rsidR="00DC0227" w:rsidRPr="00B01778" w:rsidRDefault="00B01778" w:rsidP="00B01778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DC0227" w:rsidRPr="00B01778">
        <w:rPr>
          <w:rFonts w:ascii="Times New Roman" w:hAnsi="Times New Roman"/>
        </w:rPr>
        <w:t>b. Mean is larger</w:t>
      </w:r>
    </w:p>
    <w:p w:rsidR="00DC0227" w:rsidRPr="00B01778" w:rsidRDefault="00DC0227" w:rsidP="00B01778">
      <w:pPr>
        <w:spacing w:line="240" w:lineRule="auto"/>
        <w:contextualSpacing/>
        <w:rPr>
          <w:rFonts w:ascii="Times New Roman" w:hAnsi="Times New Roman"/>
        </w:rPr>
      </w:pPr>
      <w:r w:rsidRPr="00B01778">
        <w:rPr>
          <w:rFonts w:ascii="Times New Roman" w:hAnsi="Times New Roman"/>
        </w:rPr>
        <w:t xml:space="preserve">      c. They are the same</w:t>
      </w:r>
    </w:p>
    <w:p w:rsidR="00DC0227" w:rsidRDefault="00DC0227" w:rsidP="00B01778">
      <w:pPr>
        <w:spacing w:line="240" w:lineRule="auto"/>
        <w:contextualSpacing/>
        <w:rPr>
          <w:rFonts w:ascii="Times New Roman" w:hAnsi="Times New Roman"/>
        </w:rPr>
      </w:pPr>
      <w:r w:rsidRPr="00B01778">
        <w:rPr>
          <w:rFonts w:ascii="Times New Roman" w:hAnsi="Times New Roman"/>
        </w:rPr>
        <w:t xml:space="preserve">      d. None of the above</w:t>
      </w:r>
    </w:p>
    <w:p w:rsidR="00B01778" w:rsidRPr="00B01778" w:rsidRDefault="00B01778" w:rsidP="00B01778">
      <w:pPr>
        <w:spacing w:line="240" w:lineRule="auto"/>
        <w:contextualSpacing/>
        <w:rPr>
          <w:rFonts w:ascii="Times New Roman" w:hAnsi="Times New Roman"/>
        </w:rPr>
      </w:pPr>
    </w:p>
    <w:p w:rsidR="00DC0227" w:rsidRPr="00B01778" w:rsidRDefault="00DC0227" w:rsidP="00B01778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>2. Scores on Georgia State University exam are normally distributed with a mean of 73 and a standard deviation of 11.  Using the 68-95-99.7 rule, what percentage of students score above 95?</w:t>
      </w:r>
    </w:p>
    <w:p w:rsidR="00DC0227" w:rsidRPr="003757FB" w:rsidRDefault="00DC0227" w:rsidP="00B01778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  <w:b/>
        </w:rPr>
      </w:pPr>
      <w:r w:rsidRPr="00B01778">
        <w:rPr>
          <w:rFonts w:ascii="Times New Roman" w:hAnsi="Times New Roman"/>
        </w:rPr>
        <w:tab/>
      </w:r>
      <w:r w:rsidRPr="003757FB">
        <w:rPr>
          <w:rFonts w:ascii="Times New Roman" w:hAnsi="Times New Roman"/>
          <w:b/>
          <w:highlight w:val="yellow"/>
        </w:rPr>
        <w:t>a. 2.5%</w:t>
      </w:r>
    </w:p>
    <w:p w:rsidR="00DC0227" w:rsidRPr="00B01778" w:rsidRDefault="00DC0227" w:rsidP="00B01778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b. 5%</w:t>
      </w:r>
    </w:p>
    <w:p w:rsidR="00DC0227" w:rsidRPr="00B01778" w:rsidRDefault="00DC0227" w:rsidP="00B01778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c. 16%</w:t>
      </w:r>
    </w:p>
    <w:p w:rsidR="00DC0227" w:rsidRPr="00B01778" w:rsidRDefault="00DC0227" w:rsidP="00B01778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d. 32%</w:t>
      </w:r>
    </w:p>
    <w:p w:rsidR="00DC0227" w:rsidRPr="00B01778" w:rsidRDefault="00DC0227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01778">
        <w:rPr>
          <w:rFonts w:ascii="Times New Roman" w:hAnsi="Times New Roman" w:cs="Times New Roman"/>
          <w:sz w:val="22"/>
          <w:szCs w:val="22"/>
        </w:rPr>
        <w:t xml:space="preserve">3. This is a standard deviation contest.  Which of the following sets of four numbers has the  </w:t>
      </w:r>
    </w:p>
    <w:p w:rsidR="00DC0227" w:rsidRPr="00B01778" w:rsidRDefault="00DC0227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01778">
        <w:rPr>
          <w:rFonts w:ascii="Times New Roman" w:hAnsi="Times New Roman" w:cs="Times New Roman"/>
          <w:sz w:val="22"/>
          <w:szCs w:val="22"/>
        </w:rPr>
        <w:t xml:space="preserve">     smallest possible standard deviation?</w:t>
      </w:r>
    </w:p>
    <w:p w:rsidR="00DC0227" w:rsidRPr="00B01778" w:rsidRDefault="00DC0227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01778">
        <w:rPr>
          <w:rFonts w:ascii="Times New Roman" w:hAnsi="Times New Roman" w:cs="Times New Roman"/>
          <w:sz w:val="22"/>
          <w:szCs w:val="22"/>
        </w:rPr>
        <w:tab/>
        <w:t>a. 7, 8, 9, 10</w:t>
      </w:r>
    </w:p>
    <w:p w:rsidR="00DC0227" w:rsidRPr="003757FB" w:rsidRDefault="00DC0227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B01778">
        <w:rPr>
          <w:rFonts w:ascii="Times New Roman" w:hAnsi="Times New Roman" w:cs="Times New Roman"/>
          <w:sz w:val="22"/>
          <w:szCs w:val="22"/>
        </w:rPr>
        <w:tab/>
      </w:r>
      <w:r w:rsidRPr="003757FB">
        <w:rPr>
          <w:rFonts w:ascii="Times New Roman" w:hAnsi="Times New Roman" w:cs="Times New Roman"/>
          <w:b/>
          <w:sz w:val="22"/>
          <w:szCs w:val="22"/>
          <w:highlight w:val="yellow"/>
        </w:rPr>
        <w:t>b. 5, 5, 5, 5</w:t>
      </w:r>
    </w:p>
    <w:p w:rsidR="00DC0227" w:rsidRPr="00B01778" w:rsidRDefault="00DC0227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01778">
        <w:rPr>
          <w:rFonts w:ascii="Times New Roman" w:hAnsi="Times New Roman" w:cs="Times New Roman"/>
          <w:sz w:val="22"/>
          <w:szCs w:val="22"/>
        </w:rPr>
        <w:tab/>
        <w:t>c. 0, 0, 10, 10</w:t>
      </w:r>
    </w:p>
    <w:p w:rsidR="00DC0227" w:rsidRPr="00B01778" w:rsidRDefault="00DC0227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01778">
        <w:rPr>
          <w:rFonts w:ascii="Times New Roman" w:hAnsi="Times New Roman" w:cs="Times New Roman"/>
          <w:sz w:val="22"/>
          <w:szCs w:val="22"/>
        </w:rPr>
        <w:tab/>
        <w:t>d. 0, 1, 2, 3</w:t>
      </w:r>
    </w:p>
    <w:p w:rsidR="00B01778" w:rsidRPr="00B01778" w:rsidRDefault="00B01778" w:rsidP="00B01778">
      <w:pPr>
        <w:pStyle w:val="Times"/>
        <w:tabs>
          <w:tab w:val="left" w:pos="36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DC0227" w:rsidRPr="00B01778" w:rsidRDefault="00DC0227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>4. A survey is conducted on students taking a statistics class.  Several variables are measured in the survey.  Which of these variables listed below is not quantitative?</w:t>
      </w:r>
    </w:p>
    <w:p w:rsidR="00DC0227" w:rsidRPr="00B01778" w:rsidRDefault="00DC0227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a. the number of credit hours taken during the quarter</w:t>
      </w:r>
    </w:p>
    <w:p w:rsidR="00DC0227" w:rsidRPr="003757FB" w:rsidRDefault="00DC0227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  <w:b/>
        </w:rPr>
      </w:pPr>
      <w:r w:rsidRPr="00B01778">
        <w:rPr>
          <w:rFonts w:ascii="Times New Roman" w:hAnsi="Times New Roman"/>
        </w:rPr>
        <w:tab/>
      </w:r>
      <w:r w:rsidRPr="003757FB">
        <w:rPr>
          <w:rFonts w:ascii="Times New Roman" w:hAnsi="Times New Roman"/>
          <w:b/>
          <w:highlight w:val="yellow"/>
        </w:rPr>
        <w:t>b. the gender</w:t>
      </w:r>
    </w:p>
    <w:p w:rsidR="00DC0227" w:rsidRPr="00B01778" w:rsidRDefault="00DC0227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c. the parents annual income</w:t>
      </w:r>
    </w:p>
    <w:p w:rsidR="00DC0227" w:rsidRDefault="00DC0227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d. the High School GPA</w:t>
      </w:r>
    </w:p>
    <w:p w:rsidR="00B01778" w:rsidRPr="00B01778" w:rsidRDefault="00B01778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</w:rPr>
      </w:pPr>
    </w:p>
    <w:p w:rsidR="00DC0227" w:rsidRPr="00B01778" w:rsidRDefault="00DC0227" w:rsidP="00B01778">
      <w:pPr>
        <w:tabs>
          <w:tab w:val="left" w:pos="360"/>
          <w:tab w:val="left" w:pos="504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>5. The following histogram represents the distribution of acceptance rates (percent</w:t>
      </w:r>
      <w:r w:rsidR="008A6653">
        <w:rPr>
          <w:rFonts w:ascii="Times New Roman" w:hAnsi="Times New Roman"/>
        </w:rPr>
        <w:t xml:space="preserve"> </w:t>
      </w:r>
      <w:r w:rsidRPr="00B01778">
        <w:rPr>
          <w:rFonts w:ascii="Times New Roman" w:hAnsi="Times New Roman"/>
        </w:rPr>
        <w:t xml:space="preserve">accepted) among 25 business schools in 2004.  In each class interval, the left endpoint is included but not the right, so the class intervals are 10 ≤ rate &lt; 15, 15 ≤ rate &lt; 20, etc.  </w:t>
      </w:r>
    </w:p>
    <w:p w:rsidR="00DC0227" w:rsidRPr="00B01778" w:rsidRDefault="00DC0227" w:rsidP="00DC0227">
      <w:pPr>
        <w:jc w:val="center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</w:r>
      <w:r w:rsidRPr="00B01778">
        <w:rPr>
          <w:rFonts w:ascii="Times New Roman" w:hAnsi="Times New Roman"/>
        </w:rPr>
        <w:object w:dxaOrig="5480" w:dyaOrig="3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9.45pt;height:2in" o:ole="">
            <v:imagedata r:id="rId8" o:title="" croptop="-831f" cropbottom="-831f" cropleft="-837f" cropright="-837f"/>
          </v:shape>
          <o:OLEObject Type="Embed" ProgID="Word.Picture.8" ShapeID="_x0000_i1026" DrawAspect="Content" ObjectID="_1314551804" r:id="rId9"/>
        </w:object>
      </w:r>
    </w:p>
    <w:p w:rsidR="00DC0227" w:rsidRPr="00B01778" w:rsidRDefault="00DC0227" w:rsidP="00DC0227">
      <w:pPr>
        <w:tabs>
          <w:tab w:val="left" w:pos="360"/>
          <w:tab w:val="left" w:pos="7920"/>
        </w:tabs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 xml:space="preserve">      The number of schools with acceptance rates between 20% and 40% is</w:t>
      </w:r>
    </w:p>
    <w:p w:rsidR="00DC0227" w:rsidRPr="00B01778" w:rsidRDefault="00DC0227" w:rsidP="00DC0227">
      <w:pPr>
        <w:tabs>
          <w:tab w:val="left" w:pos="360"/>
          <w:tab w:val="left" w:pos="5040"/>
          <w:tab w:val="right" w:pos="7920"/>
        </w:tabs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lastRenderedPageBreak/>
        <w:tab/>
        <w:t>a. 8.</w:t>
      </w:r>
    </w:p>
    <w:p w:rsidR="00DC0227" w:rsidRPr="00B01778" w:rsidRDefault="00DC0227" w:rsidP="00DC0227">
      <w:pPr>
        <w:tabs>
          <w:tab w:val="left" w:pos="360"/>
          <w:tab w:val="left" w:pos="5040"/>
          <w:tab w:val="right" w:pos="7920"/>
        </w:tabs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b. 13.</w:t>
      </w:r>
    </w:p>
    <w:p w:rsidR="00DC0227" w:rsidRPr="00B01778" w:rsidRDefault="00DC0227" w:rsidP="00DC0227">
      <w:pPr>
        <w:tabs>
          <w:tab w:val="left" w:pos="360"/>
          <w:tab w:val="left" w:pos="5040"/>
          <w:tab w:val="right" w:pos="7920"/>
        </w:tabs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</w:r>
      <w:r w:rsidRPr="003757FB">
        <w:rPr>
          <w:rFonts w:ascii="Times New Roman" w:hAnsi="Times New Roman"/>
          <w:b/>
          <w:highlight w:val="yellow"/>
        </w:rPr>
        <w:t>c. 18</w:t>
      </w:r>
      <w:r w:rsidRPr="00B01778">
        <w:rPr>
          <w:rFonts w:ascii="Times New Roman" w:hAnsi="Times New Roman"/>
        </w:rPr>
        <w:t>.</w:t>
      </w:r>
    </w:p>
    <w:p w:rsidR="00DC0227" w:rsidRPr="00B01778" w:rsidRDefault="00DC0227" w:rsidP="00DC0227">
      <w:pPr>
        <w:tabs>
          <w:tab w:val="left" w:pos="360"/>
          <w:tab w:val="left" w:pos="5040"/>
          <w:tab w:val="left" w:pos="8000"/>
        </w:tabs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ab/>
        <w:t>d. 11.</w:t>
      </w:r>
    </w:p>
    <w:p w:rsidR="00AD46BD" w:rsidRDefault="00AD46BD">
      <w:pPr>
        <w:rPr>
          <w:rFonts w:ascii="Times New Roman" w:hAnsi="Times New Roman"/>
        </w:rPr>
      </w:pPr>
    </w:p>
    <w:p w:rsidR="0053119F" w:rsidRDefault="0053119F">
      <w:pPr>
        <w:rPr>
          <w:rFonts w:ascii="Times New Roman" w:hAnsi="Times New Roman"/>
        </w:rPr>
      </w:pPr>
    </w:p>
    <w:p w:rsidR="0053119F" w:rsidRPr="00B01778" w:rsidRDefault="0053119F">
      <w:pPr>
        <w:rPr>
          <w:rFonts w:ascii="Times New Roman" w:hAnsi="Times New Roman"/>
        </w:rPr>
      </w:pPr>
    </w:p>
    <w:p w:rsidR="009C3B94" w:rsidRPr="00B01778" w:rsidRDefault="009C3B94" w:rsidP="00DF4385">
      <w:pPr>
        <w:spacing w:line="240" w:lineRule="auto"/>
        <w:contextualSpacing/>
        <w:rPr>
          <w:rFonts w:ascii="Times New Roman" w:hAnsi="Times New Roman"/>
        </w:rPr>
      </w:pPr>
      <w:r w:rsidRPr="00B01778">
        <w:rPr>
          <w:rFonts w:ascii="Times New Roman" w:hAnsi="Times New Roman"/>
        </w:rPr>
        <w:t>Use the following information to answer questions 6-8</w:t>
      </w:r>
    </w:p>
    <w:p w:rsidR="00AD46BD" w:rsidRDefault="00C43A0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 w:rsidRPr="00B01778">
        <w:rPr>
          <w:rFonts w:ascii="Times New Roman" w:hAnsi="Times New Roman"/>
          <w:color w:val="00B050"/>
        </w:rPr>
        <w:t xml:space="preserve"> </w:t>
      </w:r>
      <w:r w:rsidR="00AD46BD" w:rsidRPr="00B01778">
        <w:rPr>
          <w:rFonts w:ascii="Times New Roman" w:hAnsi="Times New Roman"/>
          <w:color w:val="000000"/>
        </w:rPr>
        <w:t xml:space="preserve">“Recruitment”, the addition of new members to a fish population, is an important measure of the health of ocean ecosystems. Here are data on the recruitment of rock </w:t>
      </w:r>
      <w:r w:rsidR="008E26EC" w:rsidRPr="00B01778">
        <w:rPr>
          <w:rFonts w:ascii="Times New Roman" w:hAnsi="Times New Roman"/>
          <w:color w:val="000000"/>
        </w:rPr>
        <w:t>sole in the Bering Sea from 1980 to 1981</w:t>
      </w:r>
      <w:r w:rsidR="00AD46BD" w:rsidRPr="00B01778">
        <w:rPr>
          <w:rFonts w:ascii="Times New Roman" w:hAnsi="Times New Roman"/>
          <w:color w:val="000000"/>
        </w:rPr>
        <w:t xml:space="preserve">. </w:t>
      </w:r>
    </w:p>
    <w:p w:rsidR="00DF4385" w:rsidRPr="00B01778" w:rsidRDefault="00DF4385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6"/>
        <w:gridCol w:w="608"/>
      </w:tblGrid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year</w:t>
            </w:r>
          </w:p>
        </w:tc>
        <w:tc>
          <w:tcPr>
            <w:tcW w:w="0" w:type="auto"/>
            <w:vAlign w:val="bottom"/>
          </w:tcPr>
          <w:p w:rsidR="00AD46BD" w:rsidRPr="00831D09" w:rsidRDefault="008E26EC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S</w:t>
            </w:r>
            <w:r w:rsidR="00AD46BD" w:rsidRPr="00831D09">
              <w:rPr>
                <w:rFonts w:ascii="Times New Roman" w:hAnsi="Times New Roman"/>
              </w:rPr>
              <w:t>ole</w:t>
            </w:r>
            <w:r w:rsidRPr="00831D09">
              <w:rPr>
                <w:rFonts w:ascii="Times New Roman" w:hAnsi="Times New Roman"/>
              </w:rPr>
              <w:t xml:space="preserve"> 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1980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14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1981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14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1982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13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1983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22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1984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18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1985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18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1986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28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1987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47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1988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17</w:t>
            </w:r>
          </w:p>
        </w:tc>
      </w:tr>
      <w:tr w:rsidR="00AD46BD" w:rsidRPr="00B01778" w:rsidTr="00831D09">
        <w:trPr>
          <w:jc w:val="center"/>
        </w:trPr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1989</w:t>
            </w:r>
          </w:p>
        </w:tc>
        <w:tc>
          <w:tcPr>
            <w:tcW w:w="0" w:type="auto"/>
            <w:vAlign w:val="bottom"/>
          </w:tcPr>
          <w:p w:rsidR="00AD46BD" w:rsidRPr="00831D09" w:rsidRDefault="00AD46BD" w:rsidP="00831D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831D09">
              <w:rPr>
                <w:rFonts w:ascii="Times New Roman" w:hAnsi="Times New Roman"/>
              </w:rPr>
              <w:t>11</w:t>
            </w:r>
          </w:p>
        </w:tc>
      </w:tr>
    </w:tbl>
    <w:p w:rsidR="00176FC3" w:rsidRPr="00B01778" w:rsidRDefault="00176FC3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D46BD" w:rsidRPr="00B01778" w:rsidRDefault="00176FC3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 w:rsidRPr="00B01778">
        <w:rPr>
          <w:rFonts w:ascii="Times New Roman" w:hAnsi="Times New Roman"/>
          <w:color w:val="000000"/>
        </w:rPr>
        <w:t xml:space="preserve">6.  </w:t>
      </w:r>
      <w:r w:rsidR="00AD46BD" w:rsidRPr="00B01778">
        <w:rPr>
          <w:rFonts w:ascii="Times New Roman" w:hAnsi="Times New Roman"/>
          <w:color w:val="000000"/>
        </w:rPr>
        <w:t>Make a stemplot to display the distribution o</w:t>
      </w:r>
      <w:r w:rsidR="009C3B94" w:rsidRPr="00B01778">
        <w:rPr>
          <w:rFonts w:ascii="Times New Roman" w:hAnsi="Times New Roman"/>
          <w:color w:val="000000"/>
        </w:rPr>
        <w:t>f yearly rock s</w:t>
      </w:r>
      <w:r w:rsidRPr="00B01778">
        <w:rPr>
          <w:rFonts w:ascii="Times New Roman" w:hAnsi="Times New Roman"/>
          <w:color w:val="000000"/>
        </w:rPr>
        <w:t xml:space="preserve">ole recruitment, and specify the center and the spread. </w:t>
      </w: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842EFA" w:rsidRDefault="006D63F0" w:rsidP="00DF4385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.2pt;margin-top:.1pt;width:0;height:53.2pt;z-index:251657728" o:connectortype="straight"/>
        </w:pict>
      </w:r>
      <w:r w:rsidR="008270D9" w:rsidRPr="00842EFA">
        <w:rPr>
          <w:rFonts w:ascii="Times New Roman" w:hAnsi="Times New Roman"/>
          <w:color w:val="000000"/>
          <w:sz w:val="24"/>
          <w:szCs w:val="24"/>
        </w:rPr>
        <w:t>1   1344788</w:t>
      </w:r>
    </w:p>
    <w:p w:rsidR="008270D9" w:rsidRPr="00842EFA" w:rsidRDefault="008270D9" w:rsidP="00DF4385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842EFA">
        <w:rPr>
          <w:rFonts w:ascii="Times New Roman" w:hAnsi="Times New Roman"/>
          <w:color w:val="000000"/>
          <w:sz w:val="24"/>
          <w:szCs w:val="24"/>
        </w:rPr>
        <w:t>2   28</w:t>
      </w:r>
    </w:p>
    <w:p w:rsidR="00842EFA" w:rsidRPr="00842EFA" w:rsidRDefault="00842EFA" w:rsidP="00DF4385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842EFA">
        <w:rPr>
          <w:rFonts w:ascii="Times New Roman" w:hAnsi="Times New Roman"/>
          <w:color w:val="000000"/>
          <w:sz w:val="24"/>
          <w:szCs w:val="24"/>
        </w:rPr>
        <w:t>3</w:t>
      </w:r>
    </w:p>
    <w:p w:rsidR="008270D9" w:rsidRPr="00842EFA" w:rsidRDefault="008270D9" w:rsidP="00DF4385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842EFA">
        <w:rPr>
          <w:rFonts w:ascii="Times New Roman" w:hAnsi="Times New Roman"/>
          <w:color w:val="000000"/>
          <w:sz w:val="24"/>
          <w:szCs w:val="24"/>
        </w:rPr>
        <w:t>4   7</w:t>
      </w:r>
    </w:p>
    <w:p w:rsidR="008270D9" w:rsidRDefault="008270D9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Center: 17</w:t>
      </w:r>
      <w:r w:rsidR="00842EFA">
        <w:rPr>
          <w:rFonts w:ascii="Times New Roman" w:hAnsi="Times New Roman"/>
          <w:color w:val="000000"/>
        </w:rPr>
        <w:t>.5</w:t>
      </w:r>
      <w:r>
        <w:rPr>
          <w:rFonts w:ascii="Times New Roman" w:hAnsi="Times New Roman"/>
          <w:color w:val="000000"/>
        </w:rPr>
        <w:t xml:space="preserve"> (median)</w:t>
      </w:r>
    </w:p>
    <w:p w:rsidR="008270D9" w:rsidRPr="00B01778" w:rsidRDefault="008270D9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Spread: 11-47</w:t>
      </w: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DF4385" w:rsidRDefault="00DF4385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8270D9" w:rsidRDefault="008270D9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 w:rsidRPr="00B01778">
        <w:rPr>
          <w:rFonts w:ascii="Times New Roman" w:hAnsi="Times New Roman"/>
          <w:color w:val="000000"/>
        </w:rPr>
        <w:t xml:space="preserve">7. Find the mean and median for the rock sole recruitment. </w:t>
      </w:r>
    </w:p>
    <w:p w:rsidR="00AA47CF" w:rsidRPr="00B01778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Default="008270D9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Mean: 20.2</w:t>
      </w:r>
    </w:p>
    <w:p w:rsidR="008270D9" w:rsidRPr="00B01778" w:rsidRDefault="008270D9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Median: 17</w:t>
      </w:r>
      <w:r w:rsidR="00842EFA">
        <w:rPr>
          <w:rFonts w:ascii="Times New Roman" w:hAnsi="Times New Roman"/>
          <w:color w:val="000000"/>
        </w:rPr>
        <w:t>.5</w:t>
      </w: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447730" w:rsidRDefault="00447730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AA47CF" w:rsidRDefault="00AA47CF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 w:rsidRPr="00B01778">
        <w:rPr>
          <w:rFonts w:ascii="Times New Roman" w:hAnsi="Times New Roman"/>
          <w:color w:val="000000"/>
        </w:rPr>
        <w:t xml:space="preserve">8. Find the standard deviation for the </w:t>
      </w:r>
      <w:r w:rsidR="00166B42" w:rsidRPr="00B01778">
        <w:rPr>
          <w:rFonts w:ascii="Times New Roman" w:hAnsi="Times New Roman"/>
          <w:color w:val="000000"/>
        </w:rPr>
        <w:t xml:space="preserve">above rock sole </w:t>
      </w:r>
      <w:r w:rsidRPr="00B01778">
        <w:rPr>
          <w:rFonts w:ascii="Times New Roman" w:hAnsi="Times New Roman"/>
          <w:color w:val="000000"/>
        </w:rPr>
        <w:t xml:space="preserve">data. </w:t>
      </w:r>
    </w:p>
    <w:p w:rsidR="00B3471D" w:rsidRPr="00B01778" w:rsidRDefault="00202DF5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s=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n-1</m:t>
                  </m:r>
                </m:den>
              </m:f>
            </m:e>
          </m:rad>
        </m:oMath>
      </m:oMathPara>
    </w:p>
    <w:p w:rsidR="00BB78C8" w:rsidRPr="00B01778" w:rsidRDefault="00BB78C8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0"/>
        <w:gridCol w:w="836"/>
        <w:gridCol w:w="1121"/>
      </w:tblGrid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202DF5" w:rsidP="00654A81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:rsidR="00842EFA" w:rsidRPr="00654A81" w:rsidRDefault="00202DF5" w:rsidP="00654A81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bottom"/>
          </w:tcPr>
          <w:p w:rsidR="00842EFA" w:rsidRPr="00654A81" w:rsidRDefault="00202DF5" w:rsidP="00654A81">
            <w:pPr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-6.2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38.44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-6.2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38.44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-7.2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51.84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1.8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3.24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-2.2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4.84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-2.2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4.84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28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7.8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60.84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47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26.8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718.24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17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-3.2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10.24</w:t>
            </w:r>
          </w:p>
        </w:tc>
      </w:tr>
      <w:tr w:rsidR="00842EFA" w:rsidTr="00654A81">
        <w:trPr>
          <w:jc w:val="center"/>
        </w:trPr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-9.2</w:t>
            </w:r>
          </w:p>
        </w:tc>
        <w:tc>
          <w:tcPr>
            <w:tcW w:w="0" w:type="auto"/>
            <w:vAlign w:val="bottom"/>
          </w:tcPr>
          <w:p w:rsidR="00842EFA" w:rsidRPr="00654A81" w:rsidRDefault="00842EFA" w:rsidP="00654A81">
            <w:pPr>
              <w:jc w:val="center"/>
              <w:rPr>
                <w:color w:val="000000"/>
              </w:rPr>
            </w:pPr>
            <w:r w:rsidRPr="00654A81">
              <w:rPr>
                <w:color w:val="000000"/>
              </w:rPr>
              <w:t>84.64</w:t>
            </w:r>
          </w:p>
        </w:tc>
      </w:tr>
    </w:tbl>
    <w:p w:rsidR="00B3471D" w:rsidRDefault="00842EFA" w:rsidP="00B3471D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</w:t>
      </w:r>
    </w:p>
    <w:p w:rsidR="00B3471D" w:rsidRDefault="00842EFA" w:rsidP="00B3471D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B3471D">
        <w:rPr>
          <w:rFonts w:ascii="Times New Roman" w:hAnsi="Times New Roman"/>
          <w:color w:val="000000"/>
        </w:rPr>
        <w:t>Then, adding up the third column, we get</w:t>
      </w:r>
    </w:p>
    <w:p w:rsidR="00B3471D" w:rsidRPr="00B3471D" w:rsidRDefault="00202DF5" w:rsidP="00B3471D">
      <w:pPr>
        <w:jc w:val="center"/>
        <w:rPr>
          <w:rFonts w:eastAsia="Times New Roman"/>
          <w:color w:val="000000"/>
          <w:lang w:eastAsia="en-US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Sum of Squared Terms,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lang w:eastAsia="en-US"/>
            </w:rPr>
            <m:t>1015.6</m:t>
          </m:r>
        </m:oMath>
      </m:oMathPara>
    </w:p>
    <w:p w:rsidR="00BB78C8" w:rsidRDefault="00B3471D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So, </w:t>
      </w:r>
    </w:p>
    <w:p w:rsidR="00B3471D" w:rsidRPr="00B01778" w:rsidRDefault="00202DF5" w:rsidP="00B3471D">
      <w:pPr>
        <w:spacing w:line="240" w:lineRule="auto"/>
        <w:contextualSpacing/>
        <w:rPr>
          <w:rFonts w:ascii="Times New Roman" w:hAnsi="Times New Roman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s=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1015.6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9-1</m:t>
                  </m:r>
                </m:den>
              </m:f>
            </m:e>
          </m:rad>
          <m:r>
            <w:rPr>
              <w:rFonts w:ascii="Cambria Math" w:hAnsi="Cambria Math"/>
              <w:color w:val="000000"/>
            </w:rPr>
            <m:t>=10.62</m:t>
          </m:r>
        </m:oMath>
      </m:oMathPara>
    </w:p>
    <w:p w:rsidR="00BB78C8" w:rsidRPr="00B01778" w:rsidRDefault="00BB78C8" w:rsidP="00DF4385">
      <w:pPr>
        <w:spacing w:line="240" w:lineRule="auto"/>
        <w:contextualSpacing/>
        <w:rPr>
          <w:rFonts w:ascii="Times New Roman" w:hAnsi="Times New Roman"/>
          <w:color w:val="000000"/>
        </w:rPr>
      </w:pPr>
    </w:p>
    <w:p w:rsidR="00060E71" w:rsidRDefault="00060E71" w:rsidP="00DF4385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</w:p>
    <w:p w:rsidR="00060E71" w:rsidRDefault="00060E71" w:rsidP="00DF4385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</w:p>
    <w:p w:rsidR="00BB78C8" w:rsidRPr="00B01778" w:rsidRDefault="00BB78C8" w:rsidP="00DF4385">
      <w:pPr>
        <w:tabs>
          <w:tab w:val="left" w:pos="360"/>
        </w:tabs>
        <w:spacing w:line="240" w:lineRule="auto"/>
        <w:contextualSpacing/>
        <w:jc w:val="both"/>
        <w:rPr>
          <w:rFonts w:ascii="Times New Roman" w:hAnsi="Times New Roman"/>
        </w:rPr>
      </w:pPr>
      <w:r w:rsidRPr="00B01778">
        <w:rPr>
          <w:rFonts w:ascii="Times New Roman" w:hAnsi="Times New Roman"/>
        </w:rPr>
        <w:t xml:space="preserve">The following </w:t>
      </w:r>
      <w:r w:rsidR="008F4125" w:rsidRPr="00B01778">
        <w:rPr>
          <w:rFonts w:ascii="Times New Roman" w:hAnsi="Times New Roman"/>
        </w:rPr>
        <w:t>description</w:t>
      </w:r>
      <w:r w:rsidRPr="00B01778">
        <w:rPr>
          <w:rFonts w:ascii="Times New Roman" w:hAnsi="Times New Roman"/>
        </w:rPr>
        <w:t xml:space="preserve"> </w:t>
      </w:r>
      <w:r w:rsidR="00E441F1" w:rsidRPr="00B01778">
        <w:rPr>
          <w:rFonts w:ascii="Times New Roman" w:hAnsi="Times New Roman"/>
        </w:rPr>
        <w:t>ac</w:t>
      </w:r>
      <w:r w:rsidR="00152D17" w:rsidRPr="00B01778">
        <w:rPr>
          <w:rFonts w:ascii="Times New Roman" w:hAnsi="Times New Roman"/>
        </w:rPr>
        <w:t>counts for</w:t>
      </w:r>
      <w:r w:rsidRPr="00B01778">
        <w:rPr>
          <w:rFonts w:ascii="Times New Roman" w:hAnsi="Times New Roman"/>
        </w:rPr>
        <w:t xml:space="preserve"> questions 9-10.</w:t>
      </w:r>
    </w:p>
    <w:p w:rsidR="000B66F1" w:rsidRDefault="00FD1D9F" w:rsidP="00DF438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057A4F" w:rsidRPr="00B01778">
        <w:rPr>
          <w:rFonts w:ascii="Times New Roman" w:hAnsi="Times New Roman"/>
        </w:rPr>
        <w:t>distributio</w:t>
      </w:r>
      <w:r>
        <w:rPr>
          <w:rFonts w:ascii="Times New Roman" w:hAnsi="Times New Roman"/>
        </w:rPr>
        <w:t>n of the actual weights of some</w:t>
      </w:r>
      <w:r w:rsidR="00057A4F" w:rsidRPr="00B01778">
        <w:rPr>
          <w:rFonts w:ascii="Times New Roman" w:hAnsi="Times New Roman"/>
        </w:rPr>
        <w:t xml:space="preserve"> chocolate bars is normal with a mean of 8.1 oz. and a standard deviation of 0.1 oz.  </w:t>
      </w:r>
      <w:r>
        <w:rPr>
          <w:rFonts w:ascii="Times New Roman" w:hAnsi="Times New Roman"/>
        </w:rPr>
        <w:t>A</w:t>
      </w:r>
      <w:r w:rsidR="00057A4F" w:rsidRPr="00B01778">
        <w:rPr>
          <w:rFonts w:ascii="Times New Roman" w:hAnsi="Times New Roman"/>
        </w:rPr>
        <w:t xml:space="preserve"> chocolate bar is considered underweight</w:t>
      </w:r>
      <w:r>
        <w:rPr>
          <w:rFonts w:ascii="Times New Roman" w:hAnsi="Times New Roman"/>
        </w:rPr>
        <w:t xml:space="preserve"> if it weighs less than 8.0 oz. T</w:t>
      </w:r>
      <w:r w:rsidR="000B66F1" w:rsidRPr="00B01778">
        <w:rPr>
          <w:rFonts w:ascii="Times New Roman" w:hAnsi="Times New Roman"/>
        </w:rPr>
        <w:t xml:space="preserve">he top </w:t>
      </w:r>
      <w:r w:rsidR="001966FA" w:rsidRPr="00B01778">
        <w:rPr>
          <w:rFonts w:ascii="Times New Roman" w:hAnsi="Times New Roman"/>
        </w:rPr>
        <w:t>2.</w:t>
      </w:r>
      <w:r w:rsidR="000B66F1" w:rsidRPr="00B01778">
        <w:rPr>
          <w:rFonts w:ascii="Times New Roman" w:hAnsi="Times New Roman"/>
        </w:rPr>
        <w:t xml:space="preserve">5% </w:t>
      </w:r>
      <w:r>
        <w:rPr>
          <w:rFonts w:ascii="Times New Roman" w:hAnsi="Times New Roman"/>
        </w:rPr>
        <w:t xml:space="preserve">of the distribution is regarded as </w:t>
      </w:r>
      <w:r w:rsidR="000B66F1" w:rsidRPr="00B01778">
        <w:rPr>
          <w:rFonts w:ascii="Times New Roman" w:hAnsi="Times New Roman"/>
        </w:rPr>
        <w:t>overweight.</w:t>
      </w:r>
    </w:p>
    <w:p w:rsidR="00FD1D9F" w:rsidRPr="00B01778" w:rsidRDefault="00FD1D9F" w:rsidP="00DF4385">
      <w:pPr>
        <w:spacing w:line="240" w:lineRule="auto"/>
        <w:contextualSpacing/>
        <w:rPr>
          <w:rFonts w:ascii="Times New Roman" w:hAnsi="Times New Roman"/>
        </w:rPr>
      </w:pPr>
    </w:p>
    <w:p w:rsidR="00BB78C8" w:rsidRPr="00B01778" w:rsidRDefault="00BB78C8" w:rsidP="00DF4385">
      <w:pPr>
        <w:spacing w:line="240" w:lineRule="auto"/>
        <w:contextualSpacing/>
        <w:rPr>
          <w:rFonts w:ascii="Times New Roman" w:hAnsi="Times New Roman"/>
        </w:rPr>
      </w:pPr>
      <w:r w:rsidRPr="00B01778">
        <w:rPr>
          <w:rFonts w:ascii="Times New Roman" w:hAnsi="Times New Roman"/>
        </w:rPr>
        <w:t>9</w:t>
      </w:r>
      <w:r w:rsidR="007C6FA0" w:rsidRPr="00B01778">
        <w:rPr>
          <w:rFonts w:ascii="Times New Roman" w:hAnsi="Times New Roman"/>
        </w:rPr>
        <w:t xml:space="preserve">. </w:t>
      </w:r>
      <w:r w:rsidRPr="00B01778">
        <w:rPr>
          <w:rFonts w:ascii="Times New Roman" w:hAnsi="Times New Roman"/>
        </w:rPr>
        <w:t xml:space="preserve"> </w:t>
      </w:r>
      <w:r w:rsidR="007C6FA0" w:rsidRPr="00B01778">
        <w:rPr>
          <w:rFonts w:ascii="Times New Roman" w:hAnsi="Times New Roman"/>
        </w:rPr>
        <w:t xml:space="preserve">To be labeled </w:t>
      </w:r>
      <w:r w:rsidR="008B69B1" w:rsidRPr="00B01778">
        <w:rPr>
          <w:rFonts w:ascii="Times New Roman" w:hAnsi="Times New Roman"/>
        </w:rPr>
        <w:t xml:space="preserve">as </w:t>
      </w:r>
      <w:r w:rsidR="007C6FA0" w:rsidRPr="00B01778">
        <w:rPr>
          <w:rFonts w:ascii="Times New Roman" w:hAnsi="Times New Roman"/>
        </w:rPr>
        <w:t>overweight, h</w:t>
      </w:r>
      <w:r w:rsidR="001637DC" w:rsidRPr="00B01778">
        <w:rPr>
          <w:rFonts w:ascii="Times New Roman" w:hAnsi="Times New Roman"/>
        </w:rPr>
        <w:t xml:space="preserve">ow heavy does a </w:t>
      </w:r>
      <w:r w:rsidR="00244335" w:rsidRPr="00B01778">
        <w:rPr>
          <w:rFonts w:ascii="Times New Roman" w:hAnsi="Times New Roman"/>
        </w:rPr>
        <w:t>chocolate bar</w:t>
      </w:r>
      <w:r w:rsidR="009953EB" w:rsidRPr="00B01778">
        <w:rPr>
          <w:rFonts w:ascii="Times New Roman" w:hAnsi="Times New Roman"/>
        </w:rPr>
        <w:t xml:space="preserve"> have to be?</w:t>
      </w:r>
    </w:p>
    <w:p w:rsidR="00BB78C8" w:rsidRPr="00B01778" w:rsidRDefault="00BB78C8" w:rsidP="00DF4385">
      <w:pPr>
        <w:spacing w:line="240" w:lineRule="auto"/>
        <w:contextualSpacing/>
        <w:rPr>
          <w:rFonts w:ascii="Times New Roman" w:hAnsi="Times New Roman"/>
        </w:rPr>
      </w:pPr>
    </w:p>
    <w:p w:rsidR="00FD1D9F" w:rsidRPr="00FD1D9F" w:rsidRDefault="00FD1D9F" w:rsidP="00DF438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Solution: We are looking for a point “area to the right” of whom is 2.5% or 0.025.</w:t>
      </w:r>
    </w:p>
    <w:p w:rsidR="005E45CA" w:rsidRDefault="005E45CA" w:rsidP="00DF4385">
      <w:pPr>
        <w:spacing w:line="240" w:lineRule="auto"/>
        <w:contextualSpacing/>
        <w:rPr>
          <w:rFonts w:ascii="Times New Roman" w:hAnsi="Times New Roman"/>
        </w:rPr>
      </w:pPr>
    </w:p>
    <w:p w:rsidR="00FD1D9F" w:rsidRDefault="00FD1D9F" w:rsidP="00DF438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look for the corresponding z on standard normal distribution, whose “area to the right” is also 0.025. </w:t>
      </w:r>
    </w:p>
    <w:p w:rsidR="00FD1D9F" w:rsidRPr="00FD1D9F" w:rsidRDefault="00FD1D9F" w:rsidP="00DF4385">
      <w:pPr>
        <w:spacing w:line="240" w:lineRule="auto"/>
        <w:contextualSpacing/>
        <w:rPr>
          <w:rFonts w:ascii="Times New Roman" w:hAnsi="Times New Roman"/>
          <w:i/>
          <w:sz w:val="24"/>
          <w:szCs w:val="24"/>
        </w:rPr>
      </w:pPr>
      <w:r w:rsidRPr="00FD1D9F">
        <w:rPr>
          <w:rFonts w:ascii="Times New Roman" w:hAnsi="Times New Roman"/>
          <w:i/>
          <w:sz w:val="24"/>
          <w:szCs w:val="24"/>
        </w:rPr>
        <w:t xml:space="preserve">Attn that, we should look for 0.975 on the chart, since all the four decimal numbers shown on the chart are “area to the left”. </w:t>
      </w:r>
    </w:p>
    <w:p w:rsidR="00FD1D9F" w:rsidRPr="00FD1D9F" w:rsidRDefault="00FD1D9F" w:rsidP="00DF4385">
      <w:pPr>
        <w:spacing w:line="240" w:lineRule="auto"/>
        <w:contextualSpacing/>
        <w:rPr>
          <w:rFonts w:ascii="Times New Roman" w:hAnsi="Times New Roman"/>
        </w:rPr>
      </w:pPr>
    </w:p>
    <w:p w:rsidR="005E45CA" w:rsidRDefault="005E45CA" w:rsidP="00DF438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From Table A, we know</w:t>
      </w:r>
    </w:p>
    <w:p w:rsidR="005E45CA" w:rsidRPr="00DE5F74" w:rsidRDefault="00202DF5" w:rsidP="00DF4385">
      <w:pPr>
        <w:spacing w:line="240" w:lineRule="auto"/>
        <w:contextualSpacing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z≈1.96</m:t>
          </m:r>
        </m:oMath>
      </m:oMathPara>
    </w:p>
    <w:p w:rsidR="00DE5F74" w:rsidRDefault="00DE5F74" w:rsidP="00DF438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Hence,</w:t>
      </w:r>
    </w:p>
    <w:p w:rsidR="00DE5F74" w:rsidRPr="00DE5F74" w:rsidRDefault="00202DF5" w:rsidP="00DF4385">
      <w:pPr>
        <w:spacing w:line="240" w:lineRule="auto"/>
        <w:contextualSpacing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x-8.1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=z=1.96 ⟹ x=8.296.</m:t>
          </m:r>
        </m:oMath>
      </m:oMathPara>
    </w:p>
    <w:p w:rsidR="00DE5F74" w:rsidRPr="00DE5F74" w:rsidRDefault="00DE5F74" w:rsidP="00DF438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In conclusion, in order t</w:t>
      </w:r>
      <w:r w:rsidRPr="00B01778">
        <w:rPr>
          <w:rFonts w:ascii="Times New Roman" w:hAnsi="Times New Roman"/>
        </w:rPr>
        <w:t xml:space="preserve">o be labeled as </w:t>
      </w:r>
      <w:r>
        <w:rPr>
          <w:rFonts w:ascii="Times New Roman" w:hAnsi="Times New Roman"/>
        </w:rPr>
        <w:t xml:space="preserve">overweight, </w:t>
      </w:r>
      <w:r w:rsidRPr="00B01778">
        <w:rPr>
          <w:rFonts w:ascii="Times New Roman" w:hAnsi="Times New Roman"/>
        </w:rPr>
        <w:t>a chocolate bar</w:t>
      </w:r>
      <w:r>
        <w:rPr>
          <w:rFonts w:ascii="Times New Roman" w:hAnsi="Times New Roman"/>
        </w:rPr>
        <w:t xml:space="preserve"> has</w:t>
      </w:r>
      <w:r w:rsidRPr="00B01778">
        <w:rPr>
          <w:rFonts w:ascii="Times New Roman" w:hAnsi="Times New Roman"/>
        </w:rPr>
        <w:t xml:space="preserve"> to be</w:t>
      </w:r>
      <w:r>
        <w:rPr>
          <w:rFonts w:ascii="Times New Roman" w:hAnsi="Times New Roman"/>
        </w:rPr>
        <w:t xml:space="preserve"> at least 8.296 oz.</w:t>
      </w:r>
    </w:p>
    <w:p w:rsidR="005E45CA" w:rsidRPr="005E45CA" w:rsidRDefault="005E45CA" w:rsidP="00DF4385">
      <w:pPr>
        <w:spacing w:line="240" w:lineRule="auto"/>
        <w:contextualSpacing/>
        <w:rPr>
          <w:rFonts w:ascii="Times New Roman" w:hAnsi="Times New Roman"/>
        </w:rPr>
      </w:pPr>
    </w:p>
    <w:p w:rsidR="00BB78C8" w:rsidRPr="00B01778" w:rsidRDefault="00BB78C8" w:rsidP="00DF4385">
      <w:pPr>
        <w:spacing w:line="240" w:lineRule="auto"/>
        <w:contextualSpacing/>
        <w:rPr>
          <w:rFonts w:ascii="Times New Roman" w:hAnsi="Times New Roman"/>
        </w:rPr>
      </w:pPr>
    </w:p>
    <w:p w:rsidR="00BB78C8" w:rsidRPr="00B01778" w:rsidRDefault="00BB78C8" w:rsidP="00DF4385">
      <w:pPr>
        <w:spacing w:line="240" w:lineRule="auto"/>
        <w:contextualSpacing/>
        <w:rPr>
          <w:rFonts w:ascii="Times New Roman" w:hAnsi="Times New Roman"/>
        </w:rPr>
      </w:pPr>
    </w:p>
    <w:p w:rsidR="006C6656" w:rsidRDefault="006C6656" w:rsidP="00DF4385">
      <w:pPr>
        <w:spacing w:line="240" w:lineRule="auto"/>
        <w:contextualSpacing/>
        <w:rPr>
          <w:rFonts w:ascii="Times New Roman" w:hAnsi="Times New Roman"/>
        </w:rPr>
      </w:pPr>
    </w:p>
    <w:p w:rsidR="00AD46BD" w:rsidRDefault="00BB78C8" w:rsidP="00DF4385">
      <w:pPr>
        <w:spacing w:line="240" w:lineRule="auto"/>
        <w:contextualSpacing/>
        <w:rPr>
          <w:rFonts w:ascii="Times New Roman" w:hAnsi="Times New Roman"/>
        </w:rPr>
      </w:pPr>
      <w:r w:rsidRPr="00B01778">
        <w:rPr>
          <w:rFonts w:ascii="Times New Roman" w:hAnsi="Times New Roman"/>
        </w:rPr>
        <w:t>10. How should the chocolate bar wrappers be labeled so only 1% of bars produced are underweight</w:t>
      </w:r>
      <w:r w:rsidR="001F6EF6" w:rsidRPr="00B01778">
        <w:rPr>
          <w:rFonts w:ascii="Times New Roman" w:hAnsi="Times New Roman"/>
        </w:rPr>
        <w:t>, while at the same time only 1% of bars produced are overweight?</w:t>
      </w:r>
    </w:p>
    <w:p w:rsidR="008B5E19" w:rsidRDefault="008B5E19" w:rsidP="00DF4385">
      <w:pPr>
        <w:spacing w:line="240" w:lineRule="auto"/>
        <w:contextualSpacing/>
        <w:rPr>
          <w:rFonts w:ascii="Times New Roman" w:hAnsi="Times New Roman"/>
        </w:rPr>
      </w:pPr>
    </w:p>
    <w:p w:rsidR="008B5E19" w:rsidRDefault="008B5E19" w:rsidP="00DF4385">
      <w:pPr>
        <w:spacing w:line="240" w:lineRule="auto"/>
        <w:contextualSpacing/>
        <w:rPr>
          <w:rFonts w:ascii="Times New Roman" w:hAnsi="Times New Roman"/>
        </w:rPr>
      </w:pPr>
    </w:p>
    <w:p w:rsidR="00DE5F74" w:rsidRDefault="004B1E48" w:rsidP="004B1E48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The question asks for two points, s.t.</w:t>
      </w:r>
    </w:p>
    <w:p w:rsidR="004B1E48" w:rsidRDefault="00202DF5" w:rsidP="004B1E48">
      <w:pPr>
        <w:spacing w:line="240" w:lineRule="auto"/>
        <w:contextualSpacing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area to the left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1%,  and area to the right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is also 1%,</m:t>
          </m:r>
        </m:oMath>
      </m:oMathPara>
    </w:p>
    <w:p w:rsidR="008B5E19" w:rsidRDefault="008B5E19" w:rsidP="008B5E19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r>
          <w:rPr>
            <w:rFonts w:ascii="Cambria Math" w:hAnsi="Cambria Math"/>
          </w:rPr>
          <m:t>X~N(8.1, 0.1)</m:t>
        </m:r>
      </m:oMath>
      <w:r>
        <w:rPr>
          <w:rFonts w:ascii="Times New Roman" w:hAnsi="Times New Roman"/>
        </w:rPr>
        <w:t>.</w:t>
      </w:r>
    </w:p>
    <w:p w:rsidR="008B5E19" w:rsidRDefault="008B5E19" w:rsidP="008B5E19">
      <w:pPr>
        <w:spacing w:line="240" w:lineRule="auto"/>
        <w:contextualSpacing/>
        <w:rPr>
          <w:rFonts w:ascii="Times New Roman" w:hAnsi="Times New Roman"/>
        </w:rPr>
      </w:pPr>
    </w:p>
    <w:p w:rsidR="004B1E48" w:rsidRDefault="004B1E48" w:rsidP="008B5E19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Hence, look for </w:t>
      </w:r>
      <m:oMath>
        <m:r>
          <w:rPr>
            <w:rFonts w:ascii="Cambria Math" w:hAnsi="Cambria Math"/>
          </w:rPr>
          <m:t>z</m:t>
        </m:r>
      </m:oMath>
      <w:r>
        <w:rPr>
          <w:rFonts w:ascii="Times New Roman" w:hAnsi="Times New Roman"/>
        </w:rPr>
        <w:t>’s such that</w:t>
      </w:r>
    </w:p>
    <w:p w:rsidR="008B5E19" w:rsidRDefault="00202DF5" w:rsidP="004B1E48">
      <w:pPr>
        <w:spacing w:line="240" w:lineRule="auto"/>
        <w:contextualSpacing/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area to the left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is 1%, and area to the left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is 99%</m:t>
        </m:r>
      </m:oMath>
      <w:r w:rsidR="004B1E48">
        <w:rPr>
          <w:rFonts w:ascii="Times New Roman" w:hAnsi="Times New Roman"/>
        </w:rPr>
        <w:t>.</w:t>
      </w:r>
    </w:p>
    <w:p w:rsidR="008B5E19" w:rsidRDefault="008B5E19" w:rsidP="008B5E19">
      <w:pPr>
        <w:spacing w:line="240" w:lineRule="auto"/>
        <w:contextualSpacing/>
        <w:rPr>
          <w:rFonts w:ascii="Times New Roman" w:hAnsi="Times New Roman"/>
        </w:rPr>
      </w:pPr>
    </w:p>
    <w:p w:rsidR="008B5E19" w:rsidRDefault="008B5E19" w:rsidP="008B5E19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According to Table A,</w:t>
      </w:r>
    </w:p>
    <w:p w:rsidR="00F22E52" w:rsidRDefault="008B5E19" w:rsidP="008B5E19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have: </w:t>
      </w:r>
    </w:p>
    <w:p w:rsidR="008B5E19" w:rsidRDefault="00202DF5" w:rsidP="00F22E52">
      <w:pPr>
        <w:spacing w:line="240" w:lineRule="auto"/>
        <w:contextualSpacing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=-2.33,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=2.33</m:t>
        </m:r>
      </m:oMath>
      <w:r w:rsidR="008B5E19">
        <w:rPr>
          <w:rFonts w:ascii="Times New Roman" w:hAnsi="Times New Roman"/>
        </w:rPr>
        <w:t>.</w:t>
      </w:r>
    </w:p>
    <w:p w:rsidR="00F22E52" w:rsidRDefault="00F22E52" w:rsidP="00F22E52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Hence,</w:t>
      </w:r>
    </w:p>
    <w:p w:rsidR="00F22E52" w:rsidRDefault="00202DF5" w:rsidP="00F22E52">
      <w:pPr>
        <w:spacing w:line="240" w:lineRule="auto"/>
        <w:contextualSpacing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=8.1-2.33×0.1=7.867,</m:t>
          </m:r>
        </m:oMath>
      </m:oMathPara>
    </w:p>
    <w:p w:rsidR="00F22E52" w:rsidRDefault="00F22E52" w:rsidP="00F22E52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and</w:t>
      </w:r>
    </w:p>
    <w:p w:rsidR="00F22E52" w:rsidRDefault="00202DF5" w:rsidP="00F22E52">
      <w:pPr>
        <w:spacing w:line="240" w:lineRule="auto"/>
        <w:contextualSpacing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=8.1+2.33×0.1=8.333</m:t>
          </m:r>
        </m:oMath>
      </m:oMathPara>
    </w:p>
    <w:p w:rsidR="00F22E52" w:rsidRPr="00B01778" w:rsidRDefault="00F22E52" w:rsidP="008B5E19">
      <w:pPr>
        <w:spacing w:line="240" w:lineRule="auto"/>
        <w:contextualSpacing/>
        <w:rPr>
          <w:rFonts w:ascii="Times New Roman" w:hAnsi="Times New Roman"/>
        </w:rPr>
      </w:pPr>
    </w:p>
    <w:sectPr w:rsidR="00F22E52" w:rsidRPr="00B01778" w:rsidSect="008E6B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141" w:rsidRDefault="00D70141" w:rsidP="008E6BCE">
      <w:pPr>
        <w:spacing w:after="0" w:line="240" w:lineRule="auto"/>
      </w:pPr>
      <w:r>
        <w:separator/>
      </w:r>
    </w:p>
  </w:endnote>
  <w:endnote w:type="continuationSeparator" w:id="0">
    <w:p w:rsidR="00D70141" w:rsidRDefault="00D70141" w:rsidP="008E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778" w:rsidRDefault="006D63F0">
    <w:pPr>
      <w:pStyle w:val="Footer"/>
      <w:jc w:val="right"/>
    </w:pPr>
    <w:fldSimple w:instr=" PAGE   \* MERGEFORMAT ">
      <w:r w:rsidR="00202DF5">
        <w:rPr>
          <w:noProof/>
        </w:rPr>
        <w:t>1</w:t>
      </w:r>
    </w:fldSimple>
  </w:p>
  <w:p w:rsidR="00B01778" w:rsidRDefault="00B017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141" w:rsidRDefault="00D70141" w:rsidP="008E6BCE">
      <w:pPr>
        <w:spacing w:after="0" w:line="240" w:lineRule="auto"/>
      </w:pPr>
      <w:r>
        <w:separator/>
      </w:r>
    </w:p>
  </w:footnote>
  <w:footnote w:type="continuationSeparator" w:id="0">
    <w:p w:rsidR="00D70141" w:rsidRDefault="00D70141" w:rsidP="008E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8E6BCE"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8E6BCE" w:rsidRDefault="00831D09">
          <w:pPr>
            <w:pStyle w:val="Header"/>
            <w:jc w:val="right"/>
            <w:rPr>
              <w:color w:val="FFFFFF"/>
            </w:rPr>
          </w:pPr>
          <w:r>
            <w:rPr>
              <w:color w:val="FFFFFF"/>
            </w:rPr>
            <w:t>September 13, 2009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8E6BCE" w:rsidRDefault="008E6BCE" w:rsidP="00831D09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MIdterm I</w:t>
          </w:r>
          <w:r w:rsidR="002654F7">
            <w:rPr>
              <w:b/>
              <w:bCs/>
              <w:caps/>
              <w:sz w:val="24"/>
              <w:szCs w:val="24"/>
            </w:rPr>
            <w:t xml:space="preserve"> </w:t>
          </w:r>
          <w:r w:rsidR="00831D09">
            <w:rPr>
              <w:b/>
              <w:bCs/>
              <w:caps/>
              <w:sz w:val="24"/>
              <w:szCs w:val="24"/>
            </w:rPr>
            <w:t>sample test</w:t>
          </w:r>
          <w:r>
            <w:rPr>
              <w:b/>
              <w:bCs/>
              <w:color w:val="76923C"/>
              <w:sz w:val="24"/>
              <w:szCs w:val="24"/>
            </w:rPr>
            <w:t>]</w:t>
          </w:r>
        </w:p>
      </w:tc>
    </w:tr>
  </w:tbl>
  <w:p w:rsidR="008E6BCE" w:rsidRDefault="008E6B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E6BCE"/>
    <w:rsid w:val="00057A4F"/>
    <w:rsid w:val="00060E71"/>
    <w:rsid w:val="00093051"/>
    <w:rsid w:val="000B025E"/>
    <w:rsid w:val="000B66F1"/>
    <w:rsid w:val="00101516"/>
    <w:rsid w:val="001468C6"/>
    <w:rsid w:val="00152D17"/>
    <w:rsid w:val="001637DC"/>
    <w:rsid w:val="00166B42"/>
    <w:rsid w:val="00176FC3"/>
    <w:rsid w:val="0017743A"/>
    <w:rsid w:val="001841D3"/>
    <w:rsid w:val="001966FA"/>
    <w:rsid w:val="001B2026"/>
    <w:rsid w:val="001F199B"/>
    <w:rsid w:val="001F6EF6"/>
    <w:rsid w:val="00201AB8"/>
    <w:rsid w:val="00202DF5"/>
    <w:rsid w:val="00206889"/>
    <w:rsid w:val="00233508"/>
    <w:rsid w:val="00244335"/>
    <w:rsid w:val="002654F7"/>
    <w:rsid w:val="00293F6F"/>
    <w:rsid w:val="002F0A68"/>
    <w:rsid w:val="003757FB"/>
    <w:rsid w:val="003B30FF"/>
    <w:rsid w:val="00447730"/>
    <w:rsid w:val="004B1E48"/>
    <w:rsid w:val="00524E52"/>
    <w:rsid w:val="0053119F"/>
    <w:rsid w:val="00584EDB"/>
    <w:rsid w:val="005E45CA"/>
    <w:rsid w:val="00622444"/>
    <w:rsid w:val="0062443B"/>
    <w:rsid w:val="00654A81"/>
    <w:rsid w:val="006B0E67"/>
    <w:rsid w:val="006C6656"/>
    <w:rsid w:val="006D63F0"/>
    <w:rsid w:val="00712C1E"/>
    <w:rsid w:val="007C6FA0"/>
    <w:rsid w:val="008270D9"/>
    <w:rsid w:val="00831D09"/>
    <w:rsid w:val="00842EFA"/>
    <w:rsid w:val="008A10F2"/>
    <w:rsid w:val="008A6653"/>
    <w:rsid w:val="008B5E19"/>
    <w:rsid w:val="008B69B1"/>
    <w:rsid w:val="008E26EC"/>
    <w:rsid w:val="008E6BCE"/>
    <w:rsid w:val="008F4125"/>
    <w:rsid w:val="00937959"/>
    <w:rsid w:val="009953EB"/>
    <w:rsid w:val="009C3B94"/>
    <w:rsid w:val="00A12685"/>
    <w:rsid w:val="00A42FBA"/>
    <w:rsid w:val="00A52E24"/>
    <w:rsid w:val="00A558C0"/>
    <w:rsid w:val="00AA47CF"/>
    <w:rsid w:val="00AD46BD"/>
    <w:rsid w:val="00B01778"/>
    <w:rsid w:val="00B3471D"/>
    <w:rsid w:val="00B7095E"/>
    <w:rsid w:val="00B91297"/>
    <w:rsid w:val="00B945E8"/>
    <w:rsid w:val="00BB78C8"/>
    <w:rsid w:val="00C404BA"/>
    <w:rsid w:val="00C43A00"/>
    <w:rsid w:val="00D70141"/>
    <w:rsid w:val="00DA23ED"/>
    <w:rsid w:val="00DC0227"/>
    <w:rsid w:val="00DD2606"/>
    <w:rsid w:val="00DE5F74"/>
    <w:rsid w:val="00DF4385"/>
    <w:rsid w:val="00E00C91"/>
    <w:rsid w:val="00E13B8A"/>
    <w:rsid w:val="00E257B1"/>
    <w:rsid w:val="00E441F1"/>
    <w:rsid w:val="00EC78FA"/>
    <w:rsid w:val="00F16D88"/>
    <w:rsid w:val="00F22E52"/>
    <w:rsid w:val="00F43EB5"/>
    <w:rsid w:val="00FC75B4"/>
    <w:rsid w:val="00FD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27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CE"/>
  </w:style>
  <w:style w:type="paragraph" w:styleId="Footer">
    <w:name w:val="footer"/>
    <w:basedOn w:val="Normal"/>
    <w:link w:val="FooterChar"/>
    <w:uiPriority w:val="99"/>
    <w:unhideWhenUsed/>
    <w:rsid w:val="008E6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CE"/>
  </w:style>
  <w:style w:type="paragraph" w:styleId="BalloonText">
    <w:name w:val="Balloon Text"/>
    <w:basedOn w:val="Normal"/>
    <w:link w:val="BalloonTextChar"/>
    <w:uiPriority w:val="99"/>
    <w:semiHidden/>
    <w:unhideWhenUsed/>
    <w:rsid w:val="008E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CE"/>
    <w:rPr>
      <w:rFonts w:ascii="Tahoma" w:hAnsi="Tahoma" w:cs="Tahoma"/>
      <w:sz w:val="16"/>
      <w:szCs w:val="16"/>
    </w:rPr>
  </w:style>
  <w:style w:type="paragraph" w:customStyle="1" w:styleId="Times">
    <w:name w:val="Times"/>
    <w:basedOn w:val="Normal"/>
    <w:rsid w:val="00DC0227"/>
    <w:pPr>
      <w:spacing w:after="0" w:line="240" w:lineRule="auto"/>
    </w:pPr>
    <w:rPr>
      <w:rFonts w:ascii="Times" w:hAnsi="Times" w:cs="Times"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AD46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4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5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661</Words>
  <Characters>3770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</vt:lpstr>
    </vt:vector>
  </TitlesOfParts>
  <Company>gsu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</dc:title>
  <dc:creator>Meng Zhao</dc:creator>
  <cp:lastModifiedBy>India</cp:lastModifiedBy>
  <cp:revision>2</cp:revision>
  <cp:lastPrinted>2009-09-14T01:36:00Z</cp:lastPrinted>
  <dcterms:created xsi:type="dcterms:W3CDTF">2009-09-16T00:30:00Z</dcterms:created>
  <dcterms:modified xsi:type="dcterms:W3CDTF">2009-09-16T00:30:00Z</dcterms:modified>
</cp:coreProperties>
</file>