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9"/>
          <w:sz w:val="24"/>
          <w:szCs w:val="24"/>
        </w:rPr>
        <w:t xml:space="preserve">UNIVERSIDAD ANTONIO JOSÉ CAMACHO — UNIAJC</w:t>
      </w:r>
    </w:p>
    <w:p>
      <w:pPr>
        <w:spacing w:after="200"/>
        <w:jc w:val="center"/>
      </w:pPr>
      <w:r>
        <w:rPr>
          <w:sz w:val="20"/>
          <w:szCs w:val="20"/>
        </w:rPr>
        <w:t xml:space="preserve">Facultad de Ingeniería — Programa de Ingeniería de Sistemas</w:t>
      </w:r>
    </w:p>
    <w:p>
      <w:pPr>
        <w:pBdr>
          <w:bottom w:val="single" w:color="1F4E79" w:sz="12" w:space="1"/>
        </w:pBdr>
        <w:spacing w:after="300"/>
        <w:jc w:val="center"/>
      </w:pPr>
      <w:r>
        <w:rPr>
          <w:b/>
          <w:bCs/>
          <w:color w:val="1F4E79"/>
          <w:sz w:val="32"/>
          <w:szCs w:val="32"/>
        </w:rPr>
        <w:t xml:space="preserve">ARQUITECTURA DE MICROSERVICIOS PARA UNA EPS</w:t>
      </w:r>
    </w:p>
    <w:p>
      <w:pPr>
        <w:spacing w:after="400"/>
        <w:jc w:val="center"/>
      </w:pPr>
      <w:r>
        <w:rPr>
          <w:i/>
          <w:iCs/>
          <w:color w:val="666666"/>
          <w:sz w:val="20"/>
          <w:szCs w:val="20"/>
        </w:rPr>
        <w:t xml:space="preserve">Documentación de arquitectura — Rama desarrollo</w:t>
      </w:r>
    </w:p>
    <w:p>
      <w:pPr>
        <w:pStyle w:val="Heading1"/>
      </w:pPr>
      <w:r>
        <w:t xml:space="preserve">1. Contexto y motivación</w:t>
      </w:r>
    </w:p>
    <w:p>
      <w:pPr>
        <w:spacing w:after="200"/>
      </w:pPr>
      <w:r>
        <w:t xml:space="preserve">Una Entidad Promotora de Salud (EPS) gestiona procesos críticos: afiliación de usuarios, agendamiento de citas, autorizaciones de servicios, historias clínicas, facturación y notificaciones. Estos dominios tienen diferentes ritmos de cambio, volúmenes de tráfico y requisitos de disponibilidad.</w:t>
      </w:r>
    </w:p>
    <w:p>
      <w:pPr>
        <w:spacing w:after="200"/>
      </w:pPr>
      <w:r>
        <w:t xml:space="preserve">Adoptar una arquitectura de microservicios permite desacoplar estos dominios, escalar de forma independiente cada componente y facilitar el trabajo de equipos distribuidos. El presente documento describe la arquitectura propuesta para el sistema de una EPS.</w:t>
      </w:r>
    </w:p>
    <w:p>
      <w:pPr>
        <w:pStyle w:val="Heading1"/>
      </w:pPr>
      <w:r>
        <w:t xml:space="preserve">2. Estilo arquitectónico</w:t>
      </w:r>
    </w:p>
    <w:p>
      <w:pPr>
        <w:spacing w:after="200"/>
      </w:pPr>
      <w:r>
        <w:t xml:space="preserve">Se utiliza el estilo de microservicios con un API Gateway como punto de entrada único. Cada microservicio es autónomo, posee su propia base de datos (Database per Service) y se comunica preferentemente mediante APIs REST síncronas y, cuando es necesario, eventos asíncronos.</w:t>
      </w:r>
    </w:p>
    <w:p>
      <w:pPr>
        <w:spacing w:after="120"/>
      </w:pPr>
      <w:r>
        <w:rPr>
          <w:b/>
          <w:bCs/>
        </w:rPr>
        <w:t xml:space="preserve">Principios aplicados:</w:t>
      </w:r>
    </w:p>
    <w:p>
      <w:pPr>
        <w:pStyle w:val="ListParagraph"/>
        <w:numPr>
          <w:ilvl w:val="0"/>
          <w:numId w:val="2"/>
        </w:numPr>
      </w:pPr>
      <w:r>
        <w:rPr>
          <w:b/>
          <w:bCs/>
        </w:rPr>
        <w:t xml:space="preserve">Single Responsibility: </w:t>
      </w:r>
      <w:r>
        <w:t xml:space="preserve">cada servicio tiene un único dominio de negocio.</w:t>
      </w:r>
    </w:p>
    <w:p>
      <w:pPr>
        <w:pStyle w:val="ListParagraph"/>
        <w:numPr>
          <w:ilvl w:val="0"/>
          <w:numId w:val="2"/>
        </w:numPr>
      </w:pPr>
      <w:r>
        <w:rPr>
          <w:b/>
          <w:bCs/>
        </w:rPr>
        <w:t xml:space="preserve">Independencia de despliegue: </w:t>
      </w:r>
      <w:r>
        <w:t xml:space="preserve">se puede actualizar un servicio sin afectar a los demás.</w:t>
      </w:r>
    </w:p>
    <w:p>
      <w:pPr>
        <w:pStyle w:val="ListParagraph"/>
        <w:numPr>
          <w:ilvl w:val="0"/>
          <w:numId w:val="2"/>
        </w:numPr>
      </w:pPr>
      <w:r>
        <w:rPr>
          <w:b/>
          <w:bCs/>
        </w:rPr>
        <w:t xml:space="preserve">Base de datos por servicio: </w:t>
      </w:r>
      <w:r>
        <w:t xml:space="preserve">evita el acoplamiento a nivel de datos.</w:t>
      </w:r>
    </w:p>
    <w:p>
      <w:pPr>
        <w:pStyle w:val="ListParagraph"/>
        <w:numPr>
          <w:ilvl w:val="0"/>
          <w:numId w:val="2"/>
        </w:numPr>
      </w:pPr>
      <w:r>
        <w:rPr>
          <w:b/>
          <w:bCs/>
        </w:rPr>
        <w:t xml:space="preserve">API Gateway: </w:t>
      </w:r>
      <w:r>
        <w:t xml:space="preserve">centraliza autenticación, enrutamiento y políticas transversales.</w:t>
      </w:r>
    </w:p>
    <w:p>
      <w:pPr>
        <w:pStyle w:val="ListParagraph"/>
        <w:numPr>
          <w:ilvl w:val="0"/>
          <w:numId w:val="2"/>
        </w:numPr>
        <w:spacing w:after="200"/>
      </w:pPr>
      <w:r>
        <w:rPr>
          <w:b/>
          <w:bCs/>
        </w:rPr>
        <w:t xml:space="preserve">Comunicación desacoplada: </w:t>
      </w:r>
      <w:r>
        <w:t xml:space="preserve">uso de eventos para procesos que no requieren respuesta inmediata.</w:t>
      </w:r>
    </w:p>
    <w:p>
      <w:pPr>
        <w:pStyle w:val="Heading1"/>
      </w:pPr>
      <w:r>
        <w:t xml:space="preserve">3. Componentes de la arquitectura</w:t>
      </w:r>
    </w:p>
    <w:p>
      <w:pPr>
        <w:pStyle w:val="Heading2"/>
      </w:pPr>
      <w:r>
        <w:t xml:space="preserve">3.1. API Gateway</w:t>
      </w:r>
    </w:p>
    <w:p>
      <w:pPr>
        <w:spacing w:after="200"/>
      </w:pPr>
      <w:r>
        <w:t xml:space="preserve">Único punto de entrada para clientes externos (web, móvil, sistemas de terceros). Realiza: autenticación JWT, autorización básica, enrutamiento hacia los microservicios, rate limiting, logging y transformación de protocolos si es necesario.</w:t>
      </w:r>
    </w:p>
    <w:p>
      <w:pPr>
        <w:pStyle w:val="Heading2"/>
      </w:pPr>
      <w:r>
        <w:t xml:space="preserve">3.2. Microservicios de dominio</w:t>
      </w:r>
    </w:p>
    <w:p>
      <w:pPr>
        <w:spacing w:after="100"/>
      </w:pPr>
      <w:r>
        <w:rPr>
          <w:b/>
          <w:bCs/>
        </w:rPr>
        <w:t xml:space="preserve">Servicio de Afiliados: </w:t>
      </w:r>
      <w:r>
        <w:t xml:space="preserve">gestión del ciclo de vida del afiliado, datos demográficos, estado de afiliación y cobertura.</w:t>
      </w:r>
    </w:p>
    <w:p>
      <w:pPr>
        <w:spacing w:after="100"/>
      </w:pPr>
      <w:r>
        <w:rPr>
          <w:b/>
          <w:bCs/>
        </w:rPr>
        <w:t xml:space="preserve">Servicio de Citas: </w:t>
      </w:r>
      <w:r>
        <w:t xml:space="preserve">agenda médica, disponibilidad de profesionales, reserva y cancelación de citas.</w:t>
      </w:r>
    </w:p>
    <w:p>
      <w:pPr>
        <w:spacing w:after="100"/>
      </w:pPr>
      <w:r>
        <w:rPr>
          <w:b/>
          <w:bCs/>
        </w:rPr>
        <w:t xml:space="preserve">Servicio de Facturación: </w:t>
      </w:r>
      <w:r>
        <w:t xml:space="preserve">liquidación, generación de facturas, copagos y cuotas moderadoras.</w:t>
      </w:r>
    </w:p>
    <w:p>
      <w:pPr>
        <w:spacing w:after="100"/>
      </w:pPr>
      <w:r>
        <w:rPr>
          <w:b/>
          <w:bCs/>
        </w:rPr>
        <w:t xml:space="preserve">Servicio de Historias Clínicas: </w:t>
      </w:r>
      <w:r>
        <w:t xml:space="preserve">registro y consulta de evoluciones, diagnósticos y tratamientos.</w:t>
      </w:r>
    </w:p>
    <w:p>
      <w:pPr>
        <w:spacing w:after="100"/>
      </w:pPr>
      <w:r>
        <w:rPr>
          <w:b/>
          <w:bCs/>
        </w:rPr>
        <w:t xml:space="preserve">Servicio de Autorizaciones: </w:t>
      </w:r>
      <w:r>
        <w:t xml:space="preserve">evaluación y aprobación de servicios de alto costo y procedimientos especiales.</w:t>
      </w:r>
    </w:p>
    <w:p>
      <w:pPr>
        <w:spacing w:after="200"/>
      </w:pPr>
      <w:r>
        <w:rPr>
          <w:b/>
          <w:bCs/>
        </w:rPr>
        <w:t xml:space="preserve">Servicio de Notificaciones: </w:t>
      </w:r>
      <w:r>
        <w:t xml:space="preserve">envío de correos, SMS y notificaciones push a partir de eventos de los demás servicios.</w:t>
      </w:r>
    </w:p>
    <w:p>
      <w:pPr>
        <w:pStyle w:val="Heading2"/>
      </w:pPr>
      <w:r>
        <w:t xml:space="preserve">3.3. Capas de datos</w:t>
      </w:r>
    </w:p>
    <w:p>
      <w:pPr>
        <w:spacing w:after="200"/>
      </w:pPr>
      <w:r>
        <w:t xml:space="preserve">Cada microservicio posee su propia base de datos. No se comparten esquemas ni se realizan joins entre bases de distintos servicios. La consistencia eventual se logra mediante eventos de dominio cuando es necesario sincronizar información entre contextos.</w:t>
      </w:r>
    </w:p>
    <w:p>
      <w:pPr>
        <w:pStyle w:val="Heading1"/>
      </w:pPr>
      <w:r>
        <w:t xml:space="preserve">4. Diagrama de arquitectura</w:t>
      </w:r>
    </w:p>
    <w:p>
      <w:pPr>
        <w:spacing w:after="150"/>
      </w:pPr>
      <w:r>
        <w:t xml:space="preserve">A continuación se presenta el diagrama de alto nivel de la arquitectura (representación textual / PlantUML):</w:t>
      </w:r>
    </w:p>
    <w:p>
      <w:pPr>
        <w:spacing w:after="80" w:before="100"/>
        <w:jc w:val="center"/>
      </w:pPr>
      <w:r>
        <w:rPr>
          <w:rFonts w:ascii="Consolas" w:cs="Consolas" w:eastAsia="Consolas" w:hAnsi="Consolas"/>
          <w:sz w:val="16"/>
          <w:szCs w:val="16"/>
        </w:rPr>
        <w:t xml:space="preserve">┌─────────────────────────────────────────────────────────────┐</w:t>
      </w:r>
    </w:p>
    <w:p>
      <w:pPr>
        <w:spacing w:after="80"/>
        <w:jc w:val="center"/>
      </w:pPr>
      <w:r>
        <w:rPr>
          <w:rFonts w:ascii="Consolas" w:cs="Consolas" w:eastAsia="Consolas" w:hAnsi="Consolas"/>
          <w:sz w:val="16"/>
          <w:szCs w:val="16"/>
        </w:rPr>
        <w:t xml:space="preserve">│                    CLIENTES (Web / Móvil / APIs)             │</w:t>
      </w:r>
    </w:p>
    <w:p>
      <w:pPr>
        <w:spacing w:after="80"/>
        <w:jc w:val="center"/>
      </w:pPr>
      <w:r>
        <w:rPr>
          <w:rFonts w:ascii="Consolas" w:cs="Consolas" w:eastAsia="Consolas" w:hAnsi="Consolas"/>
          <w:sz w:val="16"/>
          <w:szCs w:val="16"/>
        </w:rPr>
        <w:t xml:space="preserve">└──────────────────────────┬──────────────────────────────────┘</w:t>
      </w:r>
    </w:p>
    <w:p>
      <w:pPr>
        <w:spacing w:after="80"/>
        <w:jc w:val="center"/>
      </w:pPr>
      <w:r>
        <w:rPr>
          <w:rFonts w:ascii="Consolas" w:cs="Consolas" w:eastAsia="Consolas" w:hAnsi="Consolas"/>
          <w:sz w:val="16"/>
          <w:szCs w:val="16"/>
        </w:rPr>
        <w:t xml:space="preserve">                           │</w:t>
      </w:r>
    </w:p>
    <w:p>
      <w:pPr>
        <w:spacing w:after="80"/>
        <w:jc w:val="center"/>
      </w:pPr>
      <w:r>
        <w:rPr>
          <w:rFonts w:ascii="Consolas" w:cs="Consolas" w:eastAsia="Consolas" w:hAnsi="Consolas"/>
          <w:sz w:val="16"/>
          <w:szCs w:val="16"/>
        </w:rPr>
        <w:t xml:space="preserve">              ┌────────────▼────────────┐</w:t>
      </w:r>
    </w:p>
    <w:p>
      <w:pPr>
        <w:spacing w:after="80"/>
        <w:jc w:val="center"/>
      </w:pPr>
      <w:r>
        <w:rPr>
          <w:rFonts w:ascii="Consolas" w:cs="Consolas" w:eastAsia="Consolas" w:hAnsi="Consolas"/>
          <w:b/>
          <w:bCs/>
          <w:sz w:val="16"/>
          <w:szCs w:val="16"/>
        </w:rPr>
        <w:t xml:space="preserve">              │      API GATEWAY        │</w:t>
      </w:r>
    </w:p>
    <w:p>
      <w:pPr>
        <w:spacing w:after="80"/>
        <w:jc w:val="center"/>
      </w:pPr>
      <w:r>
        <w:rPr>
          <w:rFonts w:ascii="Consolas" w:cs="Consolas" w:eastAsia="Consolas" w:hAnsi="Consolas"/>
          <w:sz w:val="16"/>
          <w:szCs w:val="16"/>
        </w:rPr>
        <w:t xml:space="preserve">              │  (Auth, Routing, Logs)  │</w:t>
      </w:r>
    </w:p>
    <w:p>
      <w:pPr>
        <w:spacing w:after="80"/>
        <w:jc w:val="center"/>
      </w:pPr>
      <w:r>
        <w:rPr>
          <w:rFonts w:ascii="Consolas" w:cs="Consolas" w:eastAsia="Consolas" w:hAnsi="Consolas"/>
          <w:sz w:val="16"/>
          <w:szCs w:val="16"/>
        </w:rPr>
        <w:t xml:space="preserve">              └────────────┬────────────┘</w:t>
      </w:r>
    </w:p>
    <w:p>
      <w:pPr>
        <w:spacing w:after="80"/>
        <w:jc w:val="center"/>
      </w:pPr>
      <w:r>
        <w:rPr>
          <w:rFonts w:ascii="Consolas" w:cs="Consolas" w:eastAsia="Consolas" w:hAnsi="Consolas"/>
          <w:sz w:val="16"/>
          <w:szCs w:val="16"/>
        </w:rPr>
        <w:t xml:space="preserve">         ┌─────────┬───────┼───────┬─────────┐</w:t>
      </w:r>
    </w:p>
    <w:p>
      <w:pPr>
        <w:spacing w:after="80"/>
        <w:jc w:val="center"/>
      </w:pPr>
      <w:r>
        <w:rPr>
          <w:rFonts w:ascii="Consolas" w:cs="Consolas" w:eastAsia="Consolas" w:hAnsi="Consolas"/>
          <w:sz w:val="16"/>
          <w:szCs w:val="16"/>
        </w:rPr>
        <w:t xml:space="preserve">         │         │       │       │         │</w:t>
      </w:r>
    </w:p>
    <w:p>
      <w:pPr>
        <w:spacing w:after="80"/>
        <w:jc w:val="center"/>
      </w:pPr>
      <w:r>
        <w:rPr>
          <w:rFonts w:ascii="Consolas" w:cs="Consolas" w:eastAsia="Consolas" w:hAnsi="Consolas"/>
          <w:sz w:val="15"/>
          <w:szCs w:val="15"/>
        </w:rPr>
        <w:t xml:space="preserve">    ┌────▼───┐ ┌───▼───┐ ┌─▼───┐ ┌─▼────┐ ┌──▼────┐</w:t>
      </w:r>
    </w:p>
    <w:p>
      <w:pPr>
        <w:spacing w:after="80"/>
        <w:jc w:val="center"/>
      </w:pPr>
      <w:r>
        <w:rPr>
          <w:rFonts w:ascii="Consolas" w:cs="Consolas" w:eastAsia="Consolas" w:hAnsi="Consolas"/>
          <w:sz w:val="15"/>
          <w:szCs w:val="15"/>
        </w:rPr>
        <w:t xml:space="preserve">    │Afiliados│ │ Citas │ │Fact.│ │  HC  │ │Autoriz│</w:t>
      </w:r>
    </w:p>
    <w:p>
      <w:pPr>
        <w:spacing w:after="80"/>
        <w:jc w:val="center"/>
      </w:pPr>
      <w:r>
        <w:rPr>
          <w:rFonts w:ascii="Consolas" w:cs="Consolas" w:eastAsia="Consolas" w:hAnsi="Consolas"/>
          <w:sz w:val="15"/>
          <w:szCs w:val="15"/>
        </w:rPr>
        <w:t xml:space="preserve">    └────┬───┘ └───┬───┘ └─┬───┘ └─┬────┘ └──┬────┘</w:t>
      </w:r>
    </w:p>
    <w:p>
      <w:pPr>
        <w:spacing w:after="80"/>
        <w:jc w:val="center"/>
      </w:pPr>
      <w:r>
        <w:rPr>
          <w:rFonts w:ascii="Consolas" w:cs="Consolas" w:eastAsia="Consolas" w:hAnsi="Consolas"/>
          <w:sz w:val="16"/>
          <w:szCs w:val="16"/>
        </w:rPr>
        <w:t xml:space="preserve">         │         │       │       │         │</w:t>
      </w:r>
    </w:p>
    <w:p>
      <w:pPr>
        <w:spacing w:after="80"/>
        <w:jc w:val="center"/>
      </w:pPr>
      <w:r>
        <w:rPr>
          <w:rFonts w:ascii="Consolas" w:cs="Consolas" w:eastAsia="Consolas" w:hAnsi="Consolas"/>
          <w:sz w:val="15"/>
          <w:szCs w:val="15"/>
        </w:rPr>
        <w:t xml:space="preserve">    ┌────▼───┐ ┌───▼───┐ ┌─▼───┐ ┌─▼────┐ ┌──▼────┐</w:t>
      </w:r>
    </w:p>
    <w:p>
      <w:pPr>
        <w:spacing w:after="80"/>
        <w:jc w:val="center"/>
      </w:pPr>
      <w:r>
        <w:rPr>
          <w:rFonts w:ascii="Consolas" w:cs="Consolas" w:eastAsia="Consolas" w:hAnsi="Consolas"/>
          <w:sz w:val="15"/>
          <w:szCs w:val="15"/>
        </w:rPr>
        <w:t xml:space="preserve">    │  BD-A  │ │ BD-C  │ │BD-F │ │ BD-HC│ │ BD-Au │</w:t>
      </w:r>
    </w:p>
    <w:p>
      <w:pPr>
        <w:spacing w:after="80"/>
        <w:jc w:val="center"/>
      </w:pPr>
      <w:r>
        <w:rPr>
          <w:rFonts w:ascii="Consolas" w:cs="Consolas" w:eastAsia="Consolas" w:hAnsi="Consolas"/>
          <w:sz w:val="15"/>
          <w:szCs w:val="15"/>
        </w:rPr>
        <w:t xml:space="preserve">    └────────┘ └───────┘ └─────┘ └──────┘ └───────┘</w:t>
      </w:r>
    </w:p>
    <w:p>
      <w:pPr>
        <w:spacing w:after="80"/>
        <w:jc w:val="center"/>
      </w:pPr>
      <w:r>
        <w:rPr>
          <w:rFonts w:ascii="Consolas" w:cs="Consolas" w:eastAsia="Consolas" w:hAnsi="Consolas"/>
          <w:sz w:val="16"/>
          <w:szCs w:val="16"/>
        </w:rPr>
        <w:t xml:space="preserve">                           │</w:t>
      </w:r>
    </w:p>
    <w:p>
      <w:pPr>
        <w:spacing w:after="80"/>
        <w:jc w:val="center"/>
      </w:pPr>
      <w:r>
        <w:rPr>
          <w:rFonts w:ascii="Consolas" w:cs="Consolas" w:eastAsia="Consolas" w:hAnsi="Consolas"/>
          <w:sz w:val="16"/>
          <w:szCs w:val="16"/>
        </w:rPr>
        <w:t xml:space="preserve">              ┌────────────▼────────────┐</w:t>
      </w:r>
    </w:p>
    <w:p>
      <w:pPr>
        <w:spacing w:after="80"/>
        <w:jc w:val="center"/>
      </w:pPr>
      <w:r>
        <w:rPr>
          <w:rFonts w:ascii="Consolas" w:cs="Consolas" w:eastAsia="Consolas" w:hAnsi="Consolas"/>
          <w:sz w:val="16"/>
          <w:szCs w:val="16"/>
        </w:rPr>
        <w:t xml:space="preserve">              │  Servicio Notificaciones│</w:t>
      </w:r>
    </w:p>
    <w:p>
      <w:pPr>
        <w:spacing w:after="80"/>
        <w:jc w:val="center"/>
      </w:pPr>
      <w:r>
        <w:rPr>
          <w:rFonts w:ascii="Consolas" w:cs="Consolas" w:eastAsia="Consolas" w:hAnsi="Consolas"/>
          <w:sz w:val="16"/>
          <w:szCs w:val="16"/>
        </w:rPr>
        <w:t xml:space="preserve">              │   (Email / SMS / Push)  │</w:t>
      </w:r>
    </w:p>
    <w:p>
      <w:pPr>
        <w:spacing w:after="200"/>
        <w:jc w:val="center"/>
      </w:pPr>
      <w:r>
        <w:rPr>
          <w:rFonts w:ascii="Consolas" w:cs="Consolas" w:eastAsia="Consolas" w:hAnsi="Consolas"/>
          <w:sz w:val="16"/>
          <w:szCs w:val="16"/>
        </w:rPr>
        <w:t xml:space="preserve">              └─────────────────────────┘</w:t>
      </w:r>
    </w:p>
    <w:p>
      <w:pPr>
        <w:spacing w:after="200"/>
      </w:pPr>
      <w:r>
        <w:rPr>
          <w:b/>
          <w:bCs/>
        </w:rPr>
        <w:t xml:space="preserve">Figura 1. </w:t>
      </w:r>
      <w:r>
        <w:t xml:space="preserve">Diagrama de alto nivel de la arquitectura de microservicios de la EPS. Los clientes se comunican exclusivamente a través del API Gateway. Cada microservicio de dominio posee su propia base de datos.</w:t>
      </w:r>
    </w:p>
    <w:p>
      <w:pPr>
        <w:spacing w:after="100"/>
      </w:pPr>
      <w:r>
        <w:rPr>
          <w:b/>
          <w:bCs/>
        </w:rPr>
        <w:t xml:space="preserve">Código PlantUML equivalente (para generar imagen):</w:t>
      </w:r>
    </w:p>
    <w:p>
      <w:pPr>
        <w:spacing w:after="80"/>
      </w:pPr>
      <w:r>
        <w:rPr>
          <w:rFonts w:ascii="Consolas" w:cs="Consolas" w:eastAsia="Consolas" w:hAnsi="Consolas"/>
          <w:color w:val="333333"/>
          <w:sz w:val="16"/>
          <w:szCs w:val="16"/>
        </w:rPr>
        <w:t xml:space="preserve">@startuml</w:t>
      </w:r>
    </w:p>
    <w:p>
      <w:pPr>
        <w:spacing w:after="40"/>
      </w:pPr>
      <w:r>
        <w:rPr>
          <w:rFonts w:ascii="Consolas" w:cs="Consolas" w:eastAsia="Consolas" w:hAnsi="Consolas"/>
          <w:color w:val="333333"/>
          <w:sz w:val="16"/>
          <w:szCs w:val="16"/>
        </w:rPr>
        <w:t xml:space="preserve">actor Usuario</w:t>
      </w:r>
    </w:p>
    <w:p>
      <w:pPr>
        <w:spacing w:after="40"/>
      </w:pPr>
      <w:r>
        <w:rPr>
          <w:rFonts w:ascii="Consolas" w:cs="Consolas" w:eastAsia="Consolas" w:hAnsi="Consolas"/>
          <w:color w:val="333333"/>
          <w:sz w:val="16"/>
          <w:szCs w:val="16"/>
        </w:rPr>
        <w:t xml:space="preserve">Usuario --&gt; [API Gateway]</w:t>
      </w:r>
    </w:p>
    <w:p>
      <w:pPr>
        <w:spacing w:after="40"/>
      </w:pPr>
      <w:r>
        <w:rPr>
          <w:rFonts w:ascii="Consolas" w:cs="Consolas" w:eastAsia="Consolas" w:hAnsi="Consolas"/>
          <w:color w:val="333333"/>
          <w:sz w:val="16"/>
          <w:szCs w:val="16"/>
        </w:rPr>
        <w:t xml:space="preserve">[API Gateway] --&gt; [Servicio Afiliados]</w:t>
      </w:r>
    </w:p>
    <w:p>
      <w:pPr>
        <w:spacing w:after="40"/>
      </w:pPr>
      <w:r>
        <w:rPr>
          <w:rFonts w:ascii="Consolas" w:cs="Consolas" w:eastAsia="Consolas" w:hAnsi="Consolas"/>
          <w:color w:val="333333"/>
          <w:sz w:val="16"/>
          <w:szCs w:val="16"/>
        </w:rPr>
        <w:t xml:space="preserve">[API Gateway] --&gt; [Servicio Citas]</w:t>
      </w:r>
    </w:p>
    <w:p>
      <w:pPr>
        <w:spacing w:after="40"/>
      </w:pPr>
      <w:r>
        <w:rPr>
          <w:rFonts w:ascii="Consolas" w:cs="Consolas" w:eastAsia="Consolas" w:hAnsi="Consolas"/>
          <w:color w:val="333333"/>
          <w:sz w:val="16"/>
          <w:szCs w:val="16"/>
        </w:rPr>
        <w:t xml:space="preserve">[API Gateway] --&gt; [Servicio Facturación]</w:t>
      </w:r>
    </w:p>
    <w:p>
      <w:pPr>
        <w:spacing w:after="40"/>
      </w:pPr>
      <w:r>
        <w:rPr>
          <w:rFonts w:ascii="Consolas" w:cs="Consolas" w:eastAsia="Consolas" w:hAnsi="Consolas"/>
          <w:color w:val="333333"/>
          <w:sz w:val="16"/>
          <w:szCs w:val="16"/>
        </w:rPr>
        <w:t xml:space="preserve">[API Gateway] --&gt; [Servicio Historias Clínicas]</w:t>
      </w:r>
    </w:p>
    <w:p>
      <w:pPr>
        <w:spacing w:after="40"/>
      </w:pPr>
      <w:r>
        <w:rPr>
          <w:rFonts w:ascii="Consolas" w:cs="Consolas" w:eastAsia="Consolas" w:hAnsi="Consolas"/>
          <w:color w:val="333333"/>
          <w:sz w:val="16"/>
          <w:szCs w:val="16"/>
        </w:rPr>
        <w:t xml:space="preserve">[API Gateway] --&gt; [Servicio Autorizaciones]</w:t>
      </w:r>
    </w:p>
    <w:p>
      <w:pPr>
        <w:spacing w:after="40"/>
      </w:pPr>
      <w:r>
        <w:rPr>
          <w:rFonts w:ascii="Consolas" w:cs="Consolas" w:eastAsia="Consolas" w:hAnsi="Consolas"/>
          <w:color w:val="333333"/>
          <w:sz w:val="16"/>
          <w:szCs w:val="16"/>
        </w:rPr>
        <w:t xml:space="preserve">[API Gateway] --&gt; [Servicio Notificaciones]</w:t>
      </w:r>
    </w:p>
    <w:p>
      <w:pPr>
        <w:spacing w:after="200"/>
      </w:pPr>
      <w:r>
        <w:rPr>
          <w:rFonts w:ascii="Consolas" w:cs="Consolas" w:eastAsia="Consolas" w:hAnsi="Consolas"/>
          <w:color w:val="333333"/>
          <w:sz w:val="16"/>
          <w:szCs w:val="16"/>
        </w:rPr>
        <w:t xml:space="preserve">@enduml</w:t>
      </w:r>
    </w:p>
    <w:p>
      <w:pPr>
        <w:pStyle w:val="Heading1"/>
      </w:pPr>
      <w:r>
        <w:t xml:space="preserve">5. Flujos principales</w:t>
      </w:r>
    </w:p>
    <w:p>
      <w:pPr>
        <w:spacing w:after="100"/>
      </w:pPr>
      <w:r>
        <w:rPr>
          <w:b/>
          <w:bCs/>
        </w:rPr>
        <w:t xml:space="preserve">Flujo de afiliación: </w:t>
      </w:r>
      <w:r>
        <w:t xml:space="preserve">El cliente envía los datos al API Gateway → Servicio de Afiliados valida y registra → emite evento de afiliación creada → Servicio de Notificaciones envía correo de bienvenida.</w:t>
      </w:r>
    </w:p>
    <w:p>
      <w:pPr>
        <w:spacing w:after="100"/>
      </w:pPr>
      <w:r>
        <w:rPr>
          <w:b/>
          <w:bCs/>
        </w:rPr>
        <w:t xml:space="preserve">Flujo de cita: </w:t>
      </w:r>
      <w:r>
        <w:t xml:space="preserve">Consulta de disponibilidad en Servicio de Citas → reserva → evento de cita confirmada → Notificaciones informa al afiliado y al profesional.</w:t>
      </w:r>
    </w:p>
    <w:p>
      <w:pPr>
        <w:spacing w:after="200"/>
      </w:pPr>
      <w:r>
        <w:rPr>
          <w:b/>
          <w:bCs/>
        </w:rPr>
        <w:t xml:space="preserve">Flujo de autorización: </w:t>
      </w:r>
      <w:r>
        <w:t xml:space="preserve">Solicitud llega al Servicio de Autorizaciones → valida cobertura con Afiliados → aplica reglas de negocio → aprueba o rechaza → notifica resultado.</w:t>
      </w:r>
    </w:p>
    <w:p>
      <w:pPr>
        <w:pStyle w:val="Heading1"/>
      </w:pPr>
      <w:r>
        <w:t xml:space="preserve">6. Ventajas de esta arquitectura</w:t>
      </w:r>
    </w:p>
    <w:p>
      <w:pPr>
        <w:pStyle w:val="ListParagraph"/>
        <w:numPr>
          <w:ilvl w:val="0"/>
          <w:numId w:val="3"/>
        </w:numPr>
      </w:pPr>
      <w:r>
        <w:t xml:space="preserve">Escalabilidad independiente: el servicio de citas puede escalar en horarios pico sin afectar facturación.</w:t>
      </w:r>
    </w:p>
    <w:p>
      <w:pPr>
        <w:pStyle w:val="ListParagraph"/>
        <w:numPr>
          <w:ilvl w:val="0"/>
          <w:numId w:val="3"/>
        </w:numPr>
      </w:pPr>
      <w:r>
        <w:t xml:space="preserve">Despliegues frecuentes y de bajo riesgo: se actualiza un servicio sin desplegar todo el sistema.</w:t>
      </w:r>
    </w:p>
    <w:p>
      <w:pPr>
        <w:pStyle w:val="ListParagraph"/>
        <w:numPr>
          <w:ilvl w:val="0"/>
          <w:numId w:val="3"/>
        </w:numPr>
      </w:pPr>
      <w:r>
        <w:t xml:space="preserve">Aislamiento de fallos: un problema en notificaciones no detiene la afiliación ni las citas.</w:t>
      </w:r>
    </w:p>
    <w:p>
      <w:pPr>
        <w:pStyle w:val="ListParagraph"/>
        <w:numPr>
          <w:ilvl w:val="0"/>
          <w:numId w:val="3"/>
        </w:numPr>
      </w:pPr>
      <w:r>
        <w:t xml:space="preserve">Equipos autónomos: cada microservicio puede ser mantenido por un equipo distinto.</w:t>
      </w:r>
    </w:p>
    <w:p>
      <w:pPr>
        <w:pStyle w:val="ListParagraph"/>
        <w:numPr>
          <w:ilvl w:val="0"/>
          <w:numId w:val="3"/>
        </w:numPr>
        <w:spacing w:after="200"/>
      </w:pPr>
      <w:r>
        <w:t xml:space="preserve">Tecnología heterogénea: se puede usar el lenguaje o base de datos más adecuada para cada dominio.</w:t>
      </w:r>
    </w:p>
    <w:p>
      <w:pPr>
        <w:pStyle w:val="Heading1"/>
      </w:pPr>
      <w:r>
        <w:t xml:space="preserve">7. Consideraciones de implementación</w:t>
      </w:r>
    </w:p>
    <w:p>
      <w:pPr>
        <w:spacing w:after="200"/>
      </w:pPr>
      <w:r>
        <w:t xml:space="preserve">En este taller solo se entrega el esqueleto de carpetas y la documentación. En un entorno productivo se complementarían con: contenedores Docker, orquestación (Kubernetes), service mesh, monitoreo (Prometheus/Grafana), trazabilidad distribuida y pipelines de CI/CD.</w:t>
      </w:r>
    </w:p>
    <w:p>
      <w:pPr>
        <w:spacing w:before="400"/>
        <w:jc w:val="center"/>
      </w:pPr>
      <w:r>
        <w:rPr>
          <w:i/>
          <w:iCs/>
          <w:color w:val="666666"/>
          <w:sz w:val="20"/>
          <w:szCs w:val="20"/>
        </w:rPr>
        <w:t xml:space="preserve">— Fin del documento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Página </w:t>
    </w:r>
    <w:r>
      <w:rPr>
        <w:sz w:val="18"/>
        <w:szCs w:val="18"/>
      </w:rPr>
      <w:fldChar w:fldCharType="begin"/>
      <w:instrText xml:space="preserve">PAGE</w:instrText>
      <w:fldChar w:fldCharType="separate"/>
      <w:fldChar w:fldCharType="end"/>
    </w:r>
    <w:r>
      <w:rPr>
        <w:color w:val="666666"/>
        <w:sz w:val="18"/>
        <w:szCs w:val="18"/>
      </w:rPr>
      <w:t xml:space="preserve"> | Universidad Antonio José Camacho — UNIAJC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i/>
        <w:iCs/>
        <w:color w:val="666666"/>
        <w:sz w:val="18"/>
        <w:szCs w:val="18"/>
      </w:rPr>
      <w:t xml:space="preserve">Arquitectura de Microservicios — EPS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2026-09-25T01:55:04.814Z</dcterms:created>
  <dcterms:modified xsi:type="dcterms:W3CDTF">2026-09-25T01:55:04.814Z</dcterms:modified>
</cp:coreProperties>
</file>

<file path=docProps/custom.xml><?xml version="1.0" encoding="utf-8"?>
<Properties xmlns="http://schemas.openxmlformats.org/officeDocument/2006/custom-properties" xmlns:vt="http://schemas.openxmlformats.org/officeDocument/2006/docPropsVTypes"/>
</file>