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1D2C3D41" w:rsidR="007B1142" w:rsidRDefault="00DD5FDE" w:rsidP="00B73F57">
      <w:pPr>
        <w:pStyle w:val="BodyText"/>
        <w:spacing w:after="0"/>
        <w:jc w:val="both"/>
      </w:pPr>
      <w:r>
        <w:rPr>
          <w:rFonts w:ascii="Arial" w:hAnsi="Arial" w:cs="Arial"/>
          <w:u w:val="single"/>
        </w:rPr>
        <w:t>Operaciones</w:t>
      </w:r>
      <w:r>
        <w:rPr>
          <w:rFonts w:ascii="Arial" w:hAnsi="Arial" w:cs="Arial"/>
        </w:rPr>
        <w:t xml:space="preserve"> </w:t>
      </w:r>
      <w:r w:rsidR="00D56668">
        <w:rPr>
          <w:rFonts w:ascii="Arial" w:hAnsi="Arial" w:cs="Arial"/>
        </w:rPr>
        <w:t>–</w:t>
      </w:r>
      <w:r>
        <w:rPr>
          <w:rFonts w:ascii="Arial" w:hAnsi="Arial" w:cs="Arial"/>
        </w:rPr>
        <w:t xml:space="preserve"> </w:t>
      </w:r>
      <w:r w:rsidR="00D56668">
        <w:rPr>
          <w:rFonts w:ascii="Arial" w:hAnsi="Arial" w:cs="Arial"/>
        </w:rPr>
        <w:t xml:space="preserve">Graficas Impacto </w:t>
      </w:r>
      <w:proofErr w:type="spellStart"/>
      <w:r w:rsidR="00D56668">
        <w:rPr>
          <w:rFonts w:ascii="Arial" w:hAnsi="Arial" w:cs="Arial"/>
        </w:rPr>
        <w:t>Grafimpac</w:t>
      </w:r>
      <w:proofErr w:type="spellEnd"/>
      <w:r>
        <w:rPr>
          <w:rFonts w:ascii="Arial" w:hAnsi="Arial" w:cs="Arial"/>
        </w:rPr>
        <w:t xml:space="preserve"> S.A. es una </w:t>
      </w:r>
      <w:r w:rsidR="00D56668">
        <w:rPr>
          <w:rFonts w:ascii="Arial" w:hAnsi="Arial" w:cs="Arial"/>
        </w:rPr>
        <w:t>empresa privada constituida bajo la modalidad de sociedad anónima en el año 1991.</w:t>
      </w:r>
      <w:r>
        <w:rPr>
          <w:rFonts w:ascii="Arial" w:hAnsi="Arial" w:cs="Arial"/>
        </w:rPr>
        <w:t xml:space="preserve"> </w:t>
      </w:r>
      <w:r w:rsidR="00D56668">
        <w:rPr>
          <w:rFonts w:ascii="Arial" w:hAnsi="Arial" w:cs="Arial"/>
        </w:rPr>
        <w:t>La actividad principal de la compañía es la</w:t>
      </w:r>
      <w:r w:rsidR="00451695">
        <w:rPr>
          <w:rFonts w:ascii="Arial" w:hAnsi="Arial" w:cs="Arial"/>
        </w:rPr>
        <w:t xml:space="preserve"> realización de trabajos de imprenta en general, importaciones, compra y venta de equipos de imprenta y sus repuestos, así como la materia prima conexa (papel, tinta, etc.)</w:t>
      </w:r>
      <w:r w:rsidR="0025447B">
        <w:rPr>
          <w:rFonts w:ascii="Arial" w:hAnsi="Arial" w:cs="Arial"/>
        </w:rPr>
        <w:t>.</w:t>
      </w:r>
    </w:p>
    <w:p w14:paraId="62DFCDAA" w14:textId="77777777" w:rsidR="007B6609" w:rsidRDefault="007B6609" w:rsidP="00F60674">
      <w:pPr>
        <w:pStyle w:val="BodyText"/>
        <w:spacing w:after="0"/>
        <w:ind w:left="720"/>
        <w:jc w:val="both"/>
        <w:rPr>
          <w:rFonts w:ascii="Arial" w:hAnsi="Arial" w:cs="Arial"/>
        </w:rPr>
      </w:pPr>
    </w:p>
    <w:p w14:paraId="44C93E0E" w14:textId="114B9B0D" w:rsidR="00D87518" w:rsidRDefault="006F6C91" w:rsidP="00451695">
      <w:pPr>
        <w:pStyle w:val="BodyText"/>
        <w:spacing w:after="0"/>
        <w:jc w:val="both"/>
        <w:rPr>
          <w:rFonts w:ascii="Arial" w:hAnsi="Arial" w:cs="Arial"/>
        </w:rPr>
      </w:pPr>
      <w:r>
        <w:rPr>
          <w:rFonts w:ascii="Arial" w:hAnsi="Arial" w:cs="Arial"/>
        </w:rPr>
        <w:t>La compañía ha crecido significativamente en los últimos años, a pesar de la pandemia de covid-10 en los dos últimos. Sus ventas de US$15.6 millones en el 2016 ascendieron a US$22 millones en el año 2020 y se proyecta cerrar el año 2021 con ingresos por aproximadamente US$30 millones.</w:t>
      </w:r>
    </w:p>
    <w:p w14:paraId="5D5A3827" w14:textId="77777777" w:rsidR="00451695" w:rsidRPr="00D87518" w:rsidRDefault="00451695" w:rsidP="00451695">
      <w:pPr>
        <w:pStyle w:val="BodyText"/>
        <w:spacing w:after="0"/>
        <w:jc w:val="both"/>
        <w:rPr>
          <w:rFonts w:ascii="Arial" w:hAnsi="Arial" w:cs="Arial"/>
        </w:rPr>
      </w:pPr>
    </w:p>
    <w:p w14:paraId="551CA740" w14:textId="6FA1C265" w:rsidR="007B1142" w:rsidRDefault="00DD5FDE" w:rsidP="006F6C91">
      <w:pPr>
        <w:pStyle w:val="BodyText"/>
        <w:numPr>
          <w:ilvl w:val="0"/>
          <w:numId w:val="1"/>
        </w:numPr>
        <w:spacing w:after="0"/>
        <w:jc w:val="both"/>
        <w:rPr>
          <w:rFonts w:ascii="Arial" w:hAnsi="Arial" w:cs="Arial"/>
        </w:rPr>
      </w:pPr>
      <w:r w:rsidRPr="006F6C91">
        <w:rPr>
          <w:rFonts w:ascii="Arial" w:hAnsi="Arial" w:cs="Arial"/>
          <w:u w:val="single"/>
        </w:rPr>
        <w:t>Propiedad y Gobierno</w:t>
      </w:r>
      <w:r w:rsidRPr="006F6C91">
        <w:rPr>
          <w:rFonts w:ascii="Arial" w:hAnsi="Arial" w:cs="Arial"/>
        </w:rPr>
        <w:t xml:space="preserve"> – La compañía es de propiedad privada teniendo sus Accionistas: </w:t>
      </w:r>
      <w:r w:rsidR="006F6C91">
        <w:rPr>
          <w:rFonts w:ascii="Arial" w:hAnsi="Arial" w:cs="Arial"/>
        </w:rPr>
        <w:t xml:space="preserve">José Orbea Vaca </w:t>
      </w:r>
      <w:r w:rsidR="00FD5D18">
        <w:rPr>
          <w:rFonts w:ascii="Arial" w:hAnsi="Arial" w:cs="Arial"/>
        </w:rPr>
        <w:t xml:space="preserve">(20%) y sus hijos: Raúl Orbea Arellano y José Orbea Arellano con 40% de participación accionaria cada uno. La Administración de la empresa está </w:t>
      </w:r>
      <w:r w:rsidR="000C51C5">
        <w:rPr>
          <w:rFonts w:ascii="Arial" w:hAnsi="Arial" w:cs="Arial"/>
        </w:rPr>
        <w:t>bajo la responsabilidad de</w:t>
      </w:r>
      <w:r w:rsidR="00FD5D18">
        <w:rPr>
          <w:rFonts w:ascii="Arial" w:hAnsi="Arial" w:cs="Arial"/>
        </w:rPr>
        <w:t xml:space="preserve"> José Orbea Vaca quien ejerce la representación legal</w:t>
      </w:r>
      <w:r w:rsidR="000C51C5">
        <w:rPr>
          <w:rFonts w:ascii="Arial" w:hAnsi="Arial" w:cs="Arial"/>
        </w:rPr>
        <w:t xml:space="preserve"> con el cargo de Gerente General</w:t>
      </w:r>
      <w:r w:rsidR="00FD5D18">
        <w:rPr>
          <w:rFonts w:ascii="Arial" w:hAnsi="Arial" w:cs="Arial"/>
        </w:rPr>
        <w:t>.</w:t>
      </w:r>
    </w:p>
    <w:p w14:paraId="59AB204B" w14:textId="77777777" w:rsidR="006F6C91" w:rsidRPr="006F6C91" w:rsidRDefault="006F6C91" w:rsidP="006F6C91">
      <w:pPr>
        <w:pStyle w:val="BodyText"/>
        <w:spacing w:after="0"/>
        <w:ind w:left="720"/>
        <w:jc w:val="both"/>
        <w:rPr>
          <w:rFonts w:ascii="Arial" w:hAnsi="Arial" w:cs="Arial"/>
        </w:rPr>
      </w:pPr>
    </w:p>
    <w:p w14:paraId="419C8FD6" w14:textId="4BA70F16" w:rsidR="002A65E6" w:rsidRPr="0024716F"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62FAA1F8" w14:textId="4424A546" w:rsidR="0024716F" w:rsidRDefault="0024716F" w:rsidP="0024716F">
      <w:pPr>
        <w:pStyle w:val="BodyText"/>
        <w:spacing w:after="0"/>
        <w:ind w:left="720"/>
        <w:jc w:val="both"/>
        <w:rPr>
          <w:rFonts w:ascii="Arial" w:hAnsi="Arial" w:cs="Arial"/>
          <w:u w:val="single"/>
        </w:rPr>
      </w:pPr>
    </w:p>
    <w:p w14:paraId="2A36F6B6" w14:textId="48773765" w:rsidR="0024716F" w:rsidRPr="0024716F" w:rsidRDefault="0024716F" w:rsidP="0024716F">
      <w:pPr>
        <w:pStyle w:val="BodyText"/>
        <w:spacing w:after="0"/>
        <w:ind w:left="720"/>
        <w:jc w:val="both"/>
      </w:pPr>
      <w:r>
        <w:rPr>
          <w:rFonts w:ascii="Arial" w:hAnsi="Arial" w:cs="Arial"/>
        </w:rPr>
        <w:t xml:space="preserve">Las operaciones del negocio son financiadas mediante los flujos propios </w:t>
      </w:r>
      <w:r w:rsidR="0040732F">
        <w:rPr>
          <w:rFonts w:ascii="Arial" w:hAnsi="Arial" w:cs="Arial"/>
        </w:rPr>
        <w:t>de las operaciones</w:t>
      </w:r>
      <w:r w:rsidR="001E7D65">
        <w:rPr>
          <w:rFonts w:ascii="Arial" w:hAnsi="Arial" w:cs="Arial"/>
        </w:rPr>
        <w:t xml:space="preserve"> </w:t>
      </w:r>
      <w:r w:rsidR="00AF5D42">
        <w:rPr>
          <w:rFonts w:ascii="Arial" w:hAnsi="Arial" w:cs="Arial"/>
        </w:rPr>
        <w:t xml:space="preserve">y utilidades anuales, </w:t>
      </w:r>
      <w:r w:rsidR="0040732F">
        <w:rPr>
          <w:rFonts w:ascii="Arial" w:hAnsi="Arial" w:cs="Arial"/>
        </w:rPr>
        <w:t>que generalmente se reinvierten en la misma compañía. La empresa usualmente no requiere financiamiento de bancos</w:t>
      </w:r>
      <w:r w:rsidR="00A84C54">
        <w:rPr>
          <w:rFonts w:ascii="Arial" w:hAnsi="Arial" w:cs="Arial"/>
        </w:rPr>
        <w:t xml:space="preserve"> y sus activos totales son apalancados por los Accionistas aproximadamente en 50%.</w:t>
      </w:r>
    </w:p>
    <w:p w14:paraId="554A6AD1" w14:textId="4A8E06ED"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34"/>
      </w:tblGrid>
      <w:tr w:rsidR="00651704" w14:paraId="3BA27C3A" w14:textId="77777777" w:rsidTr="009C3B5E">
        <w:tc>
          <w:tcPr>
            <w:tcW w:w="4674" w:type="dxa"/>
          </w:tcPr>
          <w:p w14:paraId="728A464F" w14:textId="3C19C3D0" w:rsidR="00651704" w:rsidRDefault="00651704" w:rsidP="002A65E6">
            <w:pPr>
              <w:pStyle w:val="BodyText"/>
              <w:spacing w:after="0"/>
              <w:jc w:val="center"/>
            </w:pPr>
            <w:r>
              <w:t>Indicador</w:t>
            </w:r>
          </w:p>
        </w:tc>
        <w:tc>
          <w:tcPr>
            <w:tcW w:w="1134" w:type="dxa"/>
          </w:tcPr>
          <w:p w14:paraId="7FD4A28C" w14:textId="7C14310D" w:rsidR="00651704" w:rsidRDefault="0040732F" w:rsidP="002A65E6">
            <w:pPr>
              <w:pStyle w:val="BodyText"/>
              <w:spacing w:after="0"/>
              <w:jc w:val="center"/>
            </w:pPr>
            <w:r>
              <w:t>sep</w:t>
            </w:r>
            <w:r w:rsidR="00651704">
              <w:t>-21</w:t>
            </w:r>
          </w:p>
        </w:tc>
        <w:tc>
          <w:tcPr>
            <w:tcW w:w="1134" w:type="dxa"/>
          </w:tcPr>
          <w:p w14:paraId="3DB83DA2" w14:textId="3C1EACB6" w:rsidR="00651704" w:rsidRDefault="00651704" w:rsidP="002A65E6">
            <w:pPr>
              <w:pStyle w:val="BodyText"/>
              <w:spacing w:after="0"/>
              <w:jc w:val="center"/>
            </w:pPr>
            <w:r>
              <w:t>dic-20</w:t>
            </w:r>
          </w:p>
        </w:tc>
        <w:tc>
          <w:tcPr>
            <w:tcW w:w="1134" w:type="dxa"/>
          </w:tcPr>
          <w:p w14:paraId="60215048" w14:textId="26300E81" w:rsidR="00651704" w:rsidRDefault="00651704" w:rsidP="002A65E6">
            <w:pPr>
              <w:pStyle w:val="BodyText"/>
              <w:spacing w:after="0"/>
              <w:jc w:val="center"/>
            </w:pPr>
            <w:r>
              <w:t>dic-19</w:t>
            </w:r>
          </w:p>
        </w:tc>
      </w:tr>
      <w:tr w:rsidR="00651704" w14:paraId="07F00067" w14:textId="77777777" w:rsidTr="009C3B5E">
        <w:tc>
          <w:tcPr>
            <w:tcW w:w="4674" w:type="dxa"/>
          </w:tcPr>
          <w:p w14:paraId="638485F9" w14:textId="1221B55C" w:rsidR="00651704" w:rsidRDefault="00651704" w:rsidP="002A65E6">
            <w:pPr>
              <w:pStyle w:val="BodyText"/>
              <w:spacing w:after="0"/>
              <w:jc w:val="both"/>
            </w:pPr>
            <w:r>
              <w:t>Activos corrientes/pasivos corrientes</w:t>
            </w:r>
          </w:p>
        </w:tc>
        <w:tc>
          <w:tcPr>
            <w:tcW w:w="1134" w:type="dxa"/>
          </w:tcPr>
          <w:p w14:paraId="37E647C4" w14:textId="3E98108A" w:rsidR="00651704" w:rsidRDefault="00651704" w:rsidP="00766C40">
            <w:pPr>
              <w:pStyle w:val="BodyText"/>
              <w:spacing w:after="0"/>
              <w:jc w:val="right"/>
            </w:pPr>
          </w:p>
        </w:tc>
        <w:tc>
          <w:tcPr>
            <w:tcW w:w="1134" w:type="dxa"/>
          </w:tcPr>
          <w:p w14:paraId="6E14978B" w14:textId="199AF29B" w:rsidR="00651704" w:rsidRDefault="00BD4ED6" w:rsidP="00766C40">
            <w:pPr>
              <w:pStyle w:val="BodyText"/>
              <w:spacing w:after="0"/>
              <w:jc w:val="right"/>
            </w:pPr>
            <w:r>
              <w:t>1.5</w:t>
            </w:r>
          </w:p>
        </w:tc>
        <w:tc>
          <w:tcPr>
            <w:tcW w:w="1134" w:type="dxa"/>
          </w:tcPr>
          <w:p w14:paraId="27069387" w14:textId="4373B272" w:rsidR="00651704" w:rsidRDefault="00BD4ED6" w:rsidP="00766C40">
            <w:pPr>
              <w:pStyle w:val="BodyText"/>
              <w:spacing w:after="0"/>
              <w:jc w:val="right"/>
            </w:pPr>
            <w:r>
              <w:t>1.6</w:t>
            </w:r>
          </w:p>
        </w:tc>
      </w:tr>
      <w:tr w:rsidR="00651704" w14:paraId="08575057" w14:textId="77777777" w:rsidTr="009C3B5E">
        <w:tc>
          <w:tcPr>
            <w:tcW w:w="4674" w:type="dxa"/>
          </w:tcPr>
          <w:p w14:paraId="625D34AD" w14:textId="1865F267" w:rsidR="00651704" w:rsidRDefault="00651704" w:rsidP="002A65E6">
            <w:pPr>
              <w:pStyle w:val="BodyText"/>
              <w:spacing w:after="0"/>
              <w:jc w:val="both"/>
            </w:pPr>
            <w:r>
              <w:t>Días promedio de cuentas por cobrar</w:t>
            </w:r>
          </w:p>
        </w:tc>
        <w:tc>
          <w:tcPr>
            <w:tcW w:w="1134" w:type="dxa"/>
          </w:tcPr>
          <w:p w14:paraId="04FA0F81" w14:textId="78B94EB9" w:rsidR="00651704" w:rsidRDefault="00651704" w:rsidP="00766C40">
            <w:pPr>
              <w:pStyle w:val="BodyText"/>
              <w:spacing w:after="0"/>
              <w:jc w:val="right"/>
            </w:pPr>
          </w:p>
        </w:tc>
        <w:tc>
          <w:tcPr>
            <w:tcW w:w="1134" w:type="dxa"/>
          </w:tcPr>
          <w:p w14:paraId="2CBACDE8" w14:textId="49631213" w:rsidR="00651704" w:rsidRDefault="00651704" w:rsidP="00766C40">
            <w:pPr>
              <w:pStyle w:val="BodyText"/>
              <w:spacing w:after="0"/>
              <w:jc w:val="right"/>
            </w:pPr>
          </w:p>
        </w:tc>
        <w:tc>
          <w:tcPr>
            <w:tcW w:w="1134" w:type="dxa"/>
          </w:tcPr>
          <w:p w14:paraId="1579F6D4" w14:textId="74CF2248" w:rsidR="00651704" w:rsidRDefault="00651704" w:rsidP="00766C40">
            <w:pPr>
              <w:pStyle w:val="BodyText"/>
              <w:spacing w:after="0"/>
              <w:jc w:val="right"/>
            </w:pPr>
          </w:p>
        </w:tc>
      </w:tr>
      <w:tr w:rsidR="00651704" w14:paraId="590F7F9A" w14:textId="77777777" w:rsidTr="009C3B5E">
        <w:tc>
          <w:tcPr>
            <w:tcW w:w="4674" w:type="dxa"/>
          </w:tcPr>
          <w:p w14:paraId="406697FE" w14:textId="437559D2" w:rsidR="00651704" w:rsidRDefault="00651704" w:rsidP="002A65E6">
            <w:pPr>
              <w:pStyle w:val="BodyText"/>
              <w:spacing w:after="0"/>
              <w:jc w:val="both"/>
            </w:pPr>
            <w:r>
              <w:t>Días promedio de cuentas por pagar</w:t>
            </w:r>
          </w:p>
        </w:tc>
        <w:tc>
          <w:tcPr>
            <w:tcW w:w="1134" w:type="dxa"/>
          </w:tcPr>
          <w:p w14:paraId="6F9FEFE4" w14:textId="77777777" w:rsidR="00651704" w:rsidRDefault="00651704" w:rsidP="00766C40">
            <w:pPr>
              <w:pStyle w:val="BodyText"/>
              <w:spacing w:after="0"/>
              <w:jc w:val="right"/>
            </w:pPr>
          </w:p>
        </w:tc>
        <w:tc>
          <w:tcPr>
            <w:tcW w:w="1134" w:type="dxa"/>
          </w:tcPr>
          <w:p w14:paraId="3AE1C603" w14:textId="08318AA1" w:rsidR="00651704" w:rsidRDefault="00651704" w:rsidP="00766C40">
            <w:pPr>
              <w:pStyle w:val="BodyText"/>
              <w:spacing w:after="0"/>
              <w:jc w:val="right"/>
            </w:pPr>
          </w:p>
        </w:tc>
        <w:tc>
          <w:tcPr>
            <w:tcW w:w="1134" w:type="dxa"/>
          </w:tcPr>
          <w:p w14:paraId="027639A9" w14:textId="3E365E29" w:rsidR="00651704" w:rsidRDefault="00651704" w:rsidP="00766C40">
            <w:pPr>
              <w:pStyle w:val="BodyText"/>
              <w:spacing w:after="0"/>
              <w:jc w:val="right"/>
            </w:pPr>
          </w:p>
        </w:tc>
      </w:tr>
      <w:tr w:rsidR="00651704" w14:paraId="231A435C" w14:textId="77777777" w:rsidTr="009C3B5E">
        <w:tc>
          <w:tcPr>
            <w:tcW w:w="4674" w:type="dxa"/>
          </w:tcPr>
          <w:p w14:paraId="18B1DFD1" w14:textId="2D73338C" w:rsidR="00651704" w:rsidRDefault="00651704" w:rsidP="002A65E6">
            <w:pPr>
              <w:pStyle w:val="BodyText"/>
              <w:spacing w:after="0"/>
              <w:jc w:val="both"/>
            </w:pPr>
            <w:r>
              <w:t>Apalancamiento: Pasivos totales/Activos totales</w:t>
            </w:r>
          </w:p>
        </w:tc>
        <w:tc>
          <w:tcPr>
            <w:tcW w:w="1134" w:type="dxa"/>
          </w:tcPr>
          <w:p w14:paraId="050585BE" w14:textId="796ACBCA" w:rsidR="00651704" w:rsidRDefault="00651704" w:rsidP="00766C40">
            <w:pPr>
              <w:pStyle w:val="BodyText"/>
              <w:spacing w:after="0"/>
              <w:jc w:val="right"/>
            </w:pPr>
          </w:p>
        </w:tc>
        <w:tc>
          <w:tcPr>
            <w:tcW w:w="1134" w:type="dxa"/>
          </w:tcPr>
          <w:p w14:paraId="7AE426F6" w14:textId="7C6D7C2C" w:rsidR="00651704" w:rsidRDefault="00BD4ED6" w:rsidP="00766C40">
            <w:pPr>
              <w:pStyle w:val="BodyText"/>
              <w:spacing w:after="0"/>
              <w:jc w:val="right"/>
            </w:pPr>
            <w:r>
              <w:t>0.46</w:t>
            </w:r>
          </w:p>
        </w:tc>
        <w:tc>
          <w:tcPr>
            <w:tcW w:w="1134" w:type="dxa"/>
          </w:tcPr>
          <w:p w14:paraId="1DB7985A" w14:textId="661F87F7" w:rsidR="00651704" w:rsidRDefault="00BD4ED6" w:rsidP="00766C40">
            <w:pPr>
              <w:pStyle w:val="BodyText"/>
              <w:spacing w:after="0"/>
              <w:jc w:val="right"/>
            </w:pPr>
            <w:r>
              <w:t>0.53</w:t>
            </w:r>
          </w:p>
        </w:tc>
      </w:tr>
      <w:tr w:rsidR="00651704" w14:paraId="665DABD6" w14:textId="77777777" w:rsidTr="009C3B5E">
        <w:tc>
          <w:tcPr>
            <w:tcW w:w="4674" w:type="dxa"/>
          </w:tcPr>
          <w:p w14:paraId="4196E847" w14:textId="2CB8015B" w:rsidR="00651704" w:rsidRDefault="00651704" w:rsidP="002A65E6">
            <w:pPr>
              <w:pStyle w:val="BodyText"/>
              <w:spacing w:after="0"/>
              <w:jc w:val="both"/>
            </w:pPr>
            <w:r>
              <w:t>Flujos operacionales</w:t>
            </w:r>
          </w:p>
        </w:tc>
        <w:tc>
          <w:tcPr>
            <w:tcW w:w="1134" w:type="dxa"/>
          </w:tcPr>
          <w:p w14:paraId="55A4C35A" w14:textId="2B121918" w:rsidR="00651704" w:rsidRDefault="001E7D65" w:rsidP="001E7D65">
            <w:pPr>
              <w:pStyle w:val="BodyText"/>
              <w:spacing w:after="0"/>
              <w:jc w:val="center"/>
            </w:pPr>
            <w:r>
              <w:t>n/d</w:t>
            </w:r>
          </w:p>
        </w:tc>
        <w:tc>
          <w:tcPr>
            <w:tcW w:w="1134" w:type="dxa"/>
          </w:tcPr>
          <w:p w14:paraId="5559CD0D" w14:textId="0CCABEC6" w:rsidR="00651704" w:rsidRDefault="00BD4ED6" w:rsidP="00766C40">
            <w:pPr>
              <w:pStyle w:val="BodyText"/>
              <w:spacing w:after="0"/>
              <w:jc w:val="right"/>
            </w:pPr>
            <w:r>
              <w:t>US$3.2 M</w:t>
            </w:r>
          </w:p>
        </w:tc>
        <w:tc>
          <w:tcPr>
            <w:tcW w:w="1134" w:type="dxa"/>
          </w:tcPr>
          <w:p w14:paraId="711C3CB8" w14:textId="627B89C4" w:rsidR="00651704" w:rsidRDefault="001E7D65" w:rsidP="00766C40">
            <w:pPr>
              <w:pStyle w:val="BodyText"/>
              <w:spacing w:after="0"/>
              <w:jc w:val="right"/>
            </w:pPr>
            <w:r>
              <w:t>US$0.8 M</w:t>
            </w:r>
          </w:p>
        </w:tc>
      </w:tr>
    </w:tbl>
    <w:p w14:paraId="11BD06AD" w14:textId="77777777" w:rsidR="00651704" w:rsidRDefault="00651704">
      <w:pPr>
        <w:pStyle w:val="BodyText"/>
        <w:spacing w:after="0"/>
        <w:ind w:left="708" w:hanging="424"/>
        <w:jc w:val="both"/>
        <w:rPr>
          <w:rFonts w:ascii="Arial" w:hAnsi="Arial" w:cs="Arial"/>
        </w:rPr>
      </w:pPr>
    </w:p>
    <w:p w14:paraId="0CD92968" w14:textId="4B3AFE0A" w:rsidR="007B1142" w:rsidRDefault="00DD5FDE">
      <w:pPr>
        <w:pStyle w:val="BodyText"/>
        <w:spacing w:after="0"/>
        <w:ind w:left="708" w:hanging="424"/>
        <w:jc w:val="both"/>
        <w:rPr>
          <w:rFonts w:ascii="Arial" w:hAnsi="Arial" w:cs="Arial"/>
        </w:rPr>
      </w:pPr>
      <w:r>
        <w:rPr>
          <w:rFonts w:ascii="Arial" w:hAnsi="Arial" w:cs="Arial"/>
        </w:rPr>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3130B008" w14:textId="33DDFA0D" w:rsidR="00281F4C" w:rsidRDefault="00281F4C">
      <w:pPr>
        <w:pStyle w:val="BodyText"/>
        <w:spacing w:after="0"/>
        <w:ind w:left="708" w:hanging="424"/>
        <w:jc w:val="both"/>
      </w:pPr>
    </w:p>
    <w:p w14:paraId="71BA4E6B" w14:textId="28F97C5A" w:rsidR="000C51C5" w:rsidRPr="003A5FEE" w:rsidRDefault="00281F4C">
      <w:pPr>
        <w:pStyle w:val="BodyText"/>
        <w:spacing w:after="0"/>
        <w:ind w:left="708" w:hanging="424"/>
        <w:jc w:val="both"/>
        <w:rPr>
          <w:i/>
          <w:iCs/>
        </w:rPr>
      </w:pPr>
      <w:r>
        <w:tab/>
      </w:r>
      <w:r w:rsidR="000C51C5" w:rsidRPr="000C51C5">
        <w:rPr>
          <w:i/>
          <w:iCs/>
        </w:rPr>
        <w:t xml:space="preserve">Inventarios - </w:t>
      </w:r>
      <w:r w:rsidR="003A5FEE">
        <w:t>Hasta el año 2020 la empresa utilizó el sistema de costos promedio para valuación del saldo de todos los inventarios. Para el 2021 planea cerrar el año cambio el método de valuación de las bobinas (materia prima) al método de valuación de identificación especifica.</w:t>
      </w:r>
    </w:p>
    <w:p w14:paraId="4B50DEED" w14:textId="77777777" w:rsidR="000C51C5" w:rsidRDefault="000C51C5">
      <w:pPr>
        <w:pStyle w:val="BodyText"/>
        <w:spacing w:after="0"/>
        <w:ind w:left="708" w:hanging="424"/>
        <w:jc w:val="both"/>
      </w:pPr>
    </w:p>
    <w:p w14:paraId="65CE81B6" w14:textId="135F551C" w:rsidR="00281F4C" w:rsidRDefault="00281F4C" w:rsidP="000C51C5">
      <w:pPr>
        <w:pStyle w:val="BodyText"/>
        <w:spacing w:after="0"/>
        <w:ind w:left="708"/>
        <w:jc w:val="both"/>
      </w:pPr>
      <w:r w:rsidRPr="00281F4C">
        <w:rPr>
          <w:i/>
          <w:iCs/>
        </w:rPr>
        <w:t xml:space="preserve">Deterioro de cuentas por cobrar </w:t>
      </w:r>
      <w:r>
        <w:rPr>
          <w:i/>
          <w:iCs/>
        </w:rPr>
        <w:t>–</w:t>
      </w:r>
      <w:r w:rsidRPr="00281F4C">
        <w:rPr>
          <w:i/>
          <w:iCs/>
        </w:rPr>
        <w:t xml:space="preserve"> </w:t>
      </w:r>
      <w:r>
        <w:t xml:space="preserve">A partir del año 2020 se calcula utilizando el enfoque simplificado permitido por la NIIF 9, mediante el cual las pérdidas por deterioro son </w:t>
      </w:r>
      <w:r>
        <w:lastRenderedPageBreak/>
        <w:t>reconocidas utilizando una matriz de provisiones por tramos</w:t>
      </w:r>
      <w:r w:rsidR="00301C89">
        <w:t xml:space="preserve"> en los que se aplican porcentajes fijos en función a los días de cartera vencida.</w:t>
      </w:r>
      <w:r w:rsidR="009E6F52">
        <w:t xml:space="preserve"> Esta política cobra particular importancia debido a la pandemia de covid-19 que afectó a los clientes de la empresa y su situación económica. </w:t>
      </w:r>
    </w:p>
    <w:p w14:paraId="43322C67" w14:textId="76DE3778" w:rsidR="00301C89" w:rsidRDefault="00301C89">
      <w:pPr>
        <w:pStyle w:val="BodyText"/>
        <w:spacing w:after="0"/>
        <w:ind w:left="708" w:hanging="424"/>
        <w:jc w:val="both"/>
      </w:pPr>
    </w:p>
    <w:p w14:paraId="4602DE72" w14:textId="06244BC3" w:rsidR="00301C89" w:rsidRDefault="00301C89">
      <w:pPr>
        <w:pStyle w:val="BodyText"/>
        <w:spacing w:after="0"/>
        <w:ind w:left="708" w:hanging="424"/>
        <w:jc w:val="both"/>
      </w:pPr>
      <w:r>
        <w:tab/>
      </w:r>
      <w:r w:rsidR="00E8458C">
        <w:rPr>
          <w:i/>
          <w:iCs/>
        </w:rPr>
        <w:t xml:space="preserve">Empresa en marcha – </w:t>
      </w:r>
    </w:p>
    <w:p w14:paraId="2317AEB1" w14:textId="5E957DDD" w:rsidR="00E8458C" w:rsidRDefault="00E8458C">
      <w:pPr>
        <w:pStyle w:val="BodyText"/>
        <w:spacing w:after="0"/>
        <w:ind w:left="708" w:hanging="424"/>
        <w:jc w:val="both"/>
      </w:pPr>
    </w:p>
    <w:p w14:paraId="280A5EA7" w14:textId="017B435A" w:rsidR="00E8458C" w:rsidRPr="009E6F52" w:rsidRDefault="00E8458C">
      <w:pPr>
        <w:pStyle w:val="BodyText"/>
        <w:spacing w:after="0"/>
        <w:ind w:left="708" w:hanging="424"/>
        <w:jc w:val="both"/>
      </w:pPr>
      <w:r>
        <w:tab/>
      </w:r>
      <w:r w:rsidRPr="00E8458C">
        <w:rPr>
          <w:i/>
          <w:iCs/>
        </w:rPr>
        <w:t xml:space="preserve">Reconocimiento de ingresos - </w:t>
      </w:r>
    </w:p>
    <w:p w14:paraId="08DC2E93" w14:textId="01F37EE5" w:rsidR="00281F4C" w:rsidRPr="00281F4C" w:rsidRDefault="00281F4C" w:rsidP="00B73F57">
      <w:pPr>
        <w:pStyle w:val="BodyText"/>
        <w:spacing w:after="0"/>
        <w:jc w:val="both"/>
      </w:pPr>
      <w:r>
        <w:rPr>
          <w:i/>
          <w:iCs/>
        </w:rPr>
        <w:tab/>
      </w:r>
    </w:p>
    <w:p w14:paraId="00FD891C" w14:textId="77777777" w:rsidR="007B1142" w:rsidRDefault="007B1142" w:rsidP="00B87B37">
      <w:pPr>
        <w:pStyle w:val="BodyText"/>
        <w:spacing w:after="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765315CA" w14:textId="45665948" w:rsidR="005B4FB2" w:rsidRDefault="005B4FB2" w:rsidP="00B73F57">
      <w:pPr>
        <w:pStyle w:val="BodyText"/>
        <w:spacing w:after="0"/>
        <w:jc w:val="both"/>
        <w:rPr>
          <w:rFonts w:ascii="Arial" w:hAnsi="Arial" w:cs="Arial"/>
        </w:rPr>
      </w:pPr>
      <w:r w:rsidRPr="00B82553">
        <w:rPr>
          <w:rFonts w:ascii="Arial" w:hAnsi="Arial" w:cs="Arial"/>
          <w:u w:val="single"/>
        </w:rPr>
        <w:t xml:space="preserve">Regulaciones </w:t>
      </w:r>
      <w:r w:rsidR="00B82553" w:rsidRPr="00B82553">
        <w:rPr>
          <w:rFonts w:ascii="Arial" w:hAnsi="Arial" w:cs="Arial"/>
          <w:u w:val="single"/>
        </w:rPr>
        <w:t>de la Industria</w:t>
      </w:r>
      <w:r w:rsidR="00B82553">
        <w:rPr>
          <w:rFonts w:ascii="Arial" w:hAnsi="Arial" w:cs="Arial"/>
        </w:rPr>
        <w:t xml:space="preserve"> </w:t>
      </w:r>
      <w:r>
        <w:rPr>
          <w:rFonts w:ascii="Arial" w:hAnsi="Arial" w:cs="Arial"/>
        </w:rPr>
        <w:t>–</w:t>
      </w:r>
      <w:r w:rsidRPr="005B4FB2">
        <w:rPr>
          <w:rFonts w:ascii="Arial" w:hAnsi="Arial" w:cs="Arial"/>
        </w:rPr>
        <w:t xml:space="preserve"> </w:t>
      </w:r>
      <w:proofErr w:type="spellStart"/>
      <w:r w:rsidR="00AF5D42">
        <w:rPr>
          <w:rFonts w:ascii="Arial" w:hAnsi="Arial" w:cs="Arial"/>
        </w:rPr>
        <w:t>Grafimpac</w:t>
      </w:r>
      <w:proofErr w:type="spellEnd"/>
      <w:r w:rsidR="00AF5D42">
        <w:rPr>
          <w:rFonts w:ascii="Arial" w:hAnsi="Arial" w:cs="Arial"/>
        </w:rPr>
        <w:t xml:space="preserve"> se encuentra bajo el control de la Superintendencia de Compañías en cuanto a los asuntos societarios y debe cumplir con las normativas laborales, tributarias y otras que son propias de las empresas ecuatorianas. La industria gráfica a la cual pertenece no tiene regulaciones especiales para este tipo de negocio.</w:t>
      </w:r>
    </w:p>
    <w:p w14:paraId="5B0FC3F0" w14:textId="3E122700" w:rsidR="005B4FB2" w:rsidRDefault="005B4FB2" w:rsidP="00AF5D42">
      <w:pPr>
        <w:pStyle w:val="BodyText"/>
        <w:spacing w:after="0"/>
        <w:jc w:val="both"/>
        <w:rPr>
          <w:rFonts w:ascii="Arial" w:hAnsi="Arial" w:cs="Arial"/>
        </w:rPr>
      </w:pPr>
    </w:p>
    <w:p w14:paraId="79C9D387" w14:textId="7642A8CF" w:rsidR="007B1142" w:rsidRDefault="00DD5FDE" w:rsidP="00B73F57">
      <w:pPr>
        <w:pStyle w:val="BodyText"/>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Telconet por un monto de US $1’672.067, el cual represento el 94% de las cuentas por cobrar de la empresa, tal como se lo detalla en el siguiente cuadro: </w:t>
      </w:r>
    </w:p>
    <w:p w14:paraId="3421BA45" w14:textId="77777777" w:rsidR="007B1142" w:rsidRDefault="007B1142" w:rsidP="003E76D9">
      <w:pPr>
        <w:pStyle w:val="BodyText"/>
        <w:spacing w:after="0"/>
        <w:jc w:val="both"/>
        <w:rPr>
          <w:rFonts w:ascii="Arial" w:hAnsi="Arial" w:cs="Arial"/>
          <w:bCs/>
        </w:rPr>
      </w:pPr>
    </w:p>
    <w:p w14:paraId="7CEB2293" w14:textId="509ABCF1" w:rsidR="007B1142" w:rsidRDefault="00DD5FDE" w:rsidP="00B73F57">
      <w:pPr>
        <w:pStyle w:val="BodyText"/>
        <w:spacing w:after="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Telconet en diciembre del 2018.</w:t>
      </w:r>
    </w:p>
    <w:p w14:paraId="639A4CC6" w14:textId="77777777" w:rsidR="007B1142" w:rsidRDefault="007B1142">
      <w:pPr>
        <w:pStyle w:val="BodyText"/>
        <w:spacing w:after="0"/>
        <w:ind w:left="720"/>
        <w:jc w:val="both"/>
        <w:rPr>
          <w:rFonts w:ascii="Arial" w:hAnsi="Arial" w:cs="Arial"/>
          <w:bCs/>
        </w:rPr>
      </w:pPr>
    </w:p>
    <w:p w14:paraId="3D48AF86" w14:textId="6EC73160" w:rsidR="00B3511E" w:rsidRPr="00B3511E" w:rsidRDefault="00DD5FDE" w:rsidP="00B73F57">
      <w:pPr>
        <w:pStyle w:val="BodyText"/>
        <w:spacing w:after="0"/>
        <w:jc w:val="both"/>
      </w:pPr>
      <w:r>
        <w:rPr>
          <w:rFonts w:ascii="Arial" w:hAnsi="Arial" w:cs="Arial"/>
          <w:bCs/>
          <w:u w:val="single"/>
        </w:rPr>
        <w:t>Principales proveedores</w:t>
      </w:r>
      <w:r>
        <w:rPr>
          <w:rFonts w:ascii="Arial" w:hAnsi="Arial" w:cs="Arial"/>
          <w:bCs/>
        </w:rPr>
        <w:t xml:space="preserve"> – Dado que la compañía trabaja en conjunto con el grupo Telconet, se hace uso de la infraestructura ya establecida para la </w:t>
      </w:r>
      <w:r w:rsidR="00541439">
        <w:rPr>
          <w:rFonts w:ascii="Arial" w:hAnsi="Arial" w:cs="Arial"/>
          <w:bCs/>
        </w:rPr>
        <w:t>interconexión</w:t>
      </w:r>
      <w:r>
        <w:rPr>
          <w:rFonts w:ascii="Arial" w:hAnsi="Arial" w:cs="Arial"/>
          <w:bCs/>
        </w:rPr>
        <w:t xml:space="preserve"> con la red propia, estableciendo así a</w:t>
      </w:r>
      <w:r w:rsidR="009E6F52">
        <w:rPr>
          <w:rFonts w:ascii="Arial" w:hAnsi="Arial" w:cs="Arial"/>
          <w:bCs/>
        </w:rPr>
        <w:t xml:space="preserve"> las empresas del</w:t>
      </w:r>
      <w:r>
        <w:rPr>
          <w:rFonts w:ascii="Arial" w:hAnsi="Arial" w:cs="Arial"/>
          <w:bCs/>
        </w:rPr>
        <w:t xml:space="preserve"> grupo Telconet como principal</w:t>
      </w:r>
      <w:r w:rsidR="009E6F52">
        <w:rPr>
          <w:rFonts w:ascii="Arial" w:hAnsi="Arial" w:cs="Arial"/>
          <w:bCs/>
        </w:rPr>
        <w:t>es</w:t>
      </w:r>
      <w:r>
        <w:rPr>
          <w:rFonts w:ascii="Arial" w:hAnsi="Arial" w:cs="Arial"/>
          <w:bCs/>
        </w:rPr>
        <w:t xml:space="preserve"> proveedor</w:t>
      </w:r>
      <w:r w:rsidR="009E6F52">
        <w:rPr>
          <w:rFonts w:ascii="Arial" w:hAnsi="Arial" w:cs="Arial"/>
          <w:bCs/>
        </w:rPr>
        <w:t>es</w:t>
      </w:r>
      <w:r>
        <w:rPr>
          <w:rFonts w:ascii="Arial" w:hAnsi="Arial" w:cs="Arial"/>
          <w:bCs/>
        </w:rPr>
        <w:t>.</w:t>
      </w:r>
      <w:r w:rsidR="001F7A9A">
        <w:rPr>
          <w:rFonts w:ascii="Arial" w:hAnsi="Arial" w:cs="Arial"/>
          <w:bCs/>
        </w:rPr>
        <w:t xml:space="preserve"> </w:t>
      </w:r>
    </w:p>
    <w:p w14:paraId="30CC8735" w14:textId="77777777" w:rsidR="00B3511E" w:rsidRDefault="00B3511E" w:rsidP="00B3511E">
      <w:pPr>
        <w:pStyle w:val="BodyText"/>
        <w:spacing w:after="0"/>
        <w:ind w:left="720"/>
        <w:jc w:val="both"/>
        <w:rPr>
          <w:rFonts w:ascii="Arial" w:hAnsi="Arial" w:cs="Arial"/>
          <w:bCs/>
          <w:u w:val="single"/>
        </w:rPr>
      </w:pPr>
    </w:p>
    <w:p w14:paraId="31802D02" w14:textId="790F8194" w:rsidR="007B1142" w:rsidRDefault="001F7A9A" w:rsidP="00B73F57">
      <w:pPr>
        <w:pStyle w:val="BodyText"/>
        <w:spacing w:after="0"/>
        <w:jc w:val="both"/>
      </w:pPr>
      <w:r>
        <w:rPr>
          <w:rFonts w:ascii="Arial" w:hAnsi="Arial" w:cs="Arial"/>
          <w:bCs/>
        </w:rPr>
        <w:t>Los otros proveedores de la entidad son los demás operadores de telefónica fija y móvil con los cuales se realiza el tráfico de las comunicaciones desde y hacia Linkotel</w:t>
      </w:r>
      <w:r w:rsidR="00B3511E">
        <w:rPr>
          <w:rFonts w:ascii="Arial" w:hAnsi="Arial" w:cs="Arial"/>
          <w:bCs/>
        </w:rPr>
        <w:t>, principalmente:</w:t>
      </w:r>
      <w:r>
        <w:rPr>
          <w:rFonts w:ascii="Arial" w:hAnsi="Arial" w:cs="Arial"/>
          <w:bCs/>
        </w:rPr>
        <w:t xml:space="preserve"> </w:t>
      </w:r>
      <w:proofErr w:type="spellStart"/>
      <w:r>
        <w:rPr>
          <w:rFonts w:ascii="Arial" w:hAnsi="Arial" w:cs="Arial"/>
          <w:bCs/>
        </w:rPr>
        <w:t>Conecel</w:t>
      </w:r>
      <w:proofErr w:type="spellEnd"/>
      <w:r>
        <w:rPr>
          <w:rFonts w:ascii="Arial" w:hAnsi="Arial" w:cs="Arial"/>
          <w:bCs/>
        </w:rPr>
        <w:t xml:space="preserve"> (Claro), </w:t>
      </w:r>
      <w:proofErr w:type="spellStart"/>
      <w:r>
        <w:rPr>
          <w:rFonts w:ascii="Arial" w:hAnsi="Arial" w:cs="Arial"/>
          <w:bCs/>
        </w:rPr>
        <w:t>Otecel</w:t>
      </w:r>
      <w:proofErr w:type="spellEnd"/>
      <w:r>
        <w:rPr>
          <w:rFonts w:ascii="Arial" w:hAnsi="Arial" w:cs="Arial"/>
          <w:bCs/>
        </w:rPr>
        <w:t xml:space="preserve"> (Movistar), CNT (telefonía fija y móvil)</w:t>
      </w:r>
      <w:r w:rsidR="009E6F52">
        <w:rPr>
          <w:rFonts w:ascii="Arial" w:hAnsi="Arial" w:cs="Arial"/>
          <w:bCs/>
        </w:rPr>
        <w:t>.</w:t>
      </w:r>
      <w:r w:rsidR="00B3511E">
        <w:rPr>
          <w:rFonts w:ascii="Arial" w:hAnsi="Arial" w:cs="Arial"/>
          <w:bCs/>
        </w:rPr>
        <w:t xml:space="preserve"> Los costos de interconexión representan el 70% del total de costos anuales.</w:t>
      </w:r>
    </w:p>
    <w:p w14:paraId="1D4B80D8" w14:textId="77777777" w:rsidR="007B1142" w:rsidRDefault="007B1142">
      <w:pPr>
        <w:pStyle w:val="BodyText"/>
        <w:spacing w:after="0"/>
        <w:ind w:left="720"/>
        <w:jc w:val="both"/>
        <w:rPr>
          <w:rFonts w:ascii="Arial" w:hAnsi="Arial" w:cs="Arial"/>
          <w:bCs/>
        </w:rPr>
      </w:pPr>
    </w:p>
    <w:p w14:paraId="1ED4CF70" w14:textId="47AE0351" w:rsidR="007B1142" w:rsidRDefault="00DD5FDE" w:rsidP="00571F5B">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refiere.</w:t>
      </w:r>
      <w:r w:rsidR="00571F5B">
        <w:t xml:space="preserve"> </w:t>
      </w:r>
      <w:r w:rsidRPr="00571F5B">
        <w:rPr>
          <w:rFonts w:ascii="Arial" w:hAnsi="Arial" w:cs="Arial"/>
          <w:bCs/>
        </w:rPr>
        <w:t xml:space="preserve">En cuanto a empresas </w:t>
      </w:r>
      <w:r w:rsidR="00845DEA" w:rsidRPr="00571F5B">
        <w:rPr>
          <w:rFonts w:ascii="Arial" w:hAnsi="Arial" w:cs="Arial"/>
          <w:bCs/>
        </w:rPr>
        <w:t>públicas</w:t>
      </w:r>
      <w:r w:rsidRPr="00571F5B">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1AF97E81" w:rsidR="0025447B" w:rsidRDefault="0025447B">
      <w:pPr>
        <w:pStyle w:val="BodyText"/>
        <w:spacing w:after="0"/>
        <w:ind w:left="720"/>
        <w:jc w:val="both"/>
        <w:rPr>
          <w:rFonts w:ascii="Arial" w:hAnsi="Arial" w:cs="Arial"/>
        </w:rPr>
      </w:pPr>
      <w:r>
        <w:rPr>
          <w:rFonts w:ascii="Arial" w:hAnsi="Arial" w:cs="Arial"/>
          <w:noProof/>
        </w:rPr>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7076DA06" w14:textId="1A971D1B" w:rsidR="00E15AC1" w:rsidRDefault="00E15AC1">
      <w:pPr>
        <w:pStyle w:val="BodyText"/>
        <w:spacing w:after="0"/>
        <w:ind w:left="720"/>
        <w:jc w:val="both"/>
        <w:rPr>
          <w:rFonts w:ascii="Arial" w:hAnsi="Arial" w:cs="Arial"/>
        </w:rPr>
      </w:pPr>
    </w:p>
    <w:p w14:paraId="32445147" w14:textId="63115B77" w:rsidR="00E15AC1" w:rsidRDefault="00E15AC1">
      <w:pPr>
        <w:pStyle w:val="BodyText"/>
        <w:spacing w:after="0"/>
        <w:ind w:left="720"/>
        <w:jc w:val="both"/>
        <w:rPr>
          <w:rFonts w:ascii="Arial" w:hAnsi="Arial" w:cs="Arial"/>
        </w:rPr>
      </w:pPr>
      <w:r>
        <w:rPr>
          <w:rFonts w:ascii="Arial" w:hAnsi="Arial" w:cs="Arial"/>
          <w:noProof/>
        </w:rPr>
        <w:drawing>
          <wp:inline distT="0" distB="0" distL="0" distR="0" wp14:anchorId="7EE1C6AC" wp14:editId="623CA27D">
            <wp:extent cx="5076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81300"/>
                    </a:xfrm>
                    <a:prstGeom prst="rect">
                      <a:avLst/>
                    </a:prstGeom>
                    <a:noFill/>
                    <a:ln>
                      <a:noFill/>
                    </a:ln>
                  </pic:spPr>
                </pic:pic>
              </a:graphicData>
            </a:graphic>
          </wp:inline>
        </w:drawing>
      </w:r>
    </w:p>
    <w:p w14:paraId="2476C1CA" w14:textId="62EB0FE9" w:rsidR="00DF504E" w:rsidRPr="009E6F52" w:rsidRDefault="00DF504E">
      <w:pPr>
        <w:pStyle w:val="BodyText"/>
        <w:numPr>
          <w:ilvl w:val="0"/>
          <w:numId w:val="2"/>
        </w:numPr>
        <w:spacing w:after="0"/>
        <w:jc w:val="both"/>
      </w:pPr>
      <w:r>
        <w:rPr>
          <w:rFonts w:ascii="Arial" w:hAnsi="Arial" w:cs="Arial"/>
          <w:u w:val="single"/>
        </w:rPr>
        <w:t>Tecnología de Información</w:t>
      </w:r>
      <w:r w:rsidR="00DD5FDE">
        <w:rPr>
          <w:rFonts w:ascii="Arial" w:hAnsi="Arial" w:cs="Arial"/>
        </w:rPr>
        <w:t xml:space="preserve"> – </w:t>
      </w:r>
      <w:r>
        <w:rPr>
          <w:rFonts w:ascii="Arial" w:hAnsi="Arial" w:cs="Arial"/>
        </w:rPr>
        <w:t>Para la gestión gerencial y control operacional la empresa ha desarrollado su propio software</w:t>
      </w:r>
      <w:r w:rsidR="00571F5B">
        <w:rPr>
          <w:rFonts w:ascii="Arial" w:hAnsi="Arial" w:cs="Arial"/>
        </w:rPr>
        <w:t xml:space="preserve"> en el cual se monitorea en línea el tráfico telefónico, ventas, cartera y demás información que requiere la Gerencia para su gestión. De igual forma, la contabilidad y facturación electrónica funciona con software propio diseñado por personal del grupo, los cuales operan en servidores propios.</w:t>
      </w:r>
    </w:p>
    <w:p w14:paraId="6ECE554D" w14:textId="7CAB6E3E" w:rsidR="009E6F52" w:rsidRDefault="009E6F52" w:rsidP="009E6F52">
      <w:pPr>
        <w:pStyle w:val="BodyText"/>
        <w:spacing w:after="0"/>
        <w:ind w:left="720"/>
        <w:jc w:val="both"/>
        <w:rPr>
          <w:rFonts w:ascii="Arial" w:hAnsi="Arial" w:cs="Arial"/>
          <w:u w:val="single"/>
        </w:rPr>
      </w:pPr>
    </w:p>
    <w:p w14:paraId="38A746D6" w14:textId="191DE279" w:rsidR="00571F5B" w:rsidRDefault="00C0447E" w:rsidP="00C0447E">
      <w:pPr>
        <w:pStyle w:val="BodyText"/>
        <w:spacing w:after="0"/>
        <w:ind w:left="720"/>
        <w:jc w:val="both"/>
        <w:rPr>
          <w:rFonts w:ascii="Arial" w:hAnsi="Arial" w:cs="Arial"/>
        </w:rPr>
      </w:pPr>
      <w:r>
        <w:rPr>
          <w:rFonts w:ascii="Arial" w:hAnsi="Arial" w:cs="Arial"/>
        </w:rPr>
        <w:t>Del resultado de nuestras reuniones con la Gerencia no resulta claro cómo se controlan y gestionan las cuentas por cobrar de la empresa pues, el auxiliar se mantiene en la contabilidad cuyo mayor generar tiene un auxiliar por cliente, pero el departamento de Servicio al Cliente quienes son encargados de las cobranzas no tiene acceso a la contabilidad. El módulo de cartera del sistema mantiene diferencias con el saldo contable que fueron detectadas el año 2020, aparentemente por saldos antiguos y falta de conciliación periódica.</w:t>
      </w:r>
    </w:p>
    <w:p w14:paraId="522F3FDB" w14:textId="0E932CEA" w:rsidR="00C0447E" w:rsidRDefault="00C0447E" w:rsidP="00C0447E">
      <w:pPr>
        <w:pStyle w:val="BodyText"/>
        <w:spacing w:after="0"/>
        <w:ind w:left="720"/>
        <w:jc w:val="both"/>
        <w:rPr>
          <w:rFonts w:ascii="Arial" w:hAnsi="Arial" w:cs="Arial"/>
        </w:rPr>
      </w:pPr>
    </w:p>
    <w:p w14:paraId="3F2ECEDF" w14:textId="77777777" w:rsidR="00B73F57" w:rsidRDefault="00B73F57" w:rsidP="00C0447E">
      <w:pPr>
        <w:pStyle w:val="BodyText"/>
        <w:spacing w:after="0"/>
        <w:ind w:left="720"/>
        <w:jc w:val="both"/>
        <w:rPr>
          <w:rFonts w:ascii="Arial" w:hAnsi="Arial" w:cs="Arial"/>
        </w:rPr>
      </w:pPr>
    </w:p>
    <w:p w14:paraId="2CF2A23E" w14:textId="24C7232E" w:rsidR="00C0447E" w:rsidRDefault="00C0447E" w:rsidP="00C0447E">
      <w:pPr>
        <w:pStyle w:val="BodyText"/>
        <w:spacing w:after="0"/>
        <w:ind w:left="720"/>
        <w:jc w:val="both"/>
      </w:pPr>
      <w:r>
        <w:rPr>
          <w:rFonts w:ascii="Arial" w:hAnsi="Arial" w:cs="Arial"/>
        </w:rPr>
        <w:t>Sistema de información gerencial:</w:t>
      </w:r>
    </w:p>
    <w:p w14:paraId="56B41952" w14:textId="77189BF3" w:rsidR="00571F5B" w:rsidRPr="00DF504E" w:rsidRDefault="00571F5B" w:rsidP="00571F5B">
      <w:pPr>
        <w:pStyle w:val="BodyText"/>
        <w:spacing w:after="0"/>
        <w:ind w:left="708"/>
        <w:jc w:val="both"/>
      </w:pPr>
      <w:r>
        <w:rPr>
          <w:noProof/>
        </w:rPr>
        <w:drawing>
          <wp:inline distT="0" distB="0" distL="0" distR="0" wp14:anchorId="38A09199" wp14:editId="2307A383">
            <wp:extent cx="5730875" cy="35236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23615"/>
                    </a:xfrm>
                    <a:prstGeom prst="rect">
                      <a:avLst/>
                    </a:prstGeom>
                    <a:noFill/>
                  </pic:spPr>
                </pic:pic>
              </a:graphicData>
            </a:graphic>
          </wp:inline>
        </w:drawing>
      </w:r>
    </w:p>
    <w:p w14:paraId="2B313E1B" w14:textId="77777777" w:rsidR="00DF504E" w:rsidRPr="00DF504E" w:rsidRDefault="00DF504E" w:rsidP="00DF504E">
      <w:pPr>
        <w:pStyle w:val="BodyText"/>
        <w:spacing w:after="0"/>
        <w:ind w:left="720"/>
        <w:jc w:val="both"/>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Linkotel S.A. es una empresa mediana y </w:t>
      </w:r>
      <w:r w:rsidR="003E2DD0">
        <w:rPr>
          <w:rFonts w:ascii="Arial" w:hAnsi="Arial" w:cs="Arial"/>
        </w:rPr>
        <w:t>debido a que forma parte del grupo Telconet</w:t>
      </w:r>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3E7E5B28"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9E3896">
        <w:rPr>
          <w:rFonts w:ascii="Arial" w:hAnsi="Arial" w:cs="Arial"/>
        </w:rPr>
        <w:t>En PT 3221 se incluye un anexo q</w:t>
      </w:r>
      <w:r w:rsidR="00DA53BE">
        <w:rPr>
          <w:rFonts w:ascii="Arial" w:hAnsi="Arial" w:cs="Arial"/>
        </w:rPr>
        <w:t xml:space="preserve">ue resume las nuevas </w:t>
      </w:r>
      <w:r w:rsidR="009E3896">
        <w:rPr>
          <w:rFonts w:ascii="Arial" w:hAnsi="Arial" w:cs="Arial"/>
        </w:rPr>
        <w:t>NIIF</w:t>
      </w:r>
      <w:r w:rsidR="00DA53BE">
        <w:rPr>
          <w:rFonts w:ascii="Arial" w:hAnsi="Arial" w:cs="Arial"/>
        </w:rPr>
        <w:t>, incluyendo enmiendas, que son de aplicación obli</w:t>
      </w:r>
      <w:r w:rsidR="008C4994">
        <w:rPr>
          <w:rFonts w:ascii="Arial" w:hAnsi="Arial" w:cs="Arial"/>
        </w:rPr>
        <w:t>gatorias al 31 de diciembre</w:t>
      </w:r>
      <w:r w:rsidR="00DA53BE">
        <w:rPr>
          <w:rFonts w:ascii="Arial" w:hAnsi="Arial" w:cs="Arial"/>
        </w:rPr>
        <w:t xml:space="preserve"> del 202</w:t>
      </w:r>
      <w:r w:rsidR="009E3896">
        <w:rPr>
          <w:rFonts w:ascii="Arial" w:hAnsi="Arial" w:cs="Arial"/>
        </w:rPr>
        <w:t>1</w:t>
      </w:r>
      <w:r w:rsidR="008C4994">
        <w:rPr>
          <w:rFonts w:ascii="Arial" w:hAnsi="Arial" w:cs="Arial"/>
        </w:rPr>
        <w:t>, ninguna de las cuales tienen efecto importante en las operaciones y registros contables de Linkotel</w:t>
      </w:r>
      <w:r w:rsidR="00DA53BE">
        <w:rPr>
          <w:rFonts w:ascii="Arial" w:hAnsi="Arial" w:cs="Arial"/>
        </w:rPr>
        <w:t>:</w:t>
      </w:r>
    </w:p>
    <w:p w14:paraId="33F12E6F" w14:textId="77777777" w:rsidR="00DA53BE" w:rsidRDefault="00DA53BE" w:rsidP="00DA53BE">
      <w:pPr>
        <w:pStyle w:val="BodyText"/>
        <w:spacing w:after="0"/>
        <w:ind w:left="720"/>
        <w:jc w:val="both"/>
        <w:rPr>
          <w:rFonts w:ascii="Arial" w:hAnsi="Arial" w:cs="Arial"/>
          <w:u w:val="single"/>
        </w:rPr>
      </w:pPr>
    </w:p>
    <w:p w14:paraId="7225684B" w14:textId="1FCEBBBD" w:rsidR="007B1142" w:rsidRDefault="009E3896" w:rsidP="00DA53BE">
      <w:pPr>
        <w:pStyle w:val="BodyText"/>
        <w:spacing w:after="0"/>
        <w:ind w:left="720"/>
        <w:jc w:val="both"/>
        <w:rPr>
          <w:rFonts w:ascii="Arial" w:hAnsi="Arial" w:cs="Arial"/>
        </w:rPr>
      </w:pPr>
      <w:r>
        <w:rPr>
          <w:rFonts w:ascii="Arial" w:hAnsi="Arial" w:cs="Arial"/>
        </w:rPr>
        <w:t>No hemos identificado</w:t>
      </w:r>
      <w:r w:rsidR="00DD5FDE">
        <w:rPr>
          <w:rFonts w:ascii="Arial" w:hAnsi="Arial" w:cs="Arial"/>
        </w:rPr>
        <w:t xml:space="preserve"> regulaciones contables nuevas que haya emitido la Superintendencia de Compañías o el SRI, que afecten el reporte de la información financiera.</w:t>
      </w:r>
    </w:p>
    <w:p w14:paraId="201F05FA" w14:textId="77777777" w:rsidR="007B1142" w:rsidRDefault="007B1142">
      <w:pPr>
        <w:pStyle w:val="BodyText"/>
        <w:spacing w:after="0"/>
        <w:ind w:left="720"/>
        <w:jc w:val="both"/>
        <w:rPr>
          <w:rFonts w:ascii="Arial" w:hAnsi="Arial" w:cs="Arial"/>
          <w:u w:val="single"/>
        </w:rPr>
      </w:pPr>
    </w:p>
    <w:p w14:paraId="6134FDB1" w14:textId="47A7D729" w:rsidR="007B1142" w:rsidRDefault="009E3896">
      <w:pPr>
        <w:pStyle w:val="BodyText"/>
        <w:spacing w:after="0"/>
        <w:ind w:left="720"/>
        <w:jc w:val="both"/>
      </w:pPr>
      <w:r>
        <w:rPr>
          <w:rFonts w:ascii="Arial" w:hAnsi="Arial" w:cs="Arial"/>
        </w:rPr>
        <w:t>A la fecha de este memo se discute una reforma tributaria propuesta por el gobierno con el objetivo de financiar el presupuesto del estado para el año 2022; las medidas propuestas se enfocan en incremento de impuestos para las personas naturales y empresas con patrimonio significativo.</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4A699394" w14:textId="77777777" w:rsidR="00ED5678" w:rsidRDefault="00ED5678" w:rsidP="00571F5B">
      <w:pPr>
        <w:pStyle w:val="BodyText"/>
        <w:spacing w:after="0"/>
        <w:ind w:left="708"/>
        <w:jc w:val="both"/>
        <w:rPr>
          <w:rFonts w:ascii="Arial" w:hAnsi="Arial" w:cs="Arial"/>
          <w:i/>
          <w:iCs/>
          <w:u w:val="single"/>
        </w:rPr>
      </w:pPr>
    </w:p>
    <w:p w14:paraId="1098E634" w14:textId="47029DB9" w:rsidR="00571F5B" w:rsidRDefault="00DD5FDE" w:rsidP="00571F5B">
      <w:pPr>
        <w:pStyle w:val="BodyText"/>
        <w:spacing w:after="0"/>
        <w:ind w:left="708"/>
        <w:jc w:val="both"/>
        <w:rPr>
          <w:rFonts w:ascii="Arial" w:hAnsi="Arial" w:cs="Arial"/>
        </w:rPr>
      </w:pPr>
      <w:r>
        <w:rPr>
          <w:rFonts w:ascii="Arial" w:hAnsi="Arial" w:cs="Arial"/>
          <w:i/>
          <w:iCs/>
          <w:u w:val="single"/>
        </w:rPr>
        <w:lastRenderedPageBreak/>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Debido a los efectos económicos de la pandemia el PIB cayó -</w:t>
      </w:r>
      <w:r w:rsidR="00ED5678">
        <w:rPr>
          <w:rFonts w:ascii="Arial" w:hAnsi="Arial" w:cs="Arial"/>
        </w:rPr>
        <w:t>7.8</w:t>
      </w:r>
      <w:r>
        <w:rPr>
          <w:rFonts w:ascii="Arial" w:hAnsi="Arial" w:cs="Arial"/>
        </w:rPr>
        <w:t>%</w:t>
      </w:r>
      <w:r w:rsidR="00ED5678">
        <w:rPr>
          <w:rFonts w:ascii="Arial" w:hAnsi="Arial" w:cs="Arial"/>
        </w:rPr>
        <w:t xml:space="preserve"> en el año 2020 y los especialistas prevén una recuperación de 2.8% para el presente ejercicio 2021</w:t>
      </w:r>
    </w:p>
    <w:p w14:paraId="60B462FC" w14:textId="77777777" w:rsidR="00571F5B" w:rsidRDefault="00571F5B" w:rsidP="00571F5B">
      <w:pPr>
        <w:pStyle w:val="BodyText"/>
        <w:spacing w:after="0"/>
        <w:ind w:left="708"/>
        <w:jc w:val="both"/>
        <w:rPr>
          <w:rFonts w:ascii="Arial" w:hAnsi="Arial" w:cs="Arial"/>
        </w:rPr>
      </w:pPr>
    </w:p>
    <w:p w14:paraId="46EFB800" w14:textId="7D459C25" w:rsidR="007B1142" w:rsidRDefault="00ED5678" w:rsidP="00571F5B">
      <w:pPr>
        <w:pStyle w:val="BodyText"/>
        <w:spacing w:after="0"/>
        <w:ind w:left="708"/>
        <w:jc w:val="both"/>
      </w:pPr>
      <w:r>
        <w:rPr>
          <w:rFonts w:ascii="Arial" w:hAnsi="Arial" w:cs="Arial"/>
        </w:rPr>
        <w:t xml:space="preserve">A pesar de la caída del PIB en el año 2020 y bajo crecimiento en el 2021, las ventas de la empresa no se han visto afectadas </w:t>
      </w:r>
      <w:r w:rsidR="00FC66AE">
        <w:rPr>
          <w:rFonts w:ascii="Arial" w:hAnsi="Arial" w:cs="Arial"/>
        </w:rPr>
        <w:t>y, hasta ag-21 ya se alcanzó el nivel de ingresos por servicios de telefonía del año pasado por lo cual se espera superar los niveles de ingresos 2020 y el presupuesto inicialmente establecido.</w:t>
      </w:r>
    </w:p>
    <w:p w14:paraId="73B90EF1" w14:textId="77777777" w:rsidR="00DA53BE" w:rsidRDefault="00DA53BE">
      <w:pPr>
        <w:pStyle w:val="BodyText"/>
        <w:spacing w:after="0"/>
        <w:ind w:left="708"/>
        <w:jc w:val="both"/>
        <w:rPr>
          <w:rFonts w:ascii="Arial" w:hAnsi="Arial" w:cs="Arial"/>
          <w:u w:val="single"/>
        </w:rPr>
      </w:pPr>
    </w:p>
    <w:p w14:paraId="17DA650E" w14:textId="4E7AAB12" w:rsidR="005A6AD6" w:rsidRPr="005A6AD6" w:rsidRDefault="00DD5FDE">
      <w:pPr>
        <w:pStyle w:val="BodyText"/>
        <w:spacing w:after="0"/>
        <w:ind w:left="708"/>
        <w:jc w:val="both"/>
        <w:rPr>
          <w:rFonts w:ascii="Arial" w:hAnsi="Arial" w:cs="Arial"/>
        </w:rPr>
      </w:pPr>
      <w:r>
        <w:rPr>
          <w:rFonts w:ascii="Arial" w:hAnsi="Arial" w:cs="Arial"/>
          <w:i/>
          <w:iCs/>
          <w:u w:val="single"/>
        </w:rPr>
        <w:t>COVID-19</w:t>
      </w:r>
      <w:r>
        <w:rPr>
          <w:rFonts w:ascii="Arial" w:hAnsi="Arial" w:cs="Arial"/>
          <w:i/>
          <w:iCs/>
        </w:rPr>
        <w:t xml:space="preserve"> </w:t>
      </w:r>
      <w:r w:rsidR="005A6AD6">
        <w:rPr>
          <w:rFonts w:ascii="Arial" w:hAnsi="Arial" w:cs="Arial"/>
          <w:i/>
          <w:iCs/>
        </w:rPr>
        <w:t>–</w:t>
      </w:r>
      <w:r>
        <w:rPr>
          <w:rFonts w:ascii="Arial" w:hAnsi="Arial" w:cs="Arial"/>
          <w:i/>
          <w:iCs/>
        </w:rPr>
        <w:t xml:space="preserve"> </w:t>
      </w:r>
      <w:r w:rsidR="005A6AD6">
        <w:rPr>
          <w:rFonts w:ascii="Arial" w:hAnsi="Arial" w:cs="Arial"/>
        </w:rPr>
        <w:t xml:space="preserve">A partir de mayo 2021 que Guillermo Lasso tomó posesión como nuevo presidente del Ecuador se inició una campaña masiva para vacunar 9 millones de personas (50% de la población) en sus primeros 100 días de mandato, objetivo que se logró y, a la presente fecha aproximadamente el 60% de la población ecuatoriana se encuentra vacunada con dos dosis. El éxito en la vacunación ha disminuido significativamente los nuevos casos de pacientes infectados por la </w:t>
      </w:r>
      <w:proofErr w:type="gramStart"/>
      <w:r w:rsidR="0075253E">
        <w:rPr>
          <w:rFonts w:ascii="Arial" w:hAnsi="Arial" w:cs="Arial"/>
        </w:rPr>
        <w:t>pandemia,</w:t>
      </w:r>
      <w:proofErr w:type="gramEnd"/>
      <w:r w:rsidR="005A6AD6">
        <w:rPr>
          <w:rFonts w:ascii="Arial" w:hAnsi="Arial" w:cs="Arial"/>
        </w:rPr>
        <w:t xml:space="preserve"> se han cerrado centros de atención y liberado unidades de cuidado intensivo de los hospitales.</w:t>
      </w:r>
    </w:p>
    <w:p w14:paraId="027DAB61" w14:textId="77777777" w:rsidR="005A6AD6" w:rsidRDefault="005A6AD6">
      <w:pPr>
        <w:pStyle w:val="BodyText"/>
        <w:spacing w:after="0"/>
        <w:ind w:left="708"/>
        <w:jc w:val="both"/>
        <w:rPr>
          <w:rFonts w:ascii="Arial" w:hAnsi="Arial" w:cs="Arial"/>
        </w:rPr>
      </w:pPr>
    </w:p>
    <w:p w14:paraId="7B8715F4" w14:textId="1F94150E" w:rsidR="007B1142" w:rsidRPr="0075253E" w:rsidRDefault="0075253E">
      <w:pPr>
        <w:pStyle w:val="BodyText"/>
        <w:spacing w:after="0"/>
        <w:ind w:left="708"/>
        <w:jc w:val="both"/>
        <w:rPr>
          <w:rFonts w:ascii="Arial" w:hAnsi="Arial" w:cs="Arial"/>
        </w:rPr>
      </w:pPr>
      <w:r>
        <w:rPr>
          <w:rFonts w:ascii="Arial" w:hAnsi="Arial" w:cs="Arial"/>
        </w:rPr>
        <w:t>Las actividades económicas de las empresas en general se están normalizando, aunque todavía se mantienen restricciones para espectáculos públicos y eventos masivos. El SRI reporta un crecimiento del 12% en la recaudación tributaria de enero a octubre del 2021, comparado con similar periodo del año pasado.</w:t>
      </w:r>
    </w:p>
    <w:p w14:paraId="2DC647BC" w14:textId="77777777" w:rsidR="007B1142" w:rsidRDefault="007B1142">
      <w:pPr>
        <w:pStyle w:val="BodyText"/>
        <w:spacing w:after="0"/>
        <w:ind w:left="708"/>
        <w:jc w:val="both"/>
        <w:rPr>
          <w:rFonts w:ascii="Arial" w:hAnsi="Arial" w:cs="Arial"/>
        </w:rPr>
      </w:pPr>
    </w:p>
    <w:p w14:paraId="7F1E4313" w14:textId="0255525D"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p>
    <w:p w14:paraId="47002025" w14:textId="77777777" w:rsidR="007B1142" w:rsidRDefault="007B1142">
      <w:pPr>
        <w:pStyle w:val="BodyText"/>
        <w:spacing w:after="0"/>
        <w:ind w:left="708"/>
        <w:jc w:val="both"/>
        <w:rPr>
          <w:rFonts w:ascii="Arial" w:hAnsi="Arial" w:cs="Arial"/>
          <w:u w:val="single"/>
        </w:rPr>
      </w:pPr>
    </w:p>
    <w:p w14:paraId="6ADE092D" w14:textId="0A9E9F63" w:rsidR="007B1142" w:rsidRDefault="00963FAE">
      <w:pPr>
        <w:pStyle w:val="BodyText"/>
        <w:spacing w:after="0"/>
        <w:ind w:left="708"/>
        <w:jc w:val="both"/>
      </w:pPr>
      <w:r>
        <w:rPr>
          <w:noProof/>
        </w:rPr>
        <w:drawing>
          <wp:inline distT="0" distB="0" distL="0" distR="0" wp14:anchorId="79988518" wp14:editId="2102FC88">
            <wp:extent cx="56102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946ABF6" w14:textId="422B67D4" w:rsidR="00963FAE" w:rsidRDefault="00963FAE">
      <w:pPr>
        <w:pStyle w:val="BodyText"/>
        <w:spacing w:after="0"/>
        <w:ind w:left="708"/>
        <w:jc w:val="both"/>
        <w:rPr>
          <w:rFonts w:ascii="Arial" w:hAnsi="Arial" w:cs="Arial"/>
        </w:rPr>
      </w:pPr>
      <w:r>
        <w:rPr>
          <w:rFonts w:ascii="Arial" w:hAnsi="Arial" w:cs="Arial"/>
        </w:rPr>
        <w:t>Con la recuperación de la economía también se están recuperando los niveles de empleo adecuado, a medida que se reduce la tasa de subempleo y desempleo.</w:t>
      </w:r>
    </w:p>
    <w:p w14:paraId="476E1C66" w14:textId="0F81D7B9" w:rsidR="00963FAE" w:rsidRDefault="00963FAE">
      <w:pPr>
        <w:pStyle w:val="BodyText"/>
        <w:spacing w:after="0"/>
        <w:ind w:left="708"/>
        <w:jc w:val="both"/>
        <w:rPr>
          <w:rFonts w:ascii="Arial" w:hAnsi="Arial" w:cs="Arial"/>
        </w:rPr>
      </w:pPr>
      <w:r>
        <w:rPr>
          <w:rFonts w:ascii="Arial" w:hAnsi="Arial" w:cs="Arial"/>
        </w:rPr>
        <w:lastRenderedPageBreak/>
        <w:t xml:space="preserve">El gobierno está planteando nueva normativa laboral que permita contratar trabajadores por temporada, jornadas reducidas y </w:t>
      </w:r>
      <w:r w:rsidR="00FA4E17">
        <w:rPr>
          <w:rFonts w:ascii="Arial" w:hAnsi="Arial" w:cs="Arial"/>
        </w:rPr>
        <w:t>otra</w:t>
      </w:r>
      <w:r>
        <w:rPr>
          <w:rFonts w:ascii="Arial" w:hAnsi="Arial" w:cs="Arial"/>
        </w:rPr>
        <w:t>s formas de contratación que ayuden a mejorar los niveles de</w:t>
      </w:r>
      <w:r w:rsidR="00FA4E17">
        <w:rPr>
          <w:rFonts w:ascii="Arial" w:hAnsi="Arial" w:cs="Arial"/>
        </w:rPr>
        <w:t xml:space="preserve"> empleo, aunque enfrenta oposición de las organizaciones sindicales y debe obtener votos favorables en la Asamblea Nacional, en la cual no tiene mayoría.</w:t>
      </w:r>
    </w:p>
    <w:p w14:paraId="74882A9D" w14:textId="77777777" w:rsidR="00963FAE" w:rsidRDefault="00963FAE">
      <w:pPr>
        <w:pStyle w:val="BodyText"/>
        <w:spacing w:after="0"/>
        <w:ind w:left="708"/>
        <w:jc w:val="both"/>
        <w:rPr>
          <w:rFonts w:ascii="Arial" w:hAnsi="Arial" w:cs="Arial"/>
        </w:rPr>
      </w:pPr>
    </w:p>
    <w:p w14:paraId="1847941C" w14:textId="5C52F770" w:rsidR="0061455C" w:rsidRDefault="00DD5FDE">
      <w:pPr>
        <w:pStyle w:val="BodyText"/>
        <w:spacing w:after="0"/>
        <w:ind w:left="708"/>
        <w:jc w:val="both"/>
        <w:rPr>
          <w:rFonts w:ascii="Arial" w:hAnsi="Arial" w:cs="Arial"/>
        </w:rPr>
      </w:pPr>
      <w:r>
        <w:rPr>
          <w:rFonts w:ascii="Arial" w:hAnsi="Arial" w:cs="Arial"/>
          <w:i/>
          <w:iCs/>
          <w:u w:val="single"/>
        </w:rPr>
        <w:t>Gasto Público y Endeudamiento</w:t>
      </w:r>
      <w:r>
        <w:rPr>
          <w:rFonts w:ascii="Arial" w:hAnsi="Arial" w:cs="Arial"/>
          <w:i/>
          <w:iCs/>
        </w:rPr>
        <w:t xml:space="preserve"> </w:t>
      </w:r>
      <w:r w:rsidR="0061455C">
        <w:rPr>
          <w:rFonts w:ascii="Arial" w:hAnsi="Arial" w:cs="Arial"/>
          <w:i/>
          <w:iCs/>
        </w:rPr>
        <w:t>–</w:t>
      </w:r>
      <w:r>
        <w:rPr>
          <w:rFonts w:ascii="Arial" w:hAnsi="Arial" w:cs="Arial"/>
        </w:rPr>
        <w:t xml:space="preserve"> </w:t>
      </w:r>
      <w:r w:rsidR="0061455C">
        <w:rPr>
          <w:rFonts w:ascii="Arial" w:hAnsi="Arial" w:cs="Arial"/>
        </w:rPr>
        <w:t>Los niveles de deuda pública se mantienen por encima del 60% del PIB lo cual es significativo para la economía del País</w:t>
      </w:r>
      <w:r w:rsidR="00604234">
        <w:rPr>
          <w:rFonts w:ascii="Arial" w:hAnsi="Arial" w:cs="Arial"/>
        </w:rPr>
        <w:t xml:space="preserve"> y supera el límite máximo legal que se había establecido en 40%. La Asamblea Nacional aprobó que este indicador se reduzca gradualmente en los próximos años: 2025: 57%, 2030: 45%, y 2032 en adelante: 40%</w:t>
      </w:r>
    </w:p>
    <w:p w14:paraId="7A76A795" w14:textId="77777777" w:rsidR="0061455C" w:rsidRDefault="0061455C">
      <w:pPr>
        <w:pStyle w:val="BodyText"/>
        <w:spacing w:after="0"/>
        <w:ind w:left="708"/>
        <w:jc w:val="both"/>
        <w:rPr>
          <w:rFonts w:ascii="Arial" w:hAnsi="Arial" w:cs="Arial"/>
        </w:rPr>
      </w:pPr>
    </w:p>
    <w:p w14:paraId="7315F033" w14:textId="044F4437" w:rsidR="007B1142" w:rsidRDefault="0061455C">
      <w:pPr>
        <w:pStyle w:val="BodyText"/>
        <w:spacing w:after="0"/>
        <w:ind w:left="708"/>
        <w:jc w:val="both"/>
        <w:rPr>
          <w:rFonts w:ascii="Arial" w:hAnsi="Arial" w:cs="Arial"/>
        </w:rPr>
      </w:pPr>
      <w:r>
        <w:rPr>
          <w:rFonts w:ascii="Arial" w:hAnsi="Arial" w:cs="Arial"/>
          <w:noProof/>
        </w:rPr>
        <w:drawing>
          <wp:inline distT="0" distB="0" distL="0" distR="0" wp14:anchorId="16B8E562" wp14:editId="66C3ACDF">
            <wp:extent cx="52006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3867150"/>
                    </a:xfrm>
                    <a:prstGeom prst="rect">
                      <a:avLst/>
                    </a:prstGeom>
                    <a:noFill/>
                    <a:ln>
                      <a:noFill/>
                    </a:ln>
                  </pic:spPr>
                </pic:pic>
              </a:graphicData>
            </a:graphic>
          </wp:inline>
        </w:drawing>
      </w:r>
    </w:p>
    <w:p w14:paraId="4FDBC3E4" w14:textId="11304BA0" w:rsidR="00766C40" w:rsidRDefault="00766C40">
      <w:pPr>
        <w:pStyle w:val="BodyText"/>
        <w:spacing w:after="0"/>
        <w:ind w:left="708"/>
        <w:jc w:val="both"/>
        <w:rPr>
          <w:rFonts w:ascii="Arial" w:hAnsi="Arial" w:cs="Arial"/>
        </w:rPr>
      </w:pPr>
    </w:p>
    <w:p w14:paraId="678C4750" w14:textId="56C26B42" w:rsidR="00766C40" w:rsidRDefault="00604234">
      <w:pPr>
        <w:pStyle w:val="BodyText"/>
        <w:spacing w:after="0"/>
        <w:ind w:left="708"/>
        <w:jc w:val="both"/>
        <w:rPr>
          <w:rFonts w:ascii="Arial" w:hAnsi="Arial" w:cs="Arial"/>
        </w:rPr>
      </w:pPr>
      <w:r>
        <w:rPr>
          <w:rFonts w:ascii="Arial" w:hAnsi="Arial" w:cs="Arial"/>
        </w:rPr>
        <w:t>La proforma presupuestaria del 2022, pendiente de aprobación, proyecta ingresos por US$33,900 millones con un incremento de US$2,439 millones con relación al 2021y un déficit de US$3,784 millones, equivalente al 3.45% del PIB. Para financiar dicho déficit se depende principalmente de nuevos créditos del FMI, emisión de bonos e incremento en los ingresos tributarios</w:t>
      </w:r>
      <w:r w:rsidR="004247AB">
        <w:rPr>
          <w:rFonts w:ascii="Arial" w:hAnsi="Arial" w:cs="Arial"/>
        </w:rPr>
        <w:t>, en adición, se ha decretado incrementos en los precios de combustibles, medida que origina protestas por parte de transportistas, sector indígena y organismos sindicales.</w:t>
      </w:r>
    </w:p>
    <w:p w14:paraId="7B99B04B" w14:textId="520D2DF9" w:rsidR="004247AB" w:rsidRDefault="004247AB">
      <w:pPr>
        <w:pStyle w:val="BodyText"/>
        <w:spacing w:after="0"/>
        <w:ind w:left="708"/>
        <w:jc w:val="both"/>
        <w:rPr>
          <w:rFonts w:ascii="Arial" w:hAnsi="Arial" w:cs="Arial"/>
        </w:rPr>
      </w:pPr>
    </w:p>
    <w:p w14:paraId="5EA985B1" w14:textId="2A108456" w:rsidR="004247AB" w:rsidRDefault="004247AB">
      <w:pPr>
        <w:pStyle w:val="BodyText"/>
        <w:spacing w:after="0"/>
        <w:ind w:left="708"/>
        <w:jc w:val="both"/>
        <w:rPr>
          <w:rFonts w:ascii="Arial" w:hAnsi="Arial" w:cs="Arial"/>
        </w:rPr>
      </w:pPr>
      <w:r>
        <w:rPr>
          <w:rFonts w:ascii="Arial" w:hAnsi="Arial" w:cs="Arial"/>
        </w:rPr>
        <w:lastRenderedPageBreak/>
        <w:t>El Gobierno confía que logrará la aprobación de los incrementos tributarios propuestos lo que es un compromiso con el FMI y abre las puertas para el financiamiento por parte de este último. A la presente fecha se encuentra negociando con los diferentes actores sociales las medidas de incrementos en los precios de combustibles.</w:t>
      </w:r>
    </w:p>
    <w:p w14:paraId="1DC37A34"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2941EB09" w:rsidR="007B1142" w:rsidRDefault="00DD5FDE">
      <w:pPr>
        <w:pStyle w:val="BodyText"/>
        <w:spacing w:after="0"/>
        <w:ind w:left="708"/>
        <w:jc w:val="both"/>
      </w:pPr>
      <w:r w:rsidRPr="00B73F57">
        <w:rPr>
          <w:rFonts w:ascii="Arial" w:hAnsi="Arial" w:cs="Arial"/>
        </w:rPr>
        <w:t>La inflación promedio de los tres últimos años es</w:t>
      </w:r>
      <w:r w:rsidR="00B03DFE" w:rsidRPr="00B73F57">
        <w:rPr>
          <w:rFonts w:ascii="Arial" w:hAnsi="Arial" w:cs="Arial"/>
        </w:rPr>
        <w:t xml:space="preserve"> </w:t>
      </w:r>
      <w:r w:rsidRPr="00B73F57">
        <w:rPr>
          <w:rFonts w:ascii="Arial" w:hAnsi="Arial" w:cs="Arial"/>
        </w:rPr>
        <w:t>-0.2% (2018), -0.07% en el 201</w:t>
      </w:r>
      <w:r w:rsidR="00252689" w:rsidRPr="00B73F57">
        <w:rPr>
          <w:rFonts w:ascii="Arial" w:hAnsi="Arial" w:cs="Arial"/>
        </w:rPr>
        <w:t>9 y</w:t>
      </w:r>
      <w:r w:rsidR="00252689">
        <w:rPr>
          <w:rFonts w:ascii="Arial" w:hAnsi="Arial" w:cs="Arial"/>
        </w:rPr>
        <w:t xml:space="preserve"> -0.9% en</w:t>
      </w:r>
      <w:r>
        <w:rPr>
          <w:rFonts w:ascii="Arial" w:hAnsi="Arial" w:cs="Arial"/>
        </w:rPr>
        <w:t xml:space="preserve"> 202</w:t>
      </w:r>
      <w:r w:rsidR="00252689">
        <w:rPr>
          <w:rFonts w:ascii="Arial" w:hAnsi="Arial" w:cs="Arial"/>
        </w:rPr>
        <w:t>0. La inflación anualizada a octubre 2021 es +1.4%</w:t>
      </w:r>
      <w:r>
        <w:rPr>
          <w:rFonts w:ascii="Arial" w:hAnsi="Arial" w:cs="Arial"/>
        </w:rPr>
        <w:t xml:space="preserve"> </w:t>
      </w:r>
    </w:p>
    <w:p w14:paraId="6130FC40" w14:textId="77777777" w:rsidR="007B1142" w:rsidRDefault="007B1142">
      <w:pPr>
        <w:pStyle w:val="BodyText"/>
        <w:spacing w:after="0"/>
        <w:ind w:left="708"/>
        <w:jc w:val="both"/>
        <w:rPr>
          <w:rFonts w:ascii="Arial" w:hAnsi="Arial" w:cs="Arial"/>
        </w:rPr>
      </w:pPr>
    </w:p>
    <w:p w14:paraId="7173A7CB" w14:textId="1E68548A" w:rsidR="00940DD3" w:rsidRDefault="00DD5FDE">
      <w:pPr>
        <w:pStyle w:val="BodyText"/>
        <w:spacing w:after="0"/>
        <w:ind w:left="708"/>
        <w:jc w:val="both"/>
        <w:rPr>
          <w:rFonts w:ascii="Arial" w:hAnsi="Arial" w:cs="Arial"/>
        </w:rPr>
      </w:pPr>
      <w:r>
        <w:rPr>
          <w:rFonts w:ascii="Arial" w:hAnsi="Arial" w:cs="Arial"/>
          <w:i/>
          <w:iCs/>
          <w:u w:val="single"/>
        </w:rPr>
        <w:t>Riesgo País</w:t>
      </w:r>
      <w:r>
        <w:rPr>
          <w:rFonts w:ascii="Arial" w:hAnsi="Arial" w:cs="Arial"/>
        </w:rPr>
        <w:t xml:space="preserve"> </w:t>
      </w:r>
      <w:r w:rsidR="00940DD3">
        <w:rPr>
          <w:rFonts w:ascii="Arial" w:hAnsi="Arial" w:cs="Arial"/>
        </w:rPr>
        <w:t>–</w:t>
      </w:r>
      <w:r>
        <w:rPr>
          <w:rFonts w:ascii="Arial" w:hAnsi="Arial" w:cs="Arial"/>
        </w:rPr>
        <w:t xml:space="preserve"> </w:t>
      </w:r>
      <w:r w:rsidR="00940DD3">
        <w:rPr>
          <w:rFonts w:ascii="Arial" w:hAnsi="Arial" w:cs="Arial"/>
        </w:rPr>
        <w:t>La posesión de Guillermo Lasso como nuevo presidente ha sido vista con optimismo, así como el rápido avance de la vacunación, todo lo cual ha contribuido a que el riesgo país disminuy</w:t>
      </w:r>
      <w:r w:rsidR="006C4B8F">
        <w:rPr>
          <w:rFonts w:ascii="Arial" w:hAnsi="Arial" w:cs="Arial"/>
        </w:rPr>
        <w:t>a de 952 en septiembre 2020 a 834 a la presente fecha.</w:t>
      </w:r>
    </w:p>
    <w:p w14:paraId="52A644C1" w14:textId="77777777" w:rsidR="00940DD3" w:rsidRDefault="00940DD3">
      <w:pPr>
        <w:pStyle w:val="BodyText"/>
        <w:spacing w:after="0"/>
        <w:ind w:left="708"/>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48F2131A" w14:textId="0334727E" w:rsidR="00B73F57" w:rsidRDefault="00B73F57">
      <w:pPr>
        <w:pStyle w:val="BodyText"/>
        <w:spacing w:after="0"/>
        <w:jc w:val="both"/>
        <w:rPr>
          <w:rFonts w:ascii="Arial" w:hAnsi="Arial" w:cs="Arial"/>
        </w:rPr>
      </w:pPr>
    </w:p>
    <w:p w14:paraId="0E1908FE" w14:textId="6B7375CF" w:rsidR="00B73F57" w:rsidRDefault="00B73F57">
      <w:pPr>
        <w:pStyle w:val="BodyText"/>
        <w:spacing w:after="0"/>
        <w:jc w:val="both"/>
        <w:rPr>
          <w:rFonts w:ascii="Arial" w:hAnsi="Arial" w:cs="Arial"/>
        </w:rPr>
      </w:pPr>
      <w:r w:rsidRPr="00B73F57">
        <w:rPr>
          <w:rFonts w:ascii="Arial" w:hAnsi="Arial" w:cs="Arial"/>
          <w:i/>
          <w:iCs/>
          <w:u w:val="single"/>
        </w:rPr>
        <w:t>Objetivos</w:t>
      </w:r>
      <w:r>
        <w:rPr>
          <w:rFonts w:ascii="Arial" w:hAnsi="Arial" w:cs="Arial"/>
        </w:rPr>
        <w:t xml:space="preserve"> </w:t>
      </w:r>
      <w:r w:rsidR="00545A5D">
        <w:rPr>
          <w:rFonts w:ascii="Arial" w:hAnsi="Arial" w:cs="Arial"/>
        </w:rPr>
        <w:t>–</w:t>
      </w:r>
      <w:r>
        <w:rPr>
          <w:rFonts w:ascii="Arial" w:hAnsi="Arial" w:cs="Arial"/>
        </w:rPr>
        <w:t xml:space="preserve"> </w:t>
      </w:r>
      <w:r w:rsidR="00545A5D">
        <w:rPr>
          <w:rFonts w:ascii="Arial" w:hAnsi="Arial" w:cs="Arial"/>
        </w:rPr>
        <w:t>El presupuesto aprobado para el presente año 2021 es de US$50 mil mensuales en ventas; US$600 mil en todo el año, lo cual ya se cumplió hasta ag-21.</w:t>
      </w:r>
    </w:p>
    <w:p w14:paraId="07C1C847" w14:textId="302CFB86" w:rsidR="00545A5D" w:rsidRDefault="00545A5D">
      <w:pPr>
        <w:pStyle w:val="BodyText"/>
        <w:spacing w:after="0"/>
        <w:jc w:val="both"/>
        <w:rPr>
          <w:rFonts w:ascii="Arial" w:hAnsi="Arial" w:cs="Arial"/>
        </w:rPr>
      </w:pPr>
    </w:p>
    <w:p w14:paraId="48BA1234" w14:textId="66C3A477" w:rsidR="00545A5D" w:rsidRDefault="00545A5D">
      <w:pPr>
        <w:pStyle w:val="BodyText"/>
        <w:spacing w:after="0"/>
        <w:jc w:val="both"/>
        <w:rPr>
          <w:rFonts w:ascii="Arial" w:hAnsi="Arial" w:cs="Arial"/>
        </w:rPr>
      </w:pPr>
      <w:r>
        <w:rPr>
          <w:rFonts w:ascii="Arial" w:hAnsi="Arial" w:cs="Arial"/>
        </w:rPr>
        <w:t xml:space="preserve">Otros objetivos, principalmente cualitativos, tienen que ver con creación de un PBX específicamente para comunicación con clientes, mejorar la atención telefónica del </w:t>
      </w:r>
      <w:proofErr w:type="spellStart"/>
      <w:proofErr w:type="gramStart"/>
      <w:r>
        <w:rPr>
          <w:rFonts w:ascii="Arial" w:hAnsi="Arial" w:cs="Arial"/>
        </w:rPr>
        <w:t>call</w:t>
      </w:r>
      <w:proofErr w:type="spellEnd"/>
      <w:r>
        <w:rPr>
          <w:rFonts w:ascii="Arial" w:hAnsi="Arial" w:cs="Arial"/>
        </w:rPr>
        <w:t xml:space="preserve"> center</w:t>
      </w:r>
      <w:proofErr w:type="gramEnd"/>
      <w:r>
        <w:rPr>
          <w:rFonts w:ascii="Arial" w:hAnsi="Arial" w:cs="Arial"/>
        </w:rPr>
        <w:t xml:space="preserve">, campanas SMS de una y doble vía, campañas en medios sociales, etc. </w:t>
      </w:r>
    </w:p>
    <w:p w14:paraId="1717F646" w14:textId="77777777" w:rsidR="00B73F57" w:rsidRDefault="00B73F57">
      <w:pPr>
        <w:pStyle w:val="BodyText"/>
        <w:spacing w:after="0"/>
        <w:jc w:val="both"/>
        <w:rPr>
          <w:rFonts w:ascii="Arial" w:hAnsi="Arial" w:cs="Arial"/>
        </w:rPr>
      </w:pPr>
    </w:p>
    <w:p w14:paraId="4060C97F" w14:textId="5154E043" w:rsidR="00B73F57" w:rsidRDefault="00545A5D">
      <w:pPr>
        <w:pStyle w:val="BodyText"/>
        <w:spacing w:after="0"/>
        <w:jc w:val="both"/>
        <w:rPr>
          <w:rFonts w:ascii="Arial" w:hAnsi="Arial" w:cs="Arial"/>
        </w:rPr>
      </w:pPr>
      <w:r w:rsidRPr="00545A5D">
        <w:rPr>
          <w:rFonts w:ascii="Arial" w:hAnsi="Arial" w:cs="Arial"/>
          <w:i/>
          <w:iCs/>
          <w:u w:val="single"/>
        </w:rPr>
        <w:t>Estrategias</w:t>
      </w:r>
      <w:r>
        <w:rPr>
          <w:rFonts w:ascii="Arial" w:hAnsi="Arial" w:cs="Arial"/>
        </w:rPr>
        <w:t xml:space="preserve"> – </w:t>
      </w:r>
    </w:p>
    <w:p w14:paraId="39DB1DA3" w14:textId="402C4993" w:rsidR="00545A5D" w:rsidRDefault="00545A5D">
      <w:pPr>
        <w:pStyle w:val="BodyText"/>
        <w:spacing w:after="0"/>
        <w:jc w:val="both"/>
        <w:rPr>
          <w:rFonts w:ascii="Arial" w:hAnsi="Arial" w:cs="Arial"/>
        </w:rPr>
      </w:pPr>
    </w:p>
    <w:p w14:paraId="7E0F6111" w14:textId="3D56FCA4" w:rsidR="00545A5D" w:rsidRDefault="00545A5D">
      <w:pPr>
        <w:pStyle w:val="BodyText"/>
        <w:spacing w:after="0"/>
        <w:jc w:val="both"/>
        <w:rPr>
          <w:rFonts w:ascii="Arial" w:hAnsi="Arial" w:cs="Arial"/>
        </w:rPr>
      </w:pPr>
      <w:r w:rsidRPr="00545A5D">
        <w:rPr>
          <w:rFonts w:ascii="Arial" w:hAnsi="Arial" w:cs="Arial"/>
          <w:i/>
          <w:iCs/>
          <w:u w:val="single"/>
        </w:rPr>
        <w:t>Riesgos</w:t>
      </w:r>
      <w:r>
        <w:rPr>
          <w:rFonts w:ascii="Arial" w:hAnsi="Arial" w:cs="Arial"/>
        </w:rPr>
        <w:t xml:space="preserve"> - </w:t>
      </w:r>
    </w:p>
    <w:p w14:paraId="69A32678" w14:textId="77777777" w:rsidR="007B1142" w:rsidRDefault="007B1142">
      <w:pPr>
        <w:pStyle w:val="BodyText"/>
        <w:spacing w:after="0"/>
        <w:jc w:val="both"/>
        <w:rPr>
          <w:rFonts w:ascii="Arial" w:hAnsi="Arial" w:cs="Arial"/>
        </w:rPr>
      </w:pPr>
    </w:p>
    <w:p w14:paraId="3307A83B" w14:textId="40DC96D1"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695F5E58" w:rsidR="007B1142" w:rsidRDefault="00DD5FDE">
      <w:pPr>
        <w:pStyle w:val="BodyText"/>
        <w:spacing w:after="0"/>
        <w:jc w:val="both"/>
        <w:rPr>
          <w:rFonts w:ascii="Arial" w:hAnsi="Arial" w:cs="Arial"/>
        </w:rPr>
      </w:pPr>
      <w:r>
        <w:rPr>
          <w:rFonts w:ascii="Arial" w:hAnsi="Arial" w:cs="Arial"/>
        </w:rPr>
        <w:t>Preparado por: Carlos G. Almeida</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2"/>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5160" w14:textId="77777777" w:rsidR="00650E4B" w:rsidRDefault="00650E4B">
      <w:pPr>
        <w:spacing w:after="0" w:line="240" w:lineRule="auto"/>
      </w:pPr>
      <w:r>
        <w:separator/>
      </w:r>
    </w:p>
  </w:endnote>
  <w:endnote w:type="continuationSeparator" w:id="0">
    <w:p w14:paraId="32373BA3" w14:textId="77777777" w:rsidR="00650E4B" w:rsidRDefault="0065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0825" w14:textId="77777777" w:rsidR="00650E4B" w:rsidRDefault="00650E4B">
      <w:pPr>
        <w:spacing w:after="0" w:line="240" w:lineRule="auto"/>
      </w:pPr>
      <w:r>
        <w:separator/>
      </w:r>
    </w:p>
  </w:footnote>
  <w:footnote w:type="continuationSeparator" w:id="0">
    <w:p w14:paraId="12291B80" w14:textId="77777777" w:rsidR="00650E4B" w:rsidRDefault="0065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1F50" w14:textId="21592E9C" w:rsidR="007B1142" w:rsidRDefault="00270899">
    <w:pPr>
      <w:pStyle w:val="Header"/>
    </w:pPr>
    <w:r>
      <w:rPr>
        <w:b/>
        <w:bCs/>
        <w:u w:val="single"/>
        <w:lang w:val="es-EC"/>
      </w:rPr>
      <w:t>GRAFIMPAC</w:t>
    </w:r>
    <w:r w:rsidR="00DD5FDE">
      <w:rPr>
        <w:b/>
        <w:bCs/>
        <w:u w:val="single"/>
        <w:lang w:val="es-EC"/>
      </w:rPr>
      <w:t xml:space="preserve"> S.A.</w:t>
    </w:r>
  </w:p>
  <w:p w14:paraId="0672EA53" w14:textId="334E8650" w:rsidR="007B1142" w:rsidRDefault="00AA2703">
    <w:pPr>
      <w:pStyle w:val="Header"/>
      <w:rPr>
        <w:b/>
        <w:bCs/>
        <w:lang w:val="es-EC"/>
      </w:rPr>
    </w:pPr>
    <w:r>
      <w:rPr>
        <w:b/>
        <w:bCs/>
        <w:lang w:val="es-EC"/>
      </w:rPr>
      <w:t xml:space="preserve">DOCUMENTACION DEL </w:t>
    </w:r>
    <w:r w:rsidR="00DD5FDE">
      <w:rPr>
        <w:b/>
        <w:bCs/>
        <w:lang w:val="es-EC"/>
      </w:rPr>
      <w:t>ENTENDIMIENTO DE LA ENTIDAD Y SU ENTORNO</w:t>
    </w:r>
  </w:p>
  <w:p w14:paraId="019436B7" w14:textId="36F426A5" w:rsidR="007B1142" w:rsidRDefault="00DD5FDE">
    <w:pPr>
      <w:pStyle w:val="Header"/>
      <w:rPr>
        <w:b/>
        <w:bCs/>
        <w:lang w:val="es-EC"/>
      </w:rPr>
    </w:pPr>
    <w:r>
      <w:rPr>
        <w:b/>
        <w:bCs/>
        <w:lang w:val="es-EC"/>
      </w:rPr>
      <w:t>Al 31 de diciembre del 202</w:t>
    </w:r>
    <w:r w:rsidR="004C1800">
      <w:rPr>
        <w:b/>
        <w:bCs/>
        <w:lang w:val="es-EC"/>
      </w:rPr>
      <w:t>1</w:t>
    </w:r>
  </w:p>
  <w:p w14:paraId="4D96A7CD" w14:textId="77777777" w:rsidR="00FF2854" w:rsidRDefault="00FF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0C51C5"/>
    <w:rsid w:val="000C5F7E"/>
    <w:rsid w:val="00151C34"/>
    <w:rsid w:val="001E7D65"/>
    <w:rsid w:val="001F7A9A"/>
    <w:rsid w:val="00233F14"/>
    <w:rsid w:val="002352C6"/>
    <w:rsid w:val="0024716F"/>
    <w:rsid w:val="00252689"/>
    <w:rsid w:val="0025447B"/>
    <w:rsid w:val="00270899"/>
    <w:rsid w:val="00281F4C"/>
    <w:rsid w:val="002A65E6"/>
    <w:rsid w:val="002F02E8"/>
    <w:rsid w:val="00301C89"/>
    <w:rsid w:val="003643CE"/>
    <w:rsid w:val="003A5FEE"/>
    <w:rsid w:val="003E2DD0"/>
    <w:rsid w:val="003E76D9"/>
    <w:rsid w:val="0040732F"/>
    <w:rsid w:val="004247AB"/>
    <w:rsid w:val="0043165E"/>
    <w:rsid w:val="00451695"/>
    <w:rsid w:val="00475E14"/>
    <w:rsid w:val="00483E15"/>
    <w:rsid w:val="004C1800"/>
    <w:rsid w:val="0051060F"/>
    <w:rsid w:val="00541439"/>
    <w:rsid w:val="00545A5D"/>
    <w:rsid w:val="00571F5B"/>
    <w:rsid w:val="005A6AD6"/>
    <w:rsid w:val="005B4FB2"/>
    <w:rsid w:val="0060417A"/>
    <w:rsid w:val="00604234"/>
    <w:rsid w:val="0061455C"/>
    <w:rsid w:val="00650E4B"/>
    <w:rsid w:val="00651704"/>
    <w:rsid w:val="00657A81"/>
    <w:rsid w:val="006C4B8F"/>
    <w:rsid w:val="006F6C91"/>
    <w:rsid w:val="0075253E"/>
    <w:rsid w:val="00766C40"/>
    <w:rsid w:val="007B1142"/>
    <w:rsid w:val="007B6609"/>
    <w:rsid w:val="007D39A2"/>
    <w:rsid w:val="00835522"/>
    <w:rsid w:val="00845DEA"/>
    <w:rsid w:val="008650B1"/>
    <w:rsid w:val="008770C0"/>
    <w:rsid w:val="008C4994"/>
    <w:rsid w:val="009258C5"/>
    <w:rsid w:val="00940DD3"/>
    <w:rsid w:val="00963FAE"/>
    <w:rsid w:val="009B56B5"/>
    <w:rsid w:val="009E3896"/>
    <w:rsid w:val="009E6F52"/>
    <w:rsid w:val="00A84C54"/>
    <w:rsid w:val="00AA2703"/>
    <w:rsid w:val="00AC071B"/>
    <w:rsid w:val="00AF5D42"/>
    <w:rsid w:val="00B03DFE"/>
    <w:rsid w:val="00B3511E"/>
    <w:rsid w:val="00B73F57"/>
    <w:rsid w:val="00B82553"/>
    <w:rsid w:val="00B85908"/>
    <w:rsid w:val="00B87B37"/>
    <w:rsid w:val="00B909DB"/>
    <w:rsid w:val="00BD4ED6"/>
    <w:rsid w:val="00C01C65"/>
    <w:rsid w:val="00C0447E"/>
    <w:rsid w:val="00C9224C"/>
    <w:rsid w:val="00CA119D"/>
    <w:rsid w:val="00D30FDB"/>
    <w:rsid w:val="00D56668"/>
    <w:rsid w:val="00D7508E"/>
    <w:rsid w:val="00D87518"/>
    <w:rsid w:val="00DA53BE"/>
    <w:rsid w:val="00DD5FDE"/>
    <w:rsid w:val="00DF504E"/>
    <w:rsid w:val="00E15AC1"/>
    <w:rsid w:val="00E70255"/>
    <w:rsid w:val="00E8458C"/>
    <w:rsid w:val="00ED5678"/>
    <w:rsid w:val="00F60674"/>
    <w:rsid w:val="00FA4E17"/>
    <w:rsid w:val="00FB5BE2"/>
    <w:rsid w:val="00FC66AE"/>
    <w:rsid w:val="00FD4CD0"/>
    <w:rsid w:val="00FD5D18"/>
    <w:rsid w:val="00FF28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1608</TotalTime>
  <Pages>7</Pages>
  <Words>1763</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55</cp:revision>
  <dcterms:created xsi:type="dcterms:W3CDTF">2020-03-02T16:59:00Z</dcterms:created>
  <dcterms:modified xsi:type="dcterms:W3CDTF">2021-11-25T17:40:00Z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