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5377139D"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181368">
        <w:rPr>
          <w:rFonts w:ascii="Verdana" w:hAnsi="Verdana" w:cs="Arial"/>
          <w:color w:val="000000"/>
        </w:rPr>
        <w:t>7</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6538E749"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181368">
        <w:rPr>
          <w:rFonts w:ascii="Verdana" w:hAnsi="Verdana"/>
          <w:bCs/>
          <w:sz w:val="21"/>
          <w:szCs w:val="21"/>
        </w:rPr>
        <w:t>8</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52BBA3EF"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4EE5267D"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w:t>
      </w:r>
      <w:r w:rsidRPr="006E4475">
        <w:rPr>
          <w:rFonts w:ascii="Verdana" w:hAnsi="Verdana" w:cs="OpenSans-Light"/>
          <w:color w:val="000000"/>
          <w:sz w:val="20"/>
          <w:szCs w:val="20"/>
          <w:lang w:eastAsia="es-EC"/>
        </w:rPr>
        <w:lastRenderedPageBreak/>
        <w:t>y se consideran materiales, si, individualmente o de forma agregada, podrían 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7BB8A899" w14:textId="77777777" w:rsidR="006E4475" w:rsidRDefault="006E4475" w:rsidP="00D67D11">
      <w:pPr>
        <w:spacing w:after="0" w:line="240" w:lineRule="auto"/>
        <w:jc w:val="both"/>
        <w:rPr>
          <w:rFonts w:ascii="Verdana" w:hAnsi="Verdana" w:cs="Arial"/>
          <w:b/>
          <w:i/>
          <w:iCs/>
          <w:color w:val="000000"/>
          <w:sz w:val="20"/>
          <w:szCs w:val="20"/>
        </w:rPr>
      </w:pPr>
    </w:p>
    <w:p w14:paraId="18BB1C30" w14:textId="77777777" w:rsidR="006E4475" w:rsidRDefault="006E4475" w:rsidP="00D67D11">
      <w:pPr>
        <w:spacing w:after="0" w:line="240" w:lineRule="auto"/>
        <w:jc w:val="both"/>
        <w:rPr>
          <w:rFonts w:ascii="Verdana" w:hAnsi="Verdana" w:cs="Arial"/>
          <w:b/>
          <w:i/>
          <w:iCs/>
          <w:color w:val="000000"/>
          <w:sz w:val="20"/>
          <w:szCs w:val="20"/>
        </w:rPr>
      </w:pPr>
    </w:p>
    <w:p w14:paraId="5A2C97C7" w14:textId="77777777" w:rsidR="006E4475" w:rsidRDefault="006E4475" w:rsidP="00D67D11">
      <w:pPr>
        <w:spacing w:after="0" w:line="240" w:lineRule="auto"/>
        <w:jc w:val="both"/>
        <w:rPr>
          <w:rFonts w:ascii="Verdana" w:hAnsi="Verdana" w:cs="Arial"/>
          <w:b/>
          <w:i/>
          <w:iCs/>
          <w:color w:val="000000"/>
          <w:sz w:val="20"/>
          <w:szCs w:val="20"/>
        </w:rPr>
      </w:pPr>
    </w:p>
    <w:p w14:paraId="344C8A59" w14:textId="77777777" w:rsidR="006E4475" w:rsidRDefault="006E4475" w:rsidP="00D67D11">
      <w:pPr>
        <w:spacing w:after="0" w:line="240" w:lineRule="auto"/>
        <w:jc w:val="both"/>
        <w:rPr>
          <w:rFonts w:ascii="Verdana" w:hAnsi="Verdana" w:cs="Arial"/>
          <w:b/>
          <w:i/>
          <w:iCs/>
          <w:color w:val="000000"/>
          <w:sz w:val="20"/>
          <w:szCs w:val="20"/>
        </w:rPr>
      </w:pPr>
    </w:p>
    <w:p w14:paraId="4DBB9D99" w14:textId="7BC79FDB"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77777777" w:rsidR="00B07B13" w:rsidRPr="006E4475" w:rsidRDefault="00B07B13">
      <w:pPr>
        <w:spacing w:after="0"/>
        <w:jc w:val="both"/>
        <w:rPr>
          <w:rFonts w:ascii="Verdana" w:hAnsi="Verdana" w:cs="Arial"/>
          <w:b/>
          <w:color w:val="000000"/>
          <w:sz w:val="20"/>
          <w:szCs w:val="20"/>
        </w:rPr>
      </w:pP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61FD6EF" w:rsidR="00B07B13" w:rsidRPr="006E4475" w:rsidRDefault="00651592">
      <w:pPr>
        <w:tabs>
          <w:tab w:val="left" w:pos="6521"/>
        </w:tabs>
        <w:spacing w:after="0"/>
        <w:jc w:val="both"/>
        <w:rPr>
          <w:rFonts w:ascii="Verdana" w:hAnsi="Verdana" w:cs="Arial"/>
          <w:sz w:val="20"/>
          <w:szCs w:val="20"/>
        </w:rPr>
      </w:pPr>
      <w:r w:rsidRPr="006E4475">
        <w:rPr>
          <w:rFonts w:ascii="Verdana" w:hAnsi="Verdana" w:cs="Arial"/>
          <w:sz w:val="20"/>
          <w:szCs w:val="20"/>
        </w:rPr>
        <w:t>8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2F870618"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527,841</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4B46040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561,793</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453DB9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200</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218ED0D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543,770</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3D0909E4"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109,055</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284D637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890,596</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41AB76DA" w:rsidR="00B07B13"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196,801</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5D6CD9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E84D0C">
              <w:rPr>
                <w:rFonts w:ascii="Verdana" w:hAnsi="Verdana" w:cs="Arial"/>
                <w:color w:val="000000"/>
                <w:sz w:val="20"/>
                <w:szCs w:val="20"/>
              </w:rPr>
              <w:t>936,298</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1CF21C7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3,172,757</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5A58A6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F4021">
              <w:rPr>
                <w:rFonts w:ascii="Verdana" w:hAnsi="Verdana" w:cs="Arial"/>
                <w:color w:val="000000"/>
                <w:sz w:val="20"/>
                <w:szCs w:val="20"/>
              </w:rPr>
              <w:t>629,</w:t>
            </w:r>
            <w:r w:rsidR="00DA20E7">
              <w:rPr>
                <w:rFonts w:ascii="Verdana" w:hAnsi="Verdana" w:cs="Arial"/>
                <w:color w:val="000000"/>
                <w:sz w:val="20"/>
                <w:szCs w:val="20"/>
              </w:rPr>
              <w:t>719</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2C4EEC59"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109,055</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BC9F1F3" w:rsidR="00B07B13" w:rsidRDefault="00E84D0C">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3,097,386</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1C0DDB6F"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w:t>
            </w:r>
            <w:r w:rsidR="00306236">
              <w:rPr>
                <w:rFonts w:ascii="Verdana" w:hAnsi="Verdana" w:cs="Arial"/>
                <w:bCs/>
                <w:color w:val="000000"/>
                <w:sz w:val="20"/>
                <w:szCs w:val="20"/>
              </w:rPr>
              <w:t>4,184</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55E2B702"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w:t>
            </w:r>
            <w:r w:rsidR="00E84D0C">
              <w:rPr>
                <w:rFonts w:ascii="Verdana" w:hAnsi="Verdana" w:cs="Arial"/>
                <w:bCs/>
                <w:color w:val="000000"/>
                <w:sz w:val="20"/>
                <w:szCs w:val="20"/>
              </w:rPr>
              <w:t>561,570</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2632E506" w:rsidR="00B07B13" w:rsidRDefault="00E84D0C">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561E2C47"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306236">
              <w:rPr>
                <w:rFonts w:ascii="Verdana" w:hAnsi="Verdana" w:cs="Arial"/>
                <w:bCs/>
                <w:color w:val="000000"/>
                <w:sz w:val="20"/>
                <w:szCs w:val="20"/>
              </w:rPr>
              <w:t>6,</w:t>
            </w:r>
            <w:r>
              <w:rPr>
                <w:rFonts w:ascii="Verdana" w:hAnsi="Verdana" w:cs="Arial"/>
                <w:bCs/>
                <w:color w:val="000000"/>
                <w:sz w:val="20"/>
                <w:szCs w:val="20"/>
              </w:rPr>
              <w:t>898</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E6BA361"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r w:rsidR="00701015">
              <w:rPr>
                <w:rFonts w:ascii="Verdana" w:hAnsi="Verdana" w:cs="Arial"/>
                <w:bCs/>
                <w:color w:val="000000"/>
                <w:sz w:val="20"/>
                <w:szCs w:val="20"/>
              </w:rPr>
              <w:t xml:space="preserve"> (ingresos)</w:t>
            </w:r>
          </w:p>
        </w:tc>
        <w:tc>
          <w:tcPr>
            <w:tcW w:w="1594" w:type="dxa"/>
            <w:tcBorders>
              <w:bottom w:val="single" w:sz="4" w:space="0" w:color="000000"/>
            </w:tcBorders>
            <w:shd w:val="clear" w:color="auto" w:fill="auto"/>
          </w:tcPr>
          <w:p w14:paraId="4A7184C3" w14:textId="086BEE46" w:rsidR="00B07B13" w:rsidRDefault="0070101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w:t>
            </w:r>
            <w:r w:rsidR="00395F18">
              <w:rPr>
                <w:rFonts w:ascii="Verdana" w:hAnsi="Verdana" w:cs="Arial"/>
                <w:bCs/>
                <w:color w:val="000000"/>
                <w:sz w:val="20"/>
                <w:szCs w:val="20"/>
              </w:rPr>
              <w:t>82</w:t>
            </w:r>
            <w:r>
              <w:rPr>
                <w:rFonts w:ascii="Verdana" w:hAnsi="Verdana" w:cs="Arial"/>
                <w:bCs/>
                <w:color w:val="000000"/>
                <w:sz w:val="20"/>
                <w:szCs w:val="20"/>
              </w:rPr>
              <w:t>)</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5D556803"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395F18">
              <w:rPr>
                <w:rFonts w:ascii="Verdana" w:hAnsi="Verdana" w:cs="Arial"/>
                <w:bCs/>
                <w:color w:val="000000"/>
                <w:sz w:val="20"/>
                <w:szCs w:val="20"/>
              </w:rPr>
              <w:t>30,148</w:t>
            </w:r>
            <w:r>
              <w:rPr>
                <w:rFonts w:ascii="Verdana" w:hAnsi="Verdana" w:cs="Arial"/>
                <w:bCs/>
                <w:color w:val="000000"/>
                <w:sz w:val="20"/>
                <w:szCs w:val="20"/>
              </w:rPr>
              <w:t>)</w:t>
            </w: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3BC6BE26"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395F18">
              <w:rPr>
                <w:rFonts w:ascii="Verdana" w:hAnsi="Verdana" w:cs="Arial"/>
                <w:b/>
                <w:color w:val="000000"/>
                <w:sz w:val="20"/>
                <w:szCs w:val="20"/>
              </w:rPr>
              <w:t>205,531</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ADFC30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resultados integrales, ganancia 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1D1049B0" w:rsidR="00472EC0" w:rsidRDefault="00472EC0">
            <w:pPr>
              <w:tabs>
                <w:tab w:val="center" w:pos="6960"/>
                <w:tab w:val="center" w:pos="8400"/>
              </w:tabs>
              <w:spacing w:after="0" w:line="240" w:lineRule="auto"/>
              <w:jc w:val="right"/>
              <w:rPr>
                <w:rFonts w:ascii="Verdana" w:hAnsi="Verdana" w:cs="Arial"/>
                <w:bCs/>
                <w:color w:val="000000"/>
                <w:sz w:val="20"/>
                <w:szCs w:val="20"/>
                <w:highlight w:val="yellow"/>
              </w:rPr>
            </w:pPr>
            <w:r w:rsidRPr="00395F18">
              <w:rPr>
                <w:rFonts w:ascii="Verdana" w:hAnsi="Verdana" w:cs="Arial"/>
                <w:bCs/>
                <w:color w:val="000000"/>
                <w:sz w:val="20"/>
                <w:szCs w:val="20"/>
                <w:highlight w:val="yellow"/>
              </w:rPr>
              <w:t>54,693</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6FE9FF1"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395F18">
              <w:rPr>
                <w:rFonts w:ascii="Verdana" w:hAnsi="Verdana" w:cs="Arial"/>
                <w:b/>
                <w:color w:val="000000"/>
                <w:sz w:val="20"/>
                <w:szCs w:val="20"/>
                <w:highlight w:val="yellow"/>
              </w:rPr>
              <w:t>1,334,658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356"/>
        <w:gridCol w:w="1479"/>
        <w:gridCol w:w="1499"/>
        <w:gridCol w:w="1499"/>
      </w:tblGrid>
      <w:tr w:rsidR="00B7567A" w:rsidRPr="00375C41" w14:paraId="287835F3" w14:textId="77777777" w:rsidTr="00B7567A">
        <w:tc>
          <w:tcPr>
            <w:tcW w:w="3652" w:type="dxa"/>
          </w:tcPr>
          <w:p w14:paraId="2C618422"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3416D02A" w14:textId="79CFFE28"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479" w:type="dxa"/>
          </w:tcPr>
          <w:p w14:paraId="688E8EE0" w14:textId="77777777" w:rsidR="00B7567A"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B7567A" w:rsidRPr="00B7567A" w:rsidRDefault="00B7567A">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B7567A" w:rsidRPr="00375C41" w14:paraId="01685170" w14:textId="77777777" w:rsidTr="00B7567A">
        <w:tc>
          <w:tcPr>
            <w:tcW w:w="3652" w:type="dxa"/>
          </w:tcPr>
          <w:p w14:paraId="5A85813C"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4EBBCDBC" w14:textId="77777777" w:rsidR="00B7567A" w:rsidRPr="00375C41" w:rsidRDefault="00B7567A">
            <w:pPr>
              <w:spacing w:after="0" w:line="240" w:lineRule="auto"/>
              <w:jc w:val="center"/>
              <w:rPr>
                <w:rFonts w:ascii="Verdana" w:eastAsia="Calibri" w:hAnsi="Verdana"/>
                <w:sz w:val="20"/>
                <w:szCs w:val="20"/>
                <w:u w:val="single"/>
              </w:rPr>
            </w:pPr>
          </w:p>
        </w:tc>
        <w:tc>
          <w:tcPr>
            <w:tcW w:w="1479" w:type="dxa"/>
          </w:tcPr>
          <w:p w14:paraId="15D09791"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5C2D0EB6"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479A3176" w14:textId="77777777" w:rsidR="00B7567A" w:rsidRPr="00375C41" w:rsidRDefault="00B7567A">
            <w:pPr>
              <w:spacing w:after="0" w:line="240" w:lineRule="auto"/>
              <w:jc w:val="center"/>
              <w:rPr>
                <w:rFonts w:ascii="Verdana" w:eastAsia="Calibri" w:hAnsi="Verdana"/>
                <w:sz w:val="20"/>
                <w:szCs w:val="20"/>
                <w:u w:val="single"/>
              </w:rPr>
            </w:pPr>
          </w:p>
        </w:tc>
      </w:tr>
      <w:tr w:rsidR="00B7567A" w14:paraId="79E95060" w14:textId="77777777" w:rsidTr="00B7567A">
        <w:tc>
          <w:tcPr>
            <w:tcW w:w="3652" w:type="dxa"/>
            <w:tcBorders>
              <w:bottom w:val="single" w:sz="4" w:space="0" w:color="auto"/>
            </w:tcBorders>
          </w:tcPr>
          <w:p w14:paraId="26BA857E"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479" w:type="dxa"/>
            <w:tcBorders>
              <w:bottom w:val="single" w:sz="4" w:space="0" w:color="auto"/>
            </w:tcBorders>
          </w:tcPr>
          <w:p w14:paraId="015048E3" w14:textId="774CF56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7567A" w14:paraId="5A69A381" w14:textId="77777777" w:rsidTr="00B7567A">
        <w:tc>
          <w:tcPr>
            <w:tcW w:w="3652" w:type="dxa"/>
            <w:tcBorders>
              <w:top w:val="single" w:sz="4" w:space="0" w:color="auto"/>
            </w:tcBorders>
          </w:tcPr>
          <w:p w14:paraId="06BD6D76"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6FD4A5C6"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7567A" w:rsidRDefault="00B7567A">
            <w:pPr>
              <w:spacing w:after="0" w:line="240" w:lineRule="auto"/>
              <w:jc w:val="right"/>
              <w:rPr>
                <w:rFonts w:ascii="Verdana" w:eastAsia="Calibri" w:hAnsi="Verdana"/>
                <w:sz w:val="20"/>
                <w:szCs w:val="20"/>
              </w:rPr>
            </w:pPr>
          </w:p>
        </w:tc>
      </w:tr>
      <w:tr w:rsidR="00B7567A" w14:paraId="36E8F80A" w14:textId="77777777" w:rsidTr="00B7567A">
        <w:tc>
          <w:tcPr>
            <w:tcW w:w="3652" w:type="dxa"/>
          </w:tcPr>
          <w:p w14:paraId="21B27105" w14:textId="7C26778A"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55A68889" w14:textId="77777777" w:rsidR="00B7567A" w:rsidRDefault="00B7567A">
            <w:pPr>
              <w:spacing w:after="0" w:line="240" w:lineRule="auto"/>
              <w:jc w:val="right"/>
              <w:rPr>
                <w:rFonts w:ascii="Verdana" w:eastAsia="Calibri" w:hAnsi="Verdana"/>
                <w:sz w:val="20"/>
                <w:szCs w:val="20"/>
              </w:rPr>
            </w:pPr>
          </w:p>
        </w:tc>
        <w:tc>
          <w:tcPr>
            <w:tcW w:w="1479" w:type="dxa"/>
          </w:tcPr>
          <w:p w14:paraId="70D0C0B0" w14:textId="77777777" w:rsidR="00B7567A" w:rsidRDefault="00B7567A">
            <w:pPr>
              <w:spacing w:after="0" w:line="240" w:lineRule="auto"/>
              <w:jc w:val="right"/>
              <w:rPr>
                <w:rFonts w:ascii="Verdana" w:eastAsia="Calibri" w:hAnsi="Verdana"/>
                <w:sz w:val="20"/>
                <w:szCs w:val="20"/>
              </w:rPr>
            </w:pPr>
          </w:p>
        </w:tc>
        <w:tc>
          <w:tcPr>
            <w:tcW w:w="1499" w:type="dxa"/>
          </w:tcPr>
          <w:p w14:paraId="4343CB7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7567A" w14:paraId="0F5A0AB2" w14:textId="77777777" w:rsidTr="00B7567A">
        <w:tc>
          <w:tcPr>
            <w:tcW w:w="3652" w:type="dxa"/>
          </w:tcPr>
          <w:p w14:paraId="228060C4" w14:textId="64E9F6B4" w:rsidR="00B7567A" w:rsidRDefault="00B7567A">
            <w:pPr>
              <w:spacing w:after="0" w:line="240" w:lineRule="auto"/>
              <w:rPr>
                <w:rFonts w:ascii="Verdana" w:eastAsia="Calibri" w:hAnsi="Verdana"/>
                <w:sz w:val="20"/>
                <w:szCs w:val="20"/>
              </w:rPr>
            </w:pPr>
            <w:r>
              <w:rPr>
                <w:rFonts w:ascii="Verdana" w:eastAsia="Calibri" w:hAnsi="Verdana"/>
                <w:sz w:val="20"/>
                <w:szCs w:val="20"/>
              </w:rPr>
              <w:t>Ganancia actuarial ORI (Nota 17)</w:t>
            </w:r>
          </w:p>
        </w:tc>
        <w:tc>
          <w:tcPr>
            <w:tcW w:w="1356" w:type="dxa"/>
          </w:tcPr>
          <w:p w14:paraId="320CFD78" w14:textId="77777777" w:rsidR="00B7567A" w:rsidRDefault="00B7567A">
            <w:pPr>
              <w:spacing w:after="0" w:line="240" w:lineRule="auto"/>
              <w:jc w:val="right"/>
              <w:rPr>
                <w:rFonts w:ascii="Verdana" w:eastAsia="Calibri" w:hAnsi="Verdana"/>
                <w:sz w:val="20"/>
                <w:szCs w:val="20"/>
              </w:rPr>
            </w:pPr>
          </w:p>
        </w:tc>
        <w:tc>
          <w:tcPr>
            <w:tcW w:w="1479" w:type="dxa"/>
          </w:tcPr>
          <w:p w14:paraId="3764BC43" w14:textId="77777777" w:rsidR="00B7567A" w:rsidRDefault="00B7567A">
            <w:pPr>
              <w:spacing w:after="0" w:line="240" w:lineRule="auto"/>
              <w:jc w:val="right"/>
              <w:rPr>
                <w:rFonts w:ascii="Verdana" w:eastAsia="Calibri" w:hAnsi="Verdana"/>
                <w:sz w:val="20"/>
                <w:szCs w:val="20"/>
              </w:rPr>
            </w:pPr>
          </w:p>
        </w:tc>
        <w:tc>
          <w:tcPr>
            <w:tcW w:w="1499" w:type="dxa"/>
          </w:tcPr>
          <w:p w14:paraId="765D063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r>
      <w:tr w:rsidR="00B7567A" w14:paraId="06B04729" w14:textId="77777777" w:rsidTr="00B7567A">
        <w:tc>
          <w:tcPr>
            <w:tcW w:w="3652" w:type="dxa"/>
          </w:tcPr>
          <w:p w14:paraId="0C59115B"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7567A" w:rsidRDefault="00B7567A">
            <w:pPr>
              <w:spacing w:after="0" w:line="240" w:lineRule="auto"/>
              <w:jc w:val="right"/>
              <w:rPr>
                <w:rFonts w:ascii="Verdana" w:eastAsia="Calibri" w:hAnsi="Verdana"/>
                <w:sz w:val="20"/>
                <w:szCs w:val="20"/>
              </w:rPr>
            </w:pPr>
          </w:p>
        </w:tc>
        <w:tc>
          <w:tcPr>
            <w:tcW w:w="1479" w:type="dxa"/>
          </w:tcPr>
          <w:p w14:paraId="7CFDC6F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w:t>
            </w:r>
          </w:p>
        </w:tc>
      </w:tr>
      <w:tr w:rsidR="00B7567A" w14:paraId="17B47150" w14:textId="77777777" w:rsidTr="00B7567A">
        <w:tc>
          <w:tcPr>
            <w:tcW w:w="3652" w:type="dxa"/>
          </w:tcPr>
          <w:p w14:paraId="33A6A5B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7567A" w:rsidRDefault="00B7567A">
            <w:pPr>
              <w:spacing w:after="0" w:line="240" w:lineRule="auto"/>
              <w:jc w:val="right"/>
              <w:rPr>
                <w:rFonts w:ascii="Verdana" w:eastAsia="Calibri" w:hAnsi="Verdana"/>
                <w:sz w:val="20"/>
                <w:szCs w:val="20"/>
              </w:rPr>
            </w:pPr>
          </w:p>
        </w:tc>
        <w:tc>
          <w:tcPr>
            <w:tcW w:w="1479" w:type="dxa"/>
          </w:tcPr>
          <w:p w14:paraId="03AFC814" w14:textId="77777777" w:rsidR="00B7567A" w:rsidRDefault="00B7567A">
            <w:pPr>
              <w:spacing w:after="0" w:line="240" w:lineRule="auto"/>
              <w:jc w:val="right"/>
              <w:rPr>
                <w:rFonts w:ascii="Verdana" w:eastAsia="Calibri" w:hAnsi="Verdana"/>
                <w:sz w:val="20"/>
                <w:szCs w:val="20"/>
              </w:rPr>
            </w:pPr>
          </w:p>
        </w:tc>
        <w:tc>
          <w:tcPr>
            <w:tcW w:w="1499" w:type="dxa"/>
          </w:tcPr>
          <w:p w14:paraId="27F4FCB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r>
      <w:tr w:rsidR="00B7567A" w:rsidRPr="00395F18" w14:paraId="1A3EAE6E" w14:textId="77777777" w:rsidTr="00B7567A">
        <w:tc>
          <w:tcPr>
            <w:tcW w:w="3652" w:type="dxa"/>
            <w:tcBorders>
              <w:top w:val="single" w:sz="4" w:space="0" w:color="auto"/>
            </w:tcBorders>
          </w:tcPr>
          <w:p w14:paraId="773BE244" w14:textId="77777777" w:rsidR="00B7567A" w:rsidRPr="00395F18" w:rsidRDefault="00B7567A">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1356" w:type="dxa"/>
            <w:tcBorders>
              <w:top w:val="single" w:sz="4" w:space="0" w:color="auto"/>
            </w:tcBorders>
          </w:tcPr>
          <w:p w14:paraId="4F643B78"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479" w:type="dxa"/>
            <w:tcBorders>
              <w:top w:val="single" w:sz="4" w:space="0" w:color="auto"/>
            </w:tcBorders>
          </w:tcPr>
          <w:p w14:paraId="534A52AB" w14:textId="46B9B301"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B7567A" w14:paraId="1259FF65" w14:textId="77777777" w:rsidTr="00B7567A">
        <w:tc>
          <w:tcPr>
            <w:tcW w:w="3652" w:type="dxa"/>
          </w:tcPr>
          <w:p w14:paraId="71B67BFD" w14:textId="77777777" w:rsidR="00B7567A" w:rsidRDefault="00B7567A">
            <w:pPr>
              <w:spacing w:after="0" w:line="240" w:lineRule="auto"/>
              <w:rPr>
                <w:rFonts w:ascii="Verdana" w:eastAsia="Calibri" w:hAnsi="Verdana"/>
                <w:sz w:val="20"/>
                <w:szCs w:val="20"/>
              </w:rPr>
            </w:pPr>
          </w:p>
        </w:tc>
        <w:tc>
          <w:tcPr>
            <w:tcW w:w="1356" w:type="dxa"/>
          </w:tcPr>
          <w:p w14:paraId="00BF8470" w14:textId="77777777" w:rsidR="00B7567A" w:rsidRDefault="00B7567A">
            <w:pPr>
              <w:spacing w:after="0" w:line="240" w:lineRule="auto"/>
              <w:jc w:val="right"/>
              <w:rPr>
                <w:rFonts w:ascii="Verdana" w:eastAsia="Calibri" w:hAnsi="Verdana"/>
                <w:sz w:val="20"/>
                <w:szCs w:val="20"/>
              </w:rPr>
            </w:pPr>
          </w:p>
        </w:tc>
        <w:tc>
          <w:tcPr>
            <w:tcW w:w="1479" w:type="dxa"/>
          </w:tcPr>
          <w:p w14:paraId="4E4862FA" w14:textId="77777777" w:rsidR="00B7567A" w:rsidRDefault="00B7567A">
            <w:pPr>
              <w:spacing w:after="0" w:line="240" w:lineRule="auto"/>
              <w:jc w:val="right"/>
              <w:rPr>
                <w:rFonts w:ascii="Verdana" w:eastAsia="Calibri" w:hAnsi="Verdana"/>
                <w:sz w:val="20"/>
                <w:szCs w:val="20"/>
              </w:rPr>
            </w:pPr>
          </w:p>
        </w:tc>
        <w:tc>
          <w:tcPr>
            <w:tcW w:w="1499" w:type="dxa"/>
          </w:tcPr>
          <w:p w14:paraId="7870DE8E" w14:textId="77777777" w:rsidR="00B7567A" w:rsidRDefault="00B7567A">
            <w:pPr>
              <w:spacing w:after="0" w:line="240" w:lineRule="auto"/>
              <w:jc w:val="right"/>
              <w:rPr>
                <w:rFonts w:ascii="Verdana" w:eastAsia="Calibri" w:hAnsi="Verdana"/>
                <w:sz w:val="20"/>
                <w:szCs w:val="20"/>
              </w:rPr>
            </w:pPr>
          </w:p>
        </w:tc>
        <w:tc>
          <w:tcPr>
            <w:tcW w:w="1499" w:type="dxa"/>
          </w:tcPr>
          <w:p w14:paraId="1D16E4F3" w14:textId="77777777" w:rsidR="00B7567A" w:rsidRDefault="00B7567A">
            <w:pPr>
              <w:spacing w:after="0" w:line="240" w:lineRule="auto"/>
              <w:jc w:val="right"/>
              <w:rPr>
                <w:rFonts w:ascii="Verdana" w:eastAsia="Calibri" w:hAnsi="Verdana"/>
                <w:sz w:val="20"/>
                <w:szCs w:val="20"/>
              </w:rPr>
            </w:pPr>
          </w:p>
        </w:tc>
      </w:tr>
      <w:tr w:rsidR="00B7567A" w14:paraId="4390813E" w14:textId="77777777" w:rsidTr="00B7567A">
        <w:tc>
          <w:tcPr>
            <w:tcW w:w="3652" w:type="dxa"/>
          </w:tcPr>
          <w:p w14:paraId="21A77340" w14:textId="5BD8BF89"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2FFD2283" w14:textId="77777777" w:rsidR="00B7567A" w:rsidRDefault="00B7567A">
            <w:pPr>
              <w:spacing w:after="0" w:line="240" w:lineRule="auto"/>
              <w:jc w:val="right"/>
              <w:rPr>
                <w:rFonts w:ascii="Verdana" w:eastAsia="Calibri" w:hAnsi="Verdana"/>
                <w:sz w:val="20"/>
                <w:szCs w:val="20"/>
              </w:rPr>
            </w:pPr>
          </w:p>
        </w:tc>
        <w:tc>
          <w:tcPr>
            <w:tcW w:w="1479" w:type="dxa"/>
          </w:tcPr>
          <w:p w14:paraId="1D21C147" w14:textId="77777777" w:rsidR="00B7567A" w:rsidRDefault="00B7567A">
            <w:pPr>
              <w:spacing w:after="0" w:line="240" w:lineRule="auto"/>
              <w:jc w:val="right"/>
              <w:rPr>
                <w:rFonts w:ascii="Verdana" w:eastAsia="Calibri" w:hAnsi="Verdana"/>
                <w:sz w:val="20"/>
                <w:szCs w:val="20"/>
              </w:rPr>
            </w:pPr>
          </w:p>
        </w:tc>
        <w:tc>
          <w:tcPr>
            <w:tcW w:w="1499" w:type="dxa"/>
          </w:tcPr>
          <w:p w14:paraId="330C11A7" w14:textId="71B8025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c>
          <w:tcPr>
            <w:tcW w:w="1499" w:type="dxa"/>
          </w:tcPr>
          <w:p w14:paraId="710E1034" w14:textId="6A8817BD"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r>
      <w:tr w:rsidR="00B7567A" w14:paraId="386A906D" w14:textId="77777777" w:rsidTr="00B7567A">
        <w:tc>
          <w:tcPr>
            <w:tcW w:w="3652" w:type="dxa"/>
          </w:tcPr>
          <w:p w14:paraId="19BB0629" w14:textId="68BE10F9" w:rsidR="00B7567A" w:rsidRDefault="00B7567A">
            <w:pPr>
              <w:spacing w:after="0" w:line="240" w:lineRule="auto"/>
              <w:rPr>
                <w:rFonts w:ascii="Verdana" w:eastAsia="Calibri" w:hAnsi="Verdana"/>
                <w:sz w:val="20"/>
                <w:szCs w:val="20"/>
              </w:rPr>
            </w:pPr>
            <w:r>
              <w:rPr>
                <w:rFonts w:ascii="Verdana" w:eastAsia="Calibri" w:hAnsi="Verdana"/>
                <w:sz w:val="20"/>
                <w:szCs w:val="20"/>
              </w:rPr>
              <w:t>Otros resultados integrales (Nota 17)</w:t>
            </w:r>
          </w:p>
        </w:tc>
        <w:tc>
          <w:tcPr>
            <w:tcW w:w="1356" w:type="dxa"/>
          </w:tcPr>
          <w:p w14:paraId="36E8162E" w14:textId="77777777" w:rsidR="00B7567A" w:rsidRDefault="00B7567A">
            <w:pPr>
              <w:spacing w:after="0" w:line="240" w:lineRule="auto"/>
              <w:jc w:val="right"/>
              <w:rPr>
                <w:rFonts w:ascii="Verdana" w:eastAsia="Calibri" w:hAnsi="Verdana"/>
                <w:sz w:val="20"/>
                <w:szCs w:val="20"/>
              </w:rPr>
            </w:pPr>
          </w:p>
        </w:tc>
        <w:tc>
          <w:tcPr>
            <w:tcW w:w="1479" w:type="dxa"/>
          </w:tcPr>
          <w:p w14:paraId="00A7C0E6" w14:textId="77777777" w:rsidR="00B7567A" w:rsidRDefault="00B7567A">
            <w:pPr>
              <w:spacing w:after="0" w:line="240" w:lineRule="auto"/>
              <w:jc w:val="right"/>
              <w:rPr>
                <w:rFonts w:ascii="Verdana" w:eastAsia="Calibri" w:hAnsi="Verdana"/>
                <w:sz w:val="20"/>
                <w:szCs w:val="20"/>
              </w:rPr>
            </w:pPr>
          </w:p>
        </w:tc>
        <w:tc>
          <w:tcPr>
            <w:tcW w:w="1499" w:type="dxa"/>
          </w:tcPr>
          <w:p w14:paraId="19E2AE3E" w14:textId="5218CB4B"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c>
          <w:tcPr>
            <w:tcW w:w="1499" w:type="dxa"/>
          </w:tcPr>
          <w:p w14:paraId="28434995" w14:textId="52BD14C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r>
      <w:tr w:rsidR="00B7567A" w14:paraId="4D3DD1FB" w14:textId="77777777" w:rsidTr="00B7567A">
        <w:tc>
          <w:tcPr>
            <w:tcW w:w="3652" w:type="dxa"/>
          </w:tcPr>
          <w:p w14:paraId="6B33816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7567A" w:rsidRDefault="00B7567A">
            <w:pPr>
              <w:spacing w:after="0" w:line="240" w:lineRule="auto"/>
              <w:jc w:val="right"/>
              <w:rPr>
                <w:rFonts w:ascii="Verdana" w:eastAsia="Calibri" w:hAnsi="Verdana"/>
                <w:sz w:val="20"/>
                <w:szCs w:val="20"/>
              </w:rPr>
            </w:pPr>
          </w:p>
        </w:tc>
        <w:tc>
          <w:tcPr>
            <w:tcW w:w="1479" w:type="dxa"/>
          </w:tcPr>
          <w:p w14:paraId="7E100CF7" w14:textId="6DD1E855"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0</w:t>
            </w:r>
          </w:p>
        </w:tc>
      </w:tr>
      <w:tr w:rsidR="00B7567A" w14:paraId="3E22517F" w14:textId="77777777" w:rsidTr="00B7567A">
        <w:tc>
          <w:tcPr>
            <w:tcW w:w="3652" w:type="dxa"/>
          </w:tcPr>
          <w:p w14:paraId="07E4C8E2" w14:textId="4A06E936" w:rsidR="00B7567A" w:rsidRDefault="00B7567A">
            <w:pPr>
              <w:spacing w:after="0" w:line="240" w:lineRule="auto"/>
              <w:rPr>
                <w:rFonts w:ascii="Verdana" w:eastAsia="Calibri" w:hAnsi="Verdana"/>
                <w:sz w:val="20"/>
                <w:szCs w:val="20"/>
              </w:rPr>
            </w:pPr>
            <w:r>
              <w:rPr>
                <w:rFonts w:ascii="Verdana" w:eastAsia="Calibri" w:hAnsi="Verdana"/>
                <w:sz w:val="20"/>
                <w:szCs w:val="20"/>
              </w:rPr>
              <w:t>Corrección de errores de años anteriores (Nota 20)</w:t>
            </w:r>
          </w:p>
        </w:tc>
        <w:tc>
          <w:tcPr>
            <w:tcW w:w="1356" w:type="dxa"/>
          </w:tcPr>
          <w:p w14:paraId="6EFB39F3" w14:textId="77777777" w:rsidR="00B7567A" w:rsidRDefault="00B7567A">
            <w:pPr>
              <w:spacing w:after="0" w:line="240" w:lineRule="auto"/>
              <w:jc w:val="right"/>
              <w:rPr>
                <w:rFonts w:ascii="Verdana" w:eastAsia="Calibri" w:hAnsi="Verdana"/>
                <w:sz w:val="20"/>
                <w:szCs w:val="20"/>
              </w:rPr>
            </w:pPr>
          </w:p>
        </w:tc>
        <w:tc>
          <w:tcPr>
            <w:tcW w:w="1479" w:type="dxa"/>
          </w:tcPr>
          <w:p w14:paraId="36EB13CB" w14:textId="77777777" w:rsidR="00B7567A" w:rsidRDefault="00B7567A">
            <w:pPr>
              <w:spacing w:after="0" w:line="240" w:lineRule="auto"/>
              <w:jc w:val="right"/>
              <w:rPr>
                <w:rFonts w:ascii="Verdana" w:eastAsia="Calibri" w:hAnsi="Verdana"/>
                <w:sz w:val="20"/>
                <w:szCs w:val="20"/>
              </w:rPr>
            </w:pPr>
          </w:p>
        </w:tc>
        <w:tc>
          <w:tcPr>
            <w:tcW w:w="1499" w:type="dxa"/>
          </w:tcPr>
          <w:p w14:paraId="62418CCB" w14:textId="77777777" w:rsidR="00B7567A" w:rsidRDefault="00B7567A">
            <w:pPr>
              <w:spacing w:after="0" w:line="240" w:lineRule="auto"/>
              <w:jc w:val="right"/>
              <w:rPr>
                <w:rFonts w:ascii="Verdana" w:eastAsia="Calibri" w:hAnsi="Verdana"/>
                <w:sz w:val="20"/>
                <w:szCs w:val="20"/>
              </w:rPr>
            </w:pPr>
          </w:p>
          <w:p w14:paraId="3B8D6C60" w14:textId="27291852"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B7567A" w:rsidRDefault="00B7567A">
            <w:pPr>
              <w:spacing w:after="0" w:line="240" w:lineRule="auto"/>
              <w:jc w:val="right"/>
              <w:rPr>
                <w:rFonts w:ascii="Verdana" w:eastAsia="Calibri" w:hAnsi="Verdana"/>
                <w:sz w:val="20"/>
                <w:szCs w:val="20"/>
              </w:rPr>
            </w:pPr>
          </w:p>
          <w:p w14:paraId="3B837B69" w14:textId="5BED9C9A"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B7567A" w14:paraId="60F468A9" w14:textId="77777777" w:rsidTr="00B7567A">
        <w:tc>
          <w:tcPr>
            <w:tcW w:w="3652" w:type="dxa"/>
            <w:tcBorders>
              <w:bottom w:val="single" w:sz="4" w:space="0" w:color="auto"/>
            </w:tcBorders>
          </w:tcPr>
          <w:p w14:paraId="57AD6200"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7567A" w:rsidRDefault="00B7567A">
            <w:pPr>
              <w:spacing w:after="0" w:line="240" w:lineRule="auto"/>
              <w:jc w:val="right"/>
              <w:rPr>
                <w:rFonts w:ascii="Verdana" w:eastAsia="Calibri" w:hAnsi="Verdana"/>
                <w:sz w:val="20"/>
                <w:szCs w:val="20"/>
              </w:rPr>
            </w:pPr>
          </w:p>
        </w:tc>
        <w:tc>
          <w:tcPr>
            <w:tcW w:w="1479" w:type="dxa"/>
            <w:tcBorders>
              <w:bottom w:val="single" w:sz="4" w:space="0" w:color="auto"/>
            </w:tcBorders>
          </w:tcPr>
          <w:p w14:paraId="4CDD5889" w14:textId="77777777" w:rsidR="00B7567A" w:rsidRDefault="00B7567A">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7C5766A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c>
          <w:tcPr>
            <w:tcW w:w="1499" w:type="dxa"/>
            <w:tcBorders>
              <w:bottom w:val="single" w:sz="4" w:space="0" w:color="auto"/>
            </w:tcBorders>
          </w:tcPr>
          <w:p w14:paraId="3DA0E816" w14:textId="23A95FB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r>
      <w:tr w:rsidR="00B7567A" w14:paraId="082B2F0F" w14:textId="77777777" w:rsidTr="00B7567A">
        <w:tc>
          <w:tcPr>
            <w:tcW w:w="3652" w:type="dxa"/>
            <w:tcBorders>
              <w:top w:val="single" w:sz="4" w:space="0" w:color="auto"/>
            </w:tcBorders>
          </w:tcPr>
          <w:p w14:paraId="1B5FFEFA"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4FBF2AC5"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B7567A" w:rsidRPr="00BB4140" w:rsidRDefault="00B7567A">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B7567A" w:rsidRPr="00BB4140" w:rsidRDefault="00B7567A">
            <w:pPr>
              <w:spacing w:after="0" w:line="240" w:lineRule="auto"/>
              <w:jc w:val="right"/>
              <w:rPr>
                <w:rFonts w:ascii="Verdana" w:eastAsia="Calibri" w:hAnsi="Verdana"/>
                <w:sz w:val="20"/>
                <w:szCs w:val="20"/>
                <w:highlight w:val="yellow"/>
              </w:rPr>
            </w:pPr>
          </w:p>
        </w:tc>
      </w:tr>
      <w:tr w:rsidR="00B7567A" w:rsidRPr="005D58A5" w14:paraId="3AA8E1ED" w14:textId="77777777" w:rsidTr="00B7567A">
        <w:tc>
          <w:tcPr>
            <w:tcW w:w="3652" w:type="dxa"/>
            <w:tcBorders>
              <w:bottom w:val="double" w:sz="4" w:space="0" w:color="auto"/>
            </w:tcBorders>
          </w:tcPr>
          <w:p w14:paraId="7BB90938" w14:textId="6A88114D" w:rsidR="00B7567A" w:rsidRPr="005D58A5" w:rsidRDefault="00B7567A">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1356" w:type="dxa"/>
            <w:tcBorders>
              <w:bottom w:val="double" w:sz="4" w:space="0" w:color="auto"/>
            </w:tcBorders>
          </w:tcPr>
          <w:p w14:paraId="04A3A115" w14:textId="77777777"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479" w:type="dxa"/>
            <w:tcBorders>
              <w:bottom w:val="double" w:sz="4" w:space="0" w:color="auto"/>
            </w:tcBorders>
          </w:tcPr>
          <w:p w14:paraId="1467604C" w14:textId="3E6D54A6"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3DCF0457" w:rsidR="00B7567A" w:rsidRPr="00BB4140" w:rsidRDefault="002B7827">
            <w:pPr>
              <w:spacing w:after="0" w:line="240" w:lineRule="auto"/>
              <w:jc w:val="right"/>
              <w:rPr>
                <w:rFonts w:ascii="Verdana" w:eastAsia="Calibri" w:hAnsi="Verdana"/>
                <w:b/>
                <w:bCs/>
                <w:sz w:val="20"/>
                <w:szCs w:val="20"/>
                <w:highlight w:val="yellow"/>
              </w:rPr>
            </w:pPr>
            <w:r w:rsidRPr="00BB4140">
              <w:rPr>
                <w:rFonts w:ascii="Verdana" w:eastAsia="Calibri" w:hAnsi="Verdana"/>
                <w:b/>
                <w:bCs/>
                <w:sz w:val="20"/>
                <w:szCs w:val="20"/>
                <w:highlight w:val="yellow"/>
              </w:rPr>
              <w:t>9,927,024</w:t>
            </w:r>
          </w:p>
        </w:tc>
        <w:tc>
          <w:tcPr>
            <w:tcW w:w="1499" w:type="dxa"/>
            <w:tcBorders>
              <w:bottom w:val="double" w:sz="4" w:space="0" w:color="auto"/>
            </w:tcBorders>
          </w:tcPr>
          <w:p w14:paraId="74429DB3" w14:textId="261F0D2F" w:rsidR="00B7567A" w:rsidRPr="00BB4140" w:rsidRDefault="00B7567A">
            <w:pPr>
              <w:spacing w:after="0" w:line="240" w:lineRule="auto"/>
              <w:jc w:val="right"/>
              <w:rPr>
                <w:rFonts w:ascii="Verdana" w:eastAsia="Calibri" w:hAnsi="Verdana"/>
                <w:b/>
                <w:bCs/>
                <w:sz w:val="20"/>
                <w:szCs w:val="20"/>
                <w:highlight w:val="yellow"/>
              </w:rPr>
            </w:pPr>
            <w:r w:rsidRPr="00BB4140">
              <w:rPr>
                <w:rFonts w:ascii="Verdana" w:eastAsia="Calibri" w:hAnsi="Verdana"/>
                <w:b/>
                <w:bCs/>
                <w:sz w:val="20"/>
                <w:szCs w:val="20"/>
                <w:highlight w:val="yellow"/>
              </w:rPr>
              <w:t>1</w:t>
            </w:r>
            <w:r w:rsidR="002B7827" w:rsidRPr="00BB4140">
              <w:rPr>
                <w:rFonts w:ascii="Verdana" w:eastAsia="Calibri" w:hAnsi="Verdana"/>
                <w:b/>
                <w:bCs/>
                <w:sz w:val="20"/>
                <w:szCs w:val="20"/>
                <w:highlight w:val="yellow"/>
              </w:rPr>
              <w:t>2,256,123</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56552496"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395F18">
              <w:rPr>
                <w:rFonts w:ascii="Verdana" w:hAnsi="Verdana" w:cs="Arial"/>
                <w:color w:val="000000"/>
                <w:sz w:val="20"/>
                <w:szCs w:val="20"/>
                <w:lang w:val="es-ES_tradnl" w:eastAsia="es-ES"/>
              </w:rPr>
              <w:t>587,242</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60EE731E"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(458,515)</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577AE297"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proofErr w:type="spellStart"/>
      <w:r w:rsidRPr="008B7392">
        <w:rPr>
          <w:rFonts w:ascii="Verdana" w:hAnsi="Verdana" w:cs="Calibri"/>
          <w:sz w:val="20"/>
          <w:szCs w:val="20"/>
          <w:highlight w:val="yellow"/>
          <w:lang w:val="es-ES_tradnl"/>
        </w:rPr>
        <w:t>xx</w:t>
      </w:r>
      <w:proofErr w:type="spellEnd"/>
      <w:r w:rsidRPr="008B7392">
        <w:rPr>
          <w:rFonts w:ascii="Verdana" w:hAnsi="Verdana" w:cs="Calibri"/>
          <w:sz w:val="20"/>
          <w:szCs w:val="20"/>
          <w:highlight w:val="yellow"/>
          <w:lang w:val="es-ES_tradnl"/>
        </w:rPr>
        <w:t xml:space="preserve"> de </w:t>
      </w:r>
      <w:proofErr w:type="spellStart"/>
      <w:r w:rsidRPr="008B7392">
        <w:rPr>
          <w:rFonts w:ascii="Verdana" w:hAnsi="Verdana" w:cs="Calibri"/>
          <w:sz w:val="20"/>
          <w:szCs w:val="20"/>
          <w:highlight w:val="yellow"/>
          <w:lang w:val="es-ES_tradnl"/>
        </w:rPr>
        <w:t>xxx</w:t>
      </w:r>
      <w:proofErr w:type="spellEnd"/>
      <w:r w:rsidRPr="008B7392">
        <w:rPr>
          <w:rFonts w:ascii="Verdana" w:hAnsi="Verdana" w:cs="Calibri"/>
          <w:sz w:val="20"/>
          <w:szCs w:val="20"/>
          <w:lang w:val="es-ES_tradnl"/>
        </w:rPr>
        <w:t xml:space="preserve"> del 2022 y en su </w:t>
      </w:r>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proofErr w:type="spellStart"/>
      <w:r w:rsidRPr="008B7392">
        <w:rPr>
          <w:rFonts w:ascii="Verdana" w:hAnsi="Verdana" w:cs="Calibri"/>
          <w:sz w:val="20"/>
          <w:szCs w:val="20"/>
        </w:rPr>
        <w:t>as</w:t>
      </w:r>
      <w:proofErr w:type="spellEnd"/>
      <w:r w:rsidRPr="008B7392">
        <w:rPr>
          <w:rFonts w:ascii="Verdana" w:hAnsi="Verdana" w:cs="Calibri"/>
          <w:sz w:val="20"/>
          <w:szCs w:val="20"/>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3"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3"/>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1E5AF405"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Después del reconocimiento inicial, las maquinarias y equipos y los vehículos, fueron registrados </w:t>
      </w:r>
      <w:r w:rsidRPr="008B7392">
        <w:rPr>
          <w:rFonts w:ascii="Verdana" w:hAnsi="Verdana" w:cs="Arial"/>
          <w:sz w:val="20"/>
          <w:szCs w:val="20"/>
        </w:rPr>
        <w:t xml:space="preserve">mediante el método de la revaluación, en base a avalúos practicados por un perito independiente, </w:t>
      </w:r>
      <w:r w:rsidRPr="008B7392">
        <w:rPr>
          <w:rFonts w:ascii="Verdana" w:hAnsi="Verdana" w:cs="Arial"/>
          <w:color w:val="000000"/>
          <w:sz w:val="20"/>
          <w:szCs w:val="20"/>
        </w:rPr>
        <w:t xml:space="preserve">menos la depreciación acumulada correspondiente.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7777777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Pr="008B7392">
        <w:rPr>
          <w:rFonts w:ascii="Verdana" w:hAnsi="Verdana" w:cs="Calibri"/>
          <w:color w:val="000000"/>
          <w:sz w:val="20"/>
          <w:szCs w:val="20"/>
          <w:u w:val="single"/>
        </w:rPr>
        <w:t>Clases de activos</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7777777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p w14:paraId="7F223474" w14:textId="7158B8C0"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Vehículos    </w:t>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Pr="008B7392">
        <w:rPr>
          <w:rFonts w:ascii="Verdana" w:hAnsi="Verdana" w:cs="Calibri"/>
          <w:color w:val="000000"/>
          <w:sz w:val="20"/>
          <w:szCs w:val="20"/>
        </w:rPr>
        <w:tab/>
        <w:t xml:space="preserve">    </w:t>
      </w:r>
      <w:r w:rsidRPr="008B7392">
        <w:rPr>
          <w:rFonts w:ascii="Verdana" w:hAnsi="Verdana" w:cs="Calibri"/>
          <w:color w:val="000000"/>
          <w:sz w:val="20"/>
          <w:szCs w:val="20"/>
        </w:rPr>
        <w:tab/>
        <w:t xml:space="preserve">        </w:t>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5</w:t>
      </w:r>
    </w:p>
    <w:p w14:paraId="5E433422" w14:textId="1DE83C29"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Equipos de computación </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3</w:t>
      </w:r>
    </w:p>
    <w:p w14:paraId="5333EF11" w14:textId="7D7817F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Equipos de seguridad </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008B7392">
        <w:rPr>
          <w:rFonts w:ascii="Verdana" w:hAnsi="Verdana" w:cs="Calibri"/>
          <w:color w:val="000000"/>
          <w:sz w:val="20"/>
          <w:szCs w:val="20"/>
        </w:rPr>
        <w:tab/>
        <w:t xml:space="preserve">        </w:t>
      </w:r>
      <w:r w:rsidRPr="008B7392">
        <w:rPr>
          <w:rFonts w:ascii="Verdana" w:hAnsi="Verdana" w:cs="Calibri"/>
          <w:color w:val="000000"/>
          <w:sz w:val="20"/>
          <w:szCs w:val="20"/>
        </w:rPr>
        <w:t>10</w:t>
      </w:r>
    </w:p>
    <w:p w14:paraId="0A673C8A" w14:textId="65B35E3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Muebles y </w:t>
      </w:r>
      <w:r w:rsidR="008B7392">
        <w:rPr>
          <w:rFonts w:ascii="Verdana" w:hAnsi="Verdana" w:cs="Calibri"/>
          <w:color w:val="000000"/>
          <w:sz w:val="20"/>
          <w:szCs w:val="20"/>
        </w:rPr>
        <w:t>enseres</w:t>
      </w:r>
      <w:r w:rsidR="008B7392">
        <w:rPr>
          <w:rFonts w:ascii="Verdana" w:hAnsi="Verdana" w:cs="Calibri"/>
          <w:color w:val="000000"/>
          <w:sz w:val="20"/>
          <w:szCs w:val="20"/>
        </w:rPr>
        <w:tab/>
      </w:r>
      <w:r w:rsidR="008B7392">
        <w:rPr>
          <w:rFonts w:ascii="Verdana" w:hAnsi="Verdana" w:cs="Calibri"/>
          <w:color w:val="000000"/>
          <w:sz w:val="20"/>
          <w:szCs w:val="20"/>
        </w:rPr>
        <w:tab/>
      </w:r>
      <w:r w:rsidR="008B7392">
        <w:rPr>
          <w:rFonts w:ascii="Verdana" w:hAnsi="Verdana" w:cs="Calibri"/>
          <w:color w:val="000000"/>
          <w:sz w:val="20"/>
          <w:szCs w:val="20"/>
        </w:rPr>
        <w:tab/>
      </w:r>
      <w:r w:rsidR="008B7392">
        <w:rPr>
          <w:rFonts w:ascii="Verdana" w:hAnsi="Verdana" w:cs="Calibri"/>
          <w:color w:val="000000"/>
          <w:sz w:val="20"/>
          <w:szCs w:val="20"/>
        </w:rPr>
        <w:tab/>
        <w:t xml:space="preserve">        </w:t>
      </w:r>
      <w:r w:rsidRPr="008B7392">
        <w:rPr>
          <w:rFonts w:ascii="Verdana" w:hAnsi="Verdana" w:cs="Calibri"/>
          <w:color w:val="000000"/>
          <w:sz w:val="20"/>
          <w:szCs w:val="20"/>
        </w:rPr>
        <w:t>10</w:t>
      </w:r>
    </w:p>
    <w:p w14:paraId="358A3A0C" w14:textId="3E2567CE" w:rsidR="00B07B13" w:rsidRPr="008B7392" w:rsidRDefault="008A306B" w:rsidP="008B7392">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highlight w:val="yellow"/>
        </w:rPr>
        <w:t>Maquinarias y equipos</w:t>
      </w:r>
      <w:r w:rsidR="008B7392">
        <w:rPr>
          <w:rFonts w:ascii="Verdana" w:hAnsi="Verdana" w:cs="Calibri"/>
          <w:color w:val="000000"/>
          <w:sz w:val="20"/>
          <w:szCs w:val="20"/>
          <w:highlight w:val="yellow"/>
        </w:rPr>
        <w:tab/>
      </w:r>
      <w:r w:rsidR="008B7392">
        <w:rPr>
          <w:rFonts w:ascii="Verdana" w:hAnsi="Verdana" w:cs="Calibri"/>
          <w:color w:val="000000"/>
          <w:sz w:val="20"/>
          <w:szCs w:val="20"/>
          <w:highlight w:val="yellow"/>
        </w:rPr>
        <w:tab/>
      </w:r>
      <w:r w:rsidRPr="008B7392">
        <w:rPr>
          <w:rFonts w:ascii="Verdana" w:hAnsi="Verdana" w:cs="Calibri"/>
          <w:color w:val="000000"/>
          <w:sz w:val="20"/>
          <w:szCs w:val="20"/>
          <w:highlight w:val="yellow"/>
        </w:rPr>
        <w:t>10</w:t>
      </w:r>
    </w:p>
    <w:p w14:paraId="12E1B5E1" w14:textId="19779D49" w:rsidR="00B07B13" w:rsidRPr="008B7392"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Edificio</w:t>
      </w:r>
      <w:r w:rsidRPr="008B7392">
        <w:rPr>
          <w:rFonts w:ascii="Verdana" w:hAnsi="Verdana" w:cs="Calibri"/>
          <w:color w:val="000000"/>
          <w:sz w:val="20"/>
          <w:szCs w:val="20"/>
        </w:rPr>
        <w:tab/>
      </w:r>
      <w:r w:rsidRPr="008B7392">
        <w:rPr>
          <w:rFonts w:ascii="Verdana" w:hAnsi="Verdana" w:cs="Calibri"/>
          <w:color w:val="000000"/>
          <w:sz w:val="20"/>
          <w:szCs w:val="20"/>
        </w:rPr>
        <w:tab/>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20</w:t>
      </w:r>
    </w:p>
    <w:p w14:paraId="780B323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0"/>
          <w:szCs w:val="20"/>
        </w:rPr>
      </w:pPr>
    </w:p>
    <w:p w14:paraId="6092014E" w14:textId="7777777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4"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w:t>
      </w:r>
      <w:r w:rsidRPr="008B7392">
        <w:rPr>
          <w:rFonts w:ascii="Verdana" w:hAnsi="Verdana" w:cs="Calibri"/>
          <w:color w:val="000000"/>
          <w:sz w:val="20"/>
          <w:szCs w:val="20"/>
        </w:rPr>
        <w:lastRenderedPageBreak/>
        <w:t xml:space="preserve">que </w:t>
      </w:r>
      <w:bookmarkEnd w:id="4"/>
      <w:r w:rsidRPr="008B7392">
        <w:rPr>
          <w:rFonts w:ascii="Verdana" w:hAnsi="Verdana" w:cs="Calibri"/>
          <w:color w:val="000000"/>
          <w:sz w:val="20"/>
          <w:szCs w:val="20"/>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5"/>
      <w:r w:rsidRPr="008B7392">
        <w:rPr>
          <w:rFonts w:ascii="Verdana" w:hAnsi="Verdana" w:cs="Arial"/>
          <w:sz w:val="20"/>
          <w:szCs w:val="20"/>
          <w:lang w:eastAsia="es-EC"/>
        </w:rPr>
        <w:t xml:space="preserve">que represente por lo menos el 50% del capital pagado. Esta reserva puede </w:t>
      </w:r>
      <w:bookmarkEnd w:id="6"/>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7"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7"/>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299A2B00"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para </w:t>
      </w:r>
      <w:r w:rsidRPr="008B7392">
        <w:rPr>
          <w:rFonts w:ascii="Verdana" w:hAnsi="Verdana" w:cs="Calibri"/>
          <w:color w:val="000000"/>
          <w:sz w:val="20"/>
          <w:szCs w:val="20"/>
          <w:highlight w:val="yellow"/>
        </w:rPr>
        <w:t>vehículos</w:t>
      </w:r>
      <w:r w:rsidRPr="008B7392">
        <w:rPr>
          <w:rFonts w:ascii="Verdana" w:hAnsi="Verdana" w:cs="Calibri"/>
          <w:color w:val="000000"/>
          <w:sz w:val="20"/>
          <w:szCs w:val="20"/>
        </w:rPr>
        <w:t xml:space="preserve"> de la Compañía y se reconoce como parte del patrimonio de los Accionistas. Cuando se reduce el importe en libros de un activo como consecuencia de una revaluación,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1F759720" w14:textId="77777777" w:rsidR="008C121F" w:rsidRPr="008B7392" w:rsidRDefault="008C121F" w:rsidP="009E2B09">
      <w:pPr>
        <w:pStyle w:val="Prrafodelista"/>
        <w:ind w:left="0"/>
        <w:jc w:val="both"/>
        <w:rPr>
          <w:rFonts w:ascii="Verdana" w:hAnsi="Verdana" w:cs="Calibri"/>
          <w:sz w:val="20"/>
          <w:szCs w:val="20"/>
        </w:rPr>
      </w:pP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3833E249" w14:textId="3210599E" w:rsidR="008C121F"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4EEEA850" w14:textId="77777777" w:rsidR="00C862B9" w:rsidRPr="008B7392" w:rsidRDefault="00C862B9" w:rsidP="00C862B9">
      <w:pPr>
        <w:pStyle w:val="Prrafodelista"/>
        <w:ind w:left="0"/>
        <w:jc w:val="both"/>
        <w:rPr>
          <w:rFonts w:ascii="Verdana" w:hAnsi="Verdana" w:cs="Calibri"/>
          <w:sz w:val="20"/>
          <w:szCs w:val="20"/>
        </w:rPr>
      </w:pP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Un pasivo contingente es una obligación posible, surgida de hechos pasados, cuya existencia quedará confirmada sólo si llegan a ocurrir uno o más sucesos futuros inciertos que no están bajo el control de la Compañía. Si el desembolso es menos </w:t>
      </w:r>
      <w:r w:rsidRPr="008B7392">
        <w:rPr>
          <w:rFonts w:ascii="Verdana" w:hAnsi="Verdana" w:cs="Calibri"/>
          <w:color w:val="000000"/>
          <w:sz w:val="20"/>
          <w:szCs w:val="20"/>
        </w:rPr>
        <w:lastRenderedPageBreak/>
        <w:t>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8"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8"/>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Las obligaciones por beneficios a corto plazo de los trabajadores son medidas sobre una base no descontada y son contabilizadas como gastos a medida que el servicio relacionado se provee. Se 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44C3D29E"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CAMBIO</w:t>
      </w:r>
      <w:r w:rsidR="0052541D" w:rsidRPr="008B7392">
        <w:rPr>
          <w:rFonts w:ascii="Verdana" w:hAnsi="Verdana" w:cs="Calibri"/>
          <w:b/>
          <w:bCs/>
          <w:color w:val="FF0000"/>
          <w:sz w:val="20"/>
          <w:szCs w:val="20"/>
        </w:rPr>
        <w:t>S</w:t>
      </w:r>
      <w:r w:rsidRPr="008B7392">
        <w:rPr>
          <w:rFonts w:ascii="Verdana" w:hAnsi="Verdana" w:cs="Calibri"/>
          <w:b/>
          <w:bCs/>
          <w:color w:val="FF0000"/>
          <w:sz w:val="20"/>
          <w:szCs w:val="20"/>
        </w:rPr>
        <w:t xml:space="preserve">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427A2559" w:rsidR="0052541D" w:rsidRPr="008B7392" w:rsidRDefault="0052541D" w:rsidP="00D44876">
      <w:pPr>
        <w:spacing w:after="0" w:line="240" w:lineRule="auto"/>
        <w:jc w:val="both"/>
        <w:rPr>
          <w:rFonts w:ascii="Verdana" w:hAnsi="Verdana" w:cs="Calibri"/>
          <w:color w:val="000000"/>
          <w:sz w:val="20"/>
          <w:szCs w:val="20"/>
        </w:rPr>
      </w:pPr>
    </w:p>
    <w:p w14:paraId="62F7A358" w14:textId="22AFA194" w:rsidR="006C0A77" w:rsidRPr="008B7392" w:rsidRDefault="006C0A77"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Compañía mantiene un contrato de arrendamiento de inmueble</w:t>
      </w:r>
      <w:r w:rsidR="00B3680A" w:rsidRPr="008B7392">
        <w:rPr>
          <w:rFonts w:ascii="Verdana" w:hAnsi="Verdana" w:cs="Calibri"/>
          <w:color w:val="000000"/>
          <w:sz w:val="20"/>
          <w:szCs w:val="20"/>
        </w:rPr>
        <w:t>s</w:t>
      </w:r>
      <w:r w:rsidRPr="008B7392">
        <w:rPr>
          <w:rFonts w:ascii="Verdana" w:hAnsi="Verdana" w:cs="Calibri"/>
          <w:color w:val="000000"/>
          <w:sz w:val="20"/>
          <w:szCs w:val="20"/>
        </w:rPr>
        <w:t xml:space="preserve"> (Nota </w:t>
      </w:r>
      <w:r w:rsidR="00F363D7" w:rsidRPr="008B7392">
        <w:rPr>
          <w:rFonts w:ascii="Verdana" w:hAnsi="Verdana" w:cs="Calibri"/>
          <w:color w:val="000000"/>
          <w:sz w:val="20"/>
          <w:szCs w:val="20"/>
        </w:rPr>
        <w:t>14</w:t>
      </w:r>
      <w:r w:rsidRPr="008B7392">
        <w:rPr>
          <w:rFonts w:ascii="Verdana" w:hAnsi="Verdana" w:cs="Calibri"/>
          <w:color w:val="000000"/>
          <w:sz w:val="20"/>
          <w:szCs w:val="20"/>
        </w:rPr>
        <w:t>)</w:t>
      </w:r>
      <w:r w:rsidR="00B3680A" w:rsidRPr="008B7392">
        <w:rPr>
          <w:rFonts w:ascii="Verdana" w:hAnsi="Verdana" w:cs="Calibri"/>
          <w:color w:val="000000"/>
          <w:sz w:val="20"/>
          <w:szCs w:val="20"/>
        </w:rPr>
        <w:t>.</w:t>
      </w:r>
    </w:p>
    <w:p w14:paraId="760D933F" w14:textId="6A29D9B9" w:rsidR="006C0A77" w:rsidRPr="008B7392" w:rsidRDefault="006C0A77" w:rsidP="00D44876">
      <w:pPr>
        <w:spacing w:after="0" w:line="240" w:lineRule="auto"/>
        <w:jc w:val="both"/>
        <w:rPr>
          <w:rFonts w:ascii="Verdana" w:hAnsi="Verdana" w:cs="Calibri"/>
          <w:color w:val="000000"/>
          <w:sz w:val="20"/>
          <w:szCs w:val="20"/>
        </w:rPr>
      </w:pPr>
    </w:p>
    <w:p w14:paraId="36FA98C0" w14:textId="682F4A9F" w:rsidR="00B07B13" w:rsidRPr="008B7392" w:rsidRDefault="00D26191" w:rsidP="00D44876">
      <w:pPr>
        <w:spacing w:after="0" w:line="240" w:lineRule="auto"/>
        <w:jc w:val="both"/>
        <w:rPr>
          <w:rFonts w:ascii="Verdana" w:hAnsi="Verdana" w:cs="Calibri"/>
          <w:color w:val="000000"/>
          <w:sz w:val="20"/>
          <w:szCs w:val="20"/>
        </w:rPr>
      </w:pPr>
      <w:r w:rsidRPr="008B7392">
        <w:rPr>
          <w:rFonts w:ascii="Verdana" w:hAnsi="Verdana" w:cs="Calibri"/>
          <w:b/>
          <w:bCs/>
          <w:i/>
          <w:iCs/>
          <w:color w:val="000000"/>
          <w:sz w:val="20"/>
          <w:szCs w:val="20"/>
        </w:rPr>
        <w:t xml:space="preserve">Método de valuación de inventarios: </w:t>
      </w:r>
      <w:r w:rsidR="008A306B" w:rsidRPr="008B7392">
        <w:rPr>
          <w:rFonts w:ascii="Verdana" w:hAnsi="Verdana" w:cs="Calibri"/>
          <w:color w:val="000000"/>
          <w:sz w:val="20"/>
          <w:szCs w:val="20"/>
        </w:rPr>
        <w:t>En el año 2021 la Compañía eligió cambiar su política contable para determinar el costo de los inventarios de bobinas por el método de identificación especifica</w:t>
      </w:r>
      <w:r w:rsidR="003E1FD4" w:rsidRPr="008B7392">
        <w:rPr>
          <w:rFonts w:ascii="Verdana" w:hAnsi="Verdana" w:cs="Calibri"/>
          <w:color w:val="000000"/>
          <w:sz w:val="20"/>
          <w:szCs w:val="20"/>
        </w:rPr>
        <w:t xml:space="preserve"> (costo promedio hasta el año 2020)</w:t>
      </w:r>
      <w:r w:rsidR="008A306B" w:rsidRPr="008B7392">
        <w:rPr>
          <w:rFonts w:ascii="Verdana" w:hAnsi="Verdana" w:cs="Calibri"/>
          <w:color w:val="000000"/>
          <w:sz w:val="20"/>
          <w:szCs w:val="20"/>
        </w:rPr>
        <w:t xml:space="preserve">; la Gerencia considera que este cambio contable resulta en una presentación </w:t>
      </w:r>
      <w:r w:rsidR="00AE053D" w:rsidRPr="008B7392">
        <w:rPr>
          <w:rFonts w:ascii="Verdana" w:hAnsi="Verdana" w:cs="Calibri"/>
          <w:color w:val="000000"/>
          <w:sz w:val="20"/>
          <w:szCs w:val="20"/>
        </w:rPr>
        <w:t>más</w:t>
      </w:r>
      <w:r w:rsidR="008A306B" w:rsidRPr="008B7392">
        <w:rPr>
          <w:rFonts w:ascii="Verdana" w:hAnsi="Verdana" w:cs="Calibri"/>
          <w:color w:val="000000"/>
          <w:sz w:val="20"/>
          <w:szCs w:val="20"/>
        </w:rPr>
        <w:t xml:space="preserve"> fiable y razonable de la posición financiera y los resultados de la Compañía. Como resultado de este cambio contable, al 31 de diciembre del 2021 los activos y patrimonio disminuyeron en </w:t>
      </w:r>
      <w:proofErr w:type="spellStart"/>
      <w:r w:rsidR="008A306B" w:rsidRPr="008B7392">
        <w:rPr>
          <w:rFonts w:ascii="Verdana" w:hAnsi="Verdana" w:cs="Calibri"/>
          <w:color w:val="000000"/>
          <w:sz w:val="20"/>
          <w:szCs w:val="20"/>
          <w:highlight w:val="yellow"/>
        </w:rPr>
        <w:t>US$xx</w:t>
      </w:r>
      <w:proofErr w:type="spellEnd"/>
      <w:r w:rsidR="008A306B" w:rsidRPr="008B7392">
        <w:rPr>
          <w:rFonts w:ascii="Verdana" w:hAnsi="Verdana" w:cs="Calibri"/>
          <w:color w:val="000000"/>
          <w:sz w:val="20"/>
          <w:szCs w:val="20"/>
        </w:rPr>
        <w:t xml:space="preserve"> millones, y los resultados del ejercicio se incrementaron en el mismo importe. </w:t>
      </w:r>
    </w:p>
    <w:p w14:paraId="794EB4C3" w14:textId="174BBD20" w:rsidR="005E1F38" w:rsidRPr="008B7392" w:rsidRDefault="005E1F38" w:rsidP="00D44876">
      <w:pPr>
        <w:spacing w:after="0" w:line="240" w:lineRule="auto"/>
        <w:jc w:val="both"/>
        <w:rPr>
          <w:rFonts w:ascii="Verdana" w:hAnsi="Verdana" w:cs="Calibri"/>
          <w:b/>
          <w:bCs/>
          <w:i/>
          <w:iCs/>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w:t>
      </w:r>
      <w:r w:rsidRPr="008B7392">
        <w:rPr>
          <w:rFonts w:ascii="Verdana" w:eastAsia="Times New Roman" w:hAnsi="Verdana" w:cs="Calibri"/>
          <w:bCs/>
          <w:iCs/>
          <w:color w:val="000000"/>
          <w:sz w:val="20"/>
          <w:szCs w:val="20"/>
          <w:lang w:val="es-ES_tradnl" w:eastAsia="es-ES"/>
        </w:rPr>
        <w:lastRenderedPageBreak/>
        <w:t>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w:t>
      </w:r>
      <w:r w:rsidR="00F85EE3" w:rsidRPr="008B7392">
        <w:rPr>
          <w:rFonts w:ascii="Verdana" w:hAnsi="Verdana" w:cs="Arial"/>
          <w:color w:val="000000"/>
          <w:sz w:val="20"/>
          <w:szCs w:val="20"/>
        </w:rPr>
        <w:lastRenderedPageBreak/>
        <w:t xml:space="preserve">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5BFBE76F"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Pr="008B7392">
        <w:rPr>
          <w:rFonts w:ascii="Verdana" w:hAnsi="Verdana" w:cs="Arial"/>
          <w:color w:val="000000"/>
          <w:sz w:val="20"/>
          <w:szCs w:val="20"/>
          <w:highlight w:val="yellow"/>
        </w:rPr>
        <w:t>.</w:t>
      </w:r>
      <w:r w:rsidR="00835FE0" w:rsidRPr="008B7392">
        <w:rPr>
          <w:rFonts w:ascii="Verdana" w:hAnsi="Verdana" w:cs="Arial"/>
          <w:color w:val="000000"/>
          <w:sz w:val="20"/>
          <w:szCs w:val="20"/>
          <w:highlight w:val="yellow"/>
        </w:rPr>
        <w:t xml:space="preserve"> CLIENTES DEL SECTOR CAMARONERO</w:t>
      </w:r>
      <w:r w:rsidR="00AD1B1B">
        <w:rPr>
          <w:rFonts w:ascii="Verdana" w:hAnsi="Verdana" w:cs="Arial"/>
          <w:color w:val="000000"/>
          <w:sz w:val="20"/>
          <w:szCs w:val="20"/>
        </w:rPr>
        <w:t xml:space="preserve"> </w:t>
      </w:r>
      <w:r w:rsidR="00AD1B1B" w:rsidRPr="00AD1B1B">
        <w:rPr>
          <w:rFonts w:ascii="Verdana" w:hAnsi="Verdana" w:cs="Arial"/>
          <w:color w:val="000000"/>
          <w:sz w:val="20"/>
          <w:szCs w:val="20"/>
          <w:highlight w:val="yellow"/>
        </w:rPr>
        <w:t>NIF 7</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172EF7D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527,841</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76A57D8B"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055,268</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3DB356EB"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890,596</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BE575D1" w:rsidR="00E35031" w:rsidRPr="008B7392"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9"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9"/>
    <w:p w14:paraId="35F4B300" w14:textId="20779221"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0"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3,755,489</w:t>
            </w:r>
          </w:p>
        </w:tc>
        <w:tc>
          <w:tcPr>
            <w:tcW w:w="1312" w:type="dxa"/>
          </w:tcPr>
          <w:p w14:paraId="083CF3B0"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7DB4063C" w:rsidR="002F7E7F" w:rsidRPr="008B7392" w:rsidRDefault="00E26A2E" w:rsidP="0069461E">
            <w:pPr>
              <w:tabs>
                <w:tab w:val="center" w:pos="6960"/>
                <w:tab w:val="center" w:pos="8400"/>
              </w:tabs>
              <w:spacing w:after="0"/>
              <w:ind w:right="-187"/>
              <w:jc w:val="both"/>
              <w:rPr>
                <w:rFonts w:ascii="Verdana" w:hAnsi="Verdana" w:cs="Arial"/>
                <w:bCs/>
                <w:color w:val="000000"/>
                <w:sz w:val="20"/>
                <w:szCs w:val="20"/>
              </w:rPr>
            </w:pPr>
            <w:r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4C4184E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7,371,911</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31642356"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505,522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213BC212"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527,841</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0"/>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63F98760" w14:textId="77777777" w:rsidTr="00BD49DA">
        <w:trPr>
          <w:trHeight w:val="317"/>
        </w:trPr>
        <w:tc>
          <w:tcPr>
            <w:tcW w:w="5807" w:type="dxa"/>
          </w:tcPr>
          <w:p w14:paraId="632DA682" w14:textId="439F53A0"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Impuesto a la salida de divisas ISD</w:t>
            </w:r>
          </w:p>
        </w:tc>
        <w:tc>
          <w:tcPr>
            <w:tcW w:w="1704" w:type="dxa"/>
          </w:tcPr>
          <w:p w14:paraId="6959BC50" w14:textId="7BC553CA"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c>
        <w:tc>
          <w:tcPr>
            <w:tcW w:w="1318" w:type="dxa"/>
          </w:tcPr>
          <w:p w14:paraId="329A4944" w14:textId="4C359A14"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32,943</w:t>
            </w: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571CE4A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8B7392">
              <w:rPr>
                <w:rFonts w:ascii="Verdana" w:hAnsi="Verdana" w:cs="Arial"/>
                <w:bCs/>
                <w:color w:val="000000"/>
                <w:sz w:val="20"/>
                <w:szCs w:val="20"/>
                <w:highlight w:val="yellow"/>
              </w:rPr>
              <w:t>2</w:t>
            </w:r>
            <w:r w:rsidR="009877FF" w:rsidRPr="008B7392">
              <w:rPr>
                <w:rFonts w:ascii="Verdana" w:hAnsi="Verdana" w:cs="Arial"/>
                <w:bCs/>
                <w:color w:val="000000"/>
                <w:sz w:val="20"/>
                <w:szCs w:val="20"/>
                <w:highlight w:val="yellow"/>
              </w:rPr>
              <w:t>15,911</w:t>
            </w:r>
          </w:p>
        </w:tc>
        <w:tc>
          <w:tcPr>
            <w:tcW w:w="1318" w:type="dxa"/>
          </w:tcPr>
          <w:p w14:paraId="2E447B37" w14:textId="5CE4AFB5"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318B3598"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138,725</w:t>
            </w:r>
          </w:p>
        </w:tc>
        <w:tc>
          <w:tcPr>
            <w:tcW w:w="1318" w:type="dxa"/>
          </w:tcPr>
          <w:p w14:paraId="2050049B" w14:textId="7B533702"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091522" w:rsidRPr="008B7392" w14:paraId="63D8FB76" w14:textId="77777777" w:rsidTr="00BD49DA">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246AC25B"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176,517</w:t>
            </w:r>
          </w:p>
        </w:tc>
        <w:tc>
          <w:tcPr>
            <w:tcW w:w="1318" w:type="dxa"/>
          </w:tcPr>
          <w:p w14:paraId="0A9A7DCE" w14:textId="7D7A2739"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091522" w:rsidRPr="008B7392" w14:paraId="3E0B97A2" w14:textId="77777777" w:rsidTr="00BD49DA">
        <w:trPr>
          <w:trHeight w:val="317"/>
        </w:trPr>
        <w:tc>
          <w:tcPr>
            <w:tcW w:w="5807" w:type="dxa"/>
            <w:tcBorders>
              <w:bottom w:val="single" w:sz="4" w:space="0" w:color="auto"/>
            </w:tcBorders>
          </w:tcPr>
          <w:p w14:paraId="6F4561FF" w14:textId="286B2803"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Pr="008B7392">
              <w:rPr>
                <w:rFonts w:ascii="Verdana" w:hAnsi="Verdana" w:cs="Arial"/>
                <w:bCs/>
                <w:color w:val="000000"/>
                <w:sz w:val="20"/>
                <w:szCs w:val="20"/>
                <w:highlight w:val="yellow"/>
              </w:rPr>
              <w:t>Otros</w:t>
            </w:r>
          </w:p>
        </w:tc>
        <w:tc>
          <w:tcPr>
            <w:tcW w:w="1704" w:type="dxa"/>
            <w:tcBorders>
              <w:bottom w:val="single" w:sz="4" w:space="0" w:color="auto"/>
            </w:tcBorders>
          </w:tcPr>
          <w:p w14:paraId="53CD6D05" w14:textId="46D4D8EF"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30,640</w:t>
            </w:r>
          </w:p>
        </w:tc>
        <w:tc>
          <w:tcPr>
            <w:tcW w:w="1318" w:type="dxa"/>
            <w:tcBorders>
              <w:bottom w:val="single" w:sz="4" w:space="0" w:color="auto"/>
            </w:tcBorders>
          </w:tcPr>
          <w:p w14:paraId="0ADC3C8D" w14:textId="15DEBBA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highlight w:val="yellow"/>
              </w:rPr>
              <w:t xml:space="preserve">             0</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8B7392" w:rsidRDefault="00C1540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704" w:type="dxa"/>
            <w:tcBorders>
              <w:bottom w:val="double" w:sz="4" w:space="0" w:color="auto"/>
            </w:tcBorders>
          </w:tcPr>
          <w:p w14:paraId="117A95E1" w14:textId="0D82DAE9"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9877FF" w:rsidRPr="008B7392">
              <w:rPr>
                <w:rFonts w:ascii="Verdana" w:hAnsi="Verdana" w:cs="Arial"/>
                <w:bCs/>
                <w:color w:val="000000"/>
                <w:sz w:val="20"/>
                <w:szCs w:val="20"/>
              </w:rPr>
              <w:t>561,793</w:t>
            </w:r>
          </w:p>
        </w:tc>
        <w:tc>
          <w:tcPr>
            <w:tcW w:w="1318" w:type="dxa"/>
            <w:tcBorders>
              <w:bottom w:val="double" w:sz="4" w:space="0" w:color="auto"/>
            </w:tcBorders>
          </w:tcPr>
          <w:p w14:paraId="26D48865" w14:textId="0CB5CAE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797B884A"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5272DB" w:rsidRPr="008B7392">
              <w:rPr>
                <w:rFonts w:ascii="Verdana" w:hAnsi="Verdana" w:cs="Arial"/>
                <w:bCs/>
                <w:color w:val="000000"/>
                <w:sz w:val="20"/>
                <w:szCs w:val="20"/>
                <w:highlight w:val="yellow"/>
              </w:rPr>
              <w:t>196,801</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57855E00" w:rsidR="00B16082" w:rsidRPr="008B739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3273FBDE" w14:textId="499A9E95" w:rsidR="00BD49DA" w:rsidRDefault="00BD49DA"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BC2A580" w14:textId="05540482" w:rsidR="00EF5004" w:rsidRDefault="00EF500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33D9D03" w14:textId="77777777" w:rsidR="00EF5004" w:rsidRPr="008B7392" w:rsidRDefault="00EF500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1"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5D6CB2">
            <w:pPr>
              <w:pStyle w:val="Contenidodelatabla"/>
              <w:spacing w:after="0" w:line="240" w:lineRule="auto"/>
              <w:rPr>
                <w:rFonts w:ascii="Verdana" w:hAnsi="Verdana" w:cs="Arial"/>
                <w:sz w:val="20"/>
                <w:szCs w:val="20"/>
              </w:rPr>
            </w:pPr>
            <w:bookmarkStart w:id="12" w:name="_Hlk98755455"/>
            <w:bookmarkEnd w:id="11"/>
          </w:p>
        </w:tc>
        <w:tc>
          <w:tcPr>
            <w:tcW w:w="1559" w:type="dxa"/>
            <w:vAlign w:val="center"/>
          </w:tcPr>
          <w:p w14:paraId="3AE8B739" w14:textId="77777777" w:rsidR="000D0948" w:rsidRPr="008B7392" w:rsidRDefault="000D0948" w:rsidP="005D6CB2">
            <w:pPr>
              <w:pStyle w:val="Contenidodelatabla"/>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5D6CB2">
            <w:pPr>
              <w:pStyle w:val="Contenidodelatabla"/>
              <w:spacing w:after="0" w:line="240" w:lineRule="auto"/>
              <w:jc w:val="center"/>
              <w:rPr>
                <w:rFonts w:ascii="Verdana" w:hAnsi="Verdana" w:cs="Arial"/>
                <w:sz w:val="20"/>
                <w:szCs w:val="20"/>
                <w:u w:val="single"/>
              </w:rPr>
            </w:pPr>
          </w:p>
        </w:tc>
        <w:tc>
          <w:tcPr>
            <w:tcW w:w="1153" w:type="dxa"/>
            <w:vAlign w:val="center"/>
          </w:tcPr>
          <w:p w14:paraId="39385C85" w14:textId="5C9EBE2A" w:rsidR="000D0948" w:rsidRPr="008B7392" w:rsidRDefault="000D0948" w:rsidP="005D6CB2">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5D6CB2">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5D6CB2">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5D6CB2">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5D6CB2">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B16082">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B16082">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B16082">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B16082">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B16082">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B16082">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B16082">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3" w:name="_Hlk92785704"/>
      <w:bookmarkEnd w:id="12"/>
    </w:p>
    <w:p w14:paraId="5D4CF935" w14:textId="3F49DBA8"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 partir del 1º de enero del 2021 la compañía cambió el método utilizado para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4" w:name="_Hlk97718844"/>
    </w:p>
    <w:p w14:paraId="7B931BCD" w14:textId="7D07E7B2" w:rsidR="00B07B13" w:rsidRPr="008B7392"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p w14:paraId="33508EA7" w14:textId="77777777" w:rsidR="005D6CB2" w:rsidRPr="008B7392" w:rsidRDefault="005D6CB2" w:rsidP="00417505">
      <w:pPr>
        <w:tabs>
          <w:tab w:val="center" w:pos="6960"/>
          <w:tab w:val="center" w:pos="8400"/>
        </w:tabs>
        <w:spacing w:after="0"/>
        <w:jc w:val="both"/>
        <w:rPr>
          <w:rFonts w:ascii="Verdana" w:hAnsi="Verdana" w:cs="Arial"/>
          <w:bCs/>
          <w:color w:val="000000"/>
          <w:sz w:val="20"/>
          <w:szCs w:val="20"/>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417505">
            <w:pPr>
              <w:pStyle w:val="Contenidodelatabla"/>
              <w:spacing w:after="0" w:line="200" w:lineRule="exact"/>
              <w:rPr>
                <w:rFonts w:ascii="Verdana" w:hAnsi="Verdana" w:cs="Arial"/>
                <w:sz w:val="20"/>
                <w:szCs w:val="20"/>
              </w:rPr>
            </w:pPr>
            <w:bookmarkStart w:id="15" w:name="_Hlk97642571"/>
            <w:bookmarkEnd w:id="13"/>
            <w:bookmarkEnd w:id="14"/>
          </w:p>
        </w:tc>
        <w:tc>
          <w:tcPr>
            <w:tcW w:w="1467" w:type="dxa"/>
            <w:vAlign w:val="center"/>
          </w:tcPr>
          <w:p w14:paraId="3DA82AF1" w14:textId="77777777" w:rsidR="00B07B13" w:rsidRPr="008B7392" w:rsidRDefault="008A306B" w:rsidP="00417505">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417505">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417505">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5"/>
      <w:tr w:rsidR="005D2B72" w:rsidRPr="008B7392" w14:paraId="249BE428" w14:textId="77777777" w:rsidTr="00CC4252">
        <w:tc>
          <w:tcPr>
            <w:tcW w:w="4985" w:type="dxa"/>
            <w:vAlign w:val="center"/>
          </w:tcPr>
          <w:p w14:paraId="7F6C3A19" w14:textId="77777777" w:rsidR="005D2B72" w:rsidRPr="008B7392" w:rsidRDefault="005D2B72" w:rsidP="00B16082">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B16082">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B16082">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B16082">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B16082">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B16082">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B16082">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B16082">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B16082">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B16082">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F93805">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F93805">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F93805">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F93805">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F93805">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F93805">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F93805">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F93805">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F93805">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F93805">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3E09C473"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668F2C0A"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3D46286A"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6,960,594</w:t>
            </w:r>
          </w:p>
        </w:tc>
        <w:tc>
          <w:tcPr>
            <w:tcW w:w="130" w:type="dxa"/>
            <w:vAlign w:val="center"/>
          </w:tcPr>
          <w:p w14:paraId="4DB50677"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34C5E623"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103971"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2,659,170</w:t>
            </w:r>
          </w:p>
        </w:tc>
        <w:tc>
          <w:tcPr>
            <w:tcW w:w="130" w:type="dxa"/>
            <w:vAlign w:val="center"/>
          </w:tcPr>
          <w:p w14:paraId="4F15D40A"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1374765A"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68DE88DA"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vAlign w:val="center"/>
          </w:tcPr>
          <w:p w14:paraId="6C96976D"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4917B4">
            <w:pPr>
              <w:pStyle w:val="Contenidodelatabla"/>
              <w:spacing w:after="0" w:line="240" w:lineRule="auto"/>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4917B4">
            <w:pPr>
              <w:pStyle w:val="Contenidodelatabla"/>
              <w:spacing w:after="0" w:line="240" w:lineRule="auto"/>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4917B4">
            <w:pPr>
              <w:pStyle w:val="Contenidodelatabla"/>
              <w:spacing w:after="0" w:line="240" w:lineRule="auto"/>
              <w:jc w:val="right"/>
              <w:rPr>
                <w:rFonts w:ascii="Verdana" w:hAnsi="Verdana" w:cs="Arial"/>
                <w:sz w:val="20"/>
                <w:szCs w:val="20"/>
              </w:rPr>
            </w:pPr>
          </w:p>
        </w:tc>
        <w:tc>
          <w:tcPr>
            <w:tcW w:w="1937" w:type="dxa"/>
            <w:vAlign w:val="center"/>
          </w:tcPr>
          <w:p w14:paraId="6432BA36" w14:textId="6EDD42B8" w:rsidR="004917B4" w:rsidRPr="008B7392" w:rsidRDefault="00BF00FA" w:rsidP="004917B4">
            <w:pPr>
              <w:pStyle w:val="Contenidodelatabla"/>
              <w:spacing w:after="0" w:line="240" w:lineRule="auto"/>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4917B4">
            <w:pPr>
              <w:pStyle w:val="Contenidodelatabla"/>
              <w:spacing w:after="0" w:line="240" w:lineRule="auto"/>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4917B4">
            <w:pPr>
              <w:pStyle w:val="Contenidodelatabla"/>
              <w:spacing w:after="0" w:line="240" w:lineRule="auto"/>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4917B4">
            <w:pPr>
              <w:pStyle w:val="Contenidodelatabla"/>
              <w:spacing w:after="0" w:line="240" w:lineRule="auto"/>
              <w:jc w:val="right"/>
              <w:rPr>
                <w:rFonts w:ascii="Verdana" w:hAnsi="Verdana" w:cs="Arial"/>
                <w:sz w:val="20"/>
                <w:szCs w:val="20"/>
              </w:rPr>
            </w:pPr>
          </w:p>
        </w:tc>
        <w:tc>
          <w:tcPr>
            <w:tcW w:w="1937" w:type="dxa"/>
            <w:vAlign w:val="center"/>
          </w:tcPr>
          <w:p w14:paraId="30D93E27" w14:textId="61FB0C25" w:rsidR="004917B4" w:rsidRPr="008B7392" w:rsidRDefault="004917B4" w:rsidP="004917B4">
            <w:pPr>
              <w:pStyle w:val="Contenidodelatabla"/>
              <w:spacing w:after="0" w:line="240" w:lineRule="auto"/>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4917B4">
            <w:pPr>
              <w:pStyle w:val="Contenidodelatabla"/>
              <w:spacing w:after="0" w:line="240" w:lineRule="auto"/>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4917B4">
            <w:pPr>
              <w:pStyle w:val="Contenidodelatabla"/>
              <w:spacing w:after="0" w:line="240" w:lineRule="auto"/>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4917B4">
            <w:pPr>
              <w:pStyle w:val="Contenidodelatabla"/>
              <w:spacing w:after="0" w:line="240" w:lineRule="auto"/>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4917B4">
            <w:pPr>
              <w:pStyle w:val="Contenidodelatabla"/>
              <w:spacing w:after="0" w:line="240" w:lineRule="auto"/>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4917B4">
            <w:pPr>
              <w:pStyle w:val="Contenidodelatabla"/>
              <w:spacing w:after="0" w:line="240" w:lineRule="auto"/>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4917B4">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4917B4">
            <w:pPr>
              <w:pStyle w:val="Contenidodelatabla"/>
              <w:spacing w:after="0" w:line="240" w:lineRule="auto"/>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4917B4">
            <w:pPr>
              <w:pStyle w:val="Contenidodelatabla"/>
              <w:spacing w:after="0" w:line="240" w:lineRule="auto"/>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4917B4">
            <w:pPr>
              <w:pStyle w:val="Contenidodelatabla"/>
              <w:spacing w:after="0" w:line="240" w:lineRule="auto"/>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150B50AE" w14:textId="1CA6DE66" w:rsidR="00CF2220" w:rsidRPr="008B7392" w:rsidRDefault="00CF2220" w:rsidP="009F55D8">
      <w:pPr>
        <w:spacing w:after="0" w:line="240" w:lineRule="auto"/>
        <w:jc w:val="both"/>
        <w:rPr>
          <w:rFonts w:ascii="Verdana" w:hAnsi="Verdana" w:cs="Calibri"/>
          <w:sz w:val="20"/>
          <w:szCs w:val="20"/>
        </w:rPr>
      </w:pPr>
      <w:r w:rsidRPr="008B7392">
        <w:rPr>
          <w:rFonts w:ascii="Verdana" w:hAnsi="Verdana" w:cs="Calibri"/>
          <w:sz w:val="20"/>
          <w:szCs w:val="20"/>
        </w:rPr>
        <w:t>Al 31 de diciembre del 2021 y 2020 no se ha registrado ninguna p</w:t>
      </w:r>
      <w:r w:rsidR="00BD49DA" w:rsidRPr="008B7392">
        <w:rPr>
          <w:rFonts w:ascii="Verdana" w:hAnsi="Verdana" w:cs="Calibri"/>
          <w:sz w:val="20"/>
          <w:szCs w:val="20"/>
        </w:rPr>
        <w:t>e</w:t>
      </w:r>
      <w:r w:rsidRPr="008B7392">
        <w:rPr>
          <w:rFonts w:ascii="Verdana" w:hAnsi="Verdana" w:cs="Calibri"/>
          <w:sz w:val="20"/>
          <w:szCs w:val="20"/>
        </w:rPr>
        <w:t>rdida por deterioro de estos activos al no existir indicios de ello. Tampoco existen activos entregados en hipoteca o garantía de obligaciones con terceros.</w:t>
      </w:r>
    </w:p>
    <w:p w14:paraId="2B2A2C4C" w14:textId="77777777" w:rsidR="00D03AE0" w:rsidRPr="008B7392" w:rsidRDefault="00D03AE0" w:rsidP="00683CE9">
      <w:pPr>
        <w:spacing w:after="0" w:line="240" w:lineRule="auto"/>
        <w:jc w:val="both"/>
        <w:rPr>
          <w:rFonts w:ascii="Verdana" w:hAnsi="Verdana" w:cs="Calibri"/>
          <w:b/>
          <w:bCs/>
          <w:i/>
          <w:iCs/>
          <w:sz w:val="20"/>
          <w:szCs w:val="20"/>
        </w:rPr>
      </w:pPr>
    </w:p>
    <w:p w14:paraId="75C149C6" w14:textId="77777777" w:rsidR="004917B4" w:rsidRDefault="004917B4" w:rsidP="00683CE9">
      <w:pPr>
        <w:spacing w:after="0" w:line="240" w:lineRule="auto"/>
        <w:jc w:val="both"/>
        <w:rPr>
          <w:rFonts w:ascii="Verdana" w:hAnsi="Verdana" w:cs="Calibri"/>
          <w:b/>
          <w:bCs/>
          <w:i/>
          <w:iCs/>
          <w:sz w:val="20"/>
          <w:szCs w:val="20"/>
        </w:rPr>
      </w:pPr>
    </w:p>
    <w:p w14:paraId="6D1DDE8B" w14:textId="77777777" w:rsidR="004917B4" w:rsidRDefault="004917B4" w:rsidP="00683CE9">
      <w:pPr>
        <w:spacing w:after="0" w:line="240" w:lineRule="auto"/>
        <w:jc w:val="both"/>
        <w:rPr>
          <w:rFonts w:ascii="Verdana" w:hAnsi="Verdana" w:cs="Calibri"/>
          <w:b/>
          <w:bCs/>
          <w:i/>
          <w:iCs/>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lastRenderedPageBreak/>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9"/>
        <w:gridCol w:w="1547"/>
        <w:gridCol w:w="122"/>
        <w:gridCol w:w="1191"/>
      </w:tblGrid>
      <w:tr w:rsidR="00F73EB5" w:rsidRPr="008B7392" w14:paraId="5483EC06" w14:textId="77777777" w:rsidTr="00176E1F">
        <w:trPr>
          <w:trHeight w:val="266"/>
        </w:trPr>
        <w:tc>
          <w:tcPr>
            <w:tcW w:w="5739"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6" w:name="_Hlk98762347"/>
          </w:p>
        </w:tc>
        <w:tc>
          <w:tcPr>
            <w:tcW w:w="1547"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191"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176E1F">
        <w:trPr>
          <w:trHeight w:val="216"/>
        </w:trPr>
        <w:tc>
          <w:tcPr>
            <w:tcW w:w="5739"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47"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176E1F">
        <w:trPr>
          <w:trHeight w:val="216"/>
        </w:trPr>
        <w:tc>
          <w:tcPr>
            <w:tcW w:w="5739"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47"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F73EB5" w:rsidRPr="008B7392" w14:paraId="362DDCD1" w14:textId="77777777" w:rsidTr="00176E1F">
        <w:trPr>
          <w:trHeight w:val="216"/>
        </w:trPr>
        <w:tc>
          <w:tcPr>
            <w:tcW w:w="5739" w:type="dxa"/>
            <w:vAlign w:val="center"/>
          </w:tcPr>
          <w:p w14:paraId="58E16F66" w14:textId="7A938FF9"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Adiciones:</w:t>
            </w:r>
          </w:p>
        </w:tc>
        <w:tc>
          <w:tcPr>
            <w:tcW w:w="1547" w:type="dxa"/>
            <w:vAlign w:val="center"/>
          </w:tcPr>
          <w:p w14:paraId="5B7B7452" w14:textId="6F91949C"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2A2A4695"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vAlign w:val="center"/>
          </w:tcPr>
          <w:p w14:paraId="32E27EF9" w14:textId="15B8DA0B" w:rsidR="00F73EB5" w:rsidRPr="008B7392" w:rsidRDefault="00F73EB5" w:rsidP="00176E1F">
            <w:pPr>
              <w:pStyle w:val="Contenidodelatabla"/>
              <w:spacing w:after="0" w:line="200" w:lineRule="exact"/>
              <w:jc w:val="right"/>
              <w:rPr>
                <w:rFonts w:ascii="Verdana" w:hAnsi="Verdana"/>
                <w:sz w:val="20"/>
                <w:szCs w:val="20"/>
              </w:rPr>
            </w:pPr>
          </w:p>
        </w:tc>
      </w:tr>
      <w:tr w:rsidR="00F73EB5" w:rsidRPr="008B7392" w14:paraId="5A2747B0" w14:textId="77777777" w:rsidTr="00176E1F">
        <w:trPr>
          <w:trHeight w:val="199"/>
        </w:trPr>
        <w:tc>
          <w:tcPr>
            <w:tcW w:w="5739" w:type="dxa"/>
            <w:vAlign w:val="center"/>
          </w:tcPr>
          <w:p w14:paraId="187D06E9" w14:textId="2F5947DA"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 xml:space="preserve">   Construcciones en curso y maquinaria en montaje</w:t>
            </w:r>
          </w:p>
        </w:tc>
        <w:tc>
          <w:tcPr>
            <w:tcW w:w="1547" w:type="dxa"/>
            <w:vAlign w:val="center"/>
          </w:tcPr>
          <w:p w14:paraId="0F7EC8FA" w14:textId="75CD8DC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2,175,037</w:t>
            </w:r>
          </w:p>
        </w:tc>
        <w:tc>
          <w:tcPr>
            <w:tcW w:w="122" w:type="dxa"/>
            <w:vAlign w:val="center"/>
          </w:tcPr>
          <w:p w14:paraId="0DF0D85E"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vAlign w:val="center"/>
          </w:tcPr>
          <w:p w14:paraId="6BA954CE" w14:textId="14E86742" w:rsidR="00F73EB5"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32,793</w:t>
            </w:r>
          </w:p>
        </w:tc>
      </w:tr>
      <w:tr w:rsidR="00700222" w:rsidRPr="008B7392" w14:paraId="3CA054DC" w14:textId="77777777" w:rsidTr="00176E1F">
        <w:trPr>
          <w:trHeight w:val="199"/>
        </w:trPr>
        <w:tc>
          <w:tcPr>
            <w:tcW w:w="5739" w:type="dxa"/>
            <w:vAlign w:val="center"/>
          </w:tcPr>
          <w:p w14:paraId="7ACB2202" w14:textId="7FA244FA" w:rsidR="00700222" w:rsidRPr="008B7392" w:rsidRDefault="00700222" w:rsidP="00176E1F">
            <w:pPr>
              <w:pStyle w:val="Contenidodelatabla"/>
              <w:spacing w:after="0" w:line="200" w:lineRule="exact"/>
              <w:rPr>
                <w:rFonts w:ascii="Verdana" w:hAnsi="Verdana"/>
                <w:sz w:val="20"/>
                <w:szCs w:val="20"/>
              </w:rPr>
            </w:pPr>
            <w:r w:rsidRPr="008B7392">
              <w:rPr>
                <w:rFonts w:ascii="Verdana" w:hAnsi="Verdana"/>
                <w:sz w:val="20"/>
                <w:szCs w:val="20"/>
              </w:rPr>
              <w:t xml:space="preserve">   Maquinarias y equipos</w:t>
            </w:r>
          </w:p>
        </w:tc>
        <w:tc>
          <w:tcPr>
            <w:tcW w:w="1547" w:type="dxa"/>
            <w:vAlign w:val="center"/>
          </w:tcPr>
          <w:p w14:paraId="5DE499E4" w14:textId="0F3D19A4" w:rsidR="00700222" w:rsidRPr="008B7392" w:rsidRDefault="00700222"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2" w:type="dxa"/>
            <w:vAlign w:val="center"/>
          </w:tcPr>
          <w:p w14:paraId="25F0A0B6" w14:textId="77777777" w:rsidR="00700222" w:rsidRPr="008B7392" w:rsidRDefault="00700222" w:rsidP="00176E1F">
            <w:pPr>
              <w:pStyle w:val="Contenidodelatabla"/>
              <w:spacing w:after="0" w:line="200" w:lineRule="exact"/>
              <w:jc w:val="right"/>
              <w:rPr>
                <w:rFonts w:ascii="Verdana" w:hAnsi="Verdana" w:cs="Arial"/>
                <w:sz w:val="20"/>
                <w:szCs w:val="20"/>
              </w:rPr>
            </w:pPr>
          </w:p>
        </w:tc>
        <w:tc>
          <w:tcPr>
            <w:tcW w:w="1191" w:type="dxa"/>
            <w:vAlign w:val="center"/>
          </w:tcPr>
          <w:p w14:paraId="1B523AA4" w14:textId="681B98E4" w:rsidR="00700222"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434,586</w:t>
            </w:r>
          </w:p>
        </w:tc>
      </w:tr>
      <w:tr w:rsidR="00F73EB5" w:rsidRPr="008B7392" w14:paraId="6ECE4726" w14:textId="77777777" w:rsidTr="00176E1F">
        <w:trPr>
          <w:trHeight w:val="216"/>
        </w:trPr>
        <w:tc>
          <w:tcPr>
            <w:tcW w:w="5739" w:type="dxa"/>
            <w:vAlign w:val="center"/>
          </w:tcPr>
          <w:p w14:paraId="2FF617A9" w14:textId="15F9549B"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 xml:space="preserve">   Otras, principalmente vehículos </w:t>
            </w:r>
          </w:p>
        </w:tc>
        <w:tc>
          <w:tcPr>
            <w:tcW w:w="1547" w:type="dxa"/>
            <w:vAlign w:val="center"/>
          </w:tcPr>
          <w:p w14:paraId="0EF67761" w14:textId="3A4CD292"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112,269</w:t>
            </w:r>
          </w:p>
        </w:tc>
        <w:tc>
          <w:tcPr>
            <w:tcW w:w="122" w:type="dxa"/>
            <w:vAlign w:val="center"/>
          </w:tcPr>
          <w:p w14:paraId="204E7492"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vAlign w:val="center"/>
          </w:tcPr>
          <w:p w14:paraId="7CDABE95" w14:textId="3D78C452" w:rsidR="00F73EB5"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23,289</w:t>
            </w:r>
          </w:p>
        </w:tc>
      </w:tr>
      <w:tr w:rsidR="00F73EB5" w:rsidRPr="008B7392" w14:paraId="09758AFC" w14:textId="77777777" w:rsidTr="00176E1F">
        <w:trPr>
          <w:trHeight w:val="216"/>
        </w:trPr>
        <w:tc>
          <w:tcPr>
            <w:tcW w:w="5739"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47" w:type="dxa"/>
            <w:tcBorders>
              <w:bottom w:val="single" w:sz="4" w:space="0" w:color="auto"/>
            </w:tcBorders>
            <w:vAlign w:val="center"/>
          </w:tcPr>
          <w:p w14:paraId="768E368C" w14:textId="22A697F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(588,405)</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381247A" w14:textId="77777777" w:rsidTr="00176E1F">
        <w:trPr>
          <w:trHeight w:val="216"/>
        </w:trPr>
        <w:tc>
          <w:tcPr>
            <w:tcW w:w="5739" w:type="dxa"/>
            <w:tcBorders>
              <w:top w:val="single" w:sz="4" w:space="0" w:color="auto"/>
            </w:tcBorders>
            <w:vAlign w:val="center"/>
          </w:tcPr>
          <w:p w14:paraId="7D61975F" w14:textId="77777777" w:rsidR="00F73EB5" w:rsidRPr="008B7392" w:rsidRDefault="00F73EB5" w:rsidP="00176E1F">
            <w:pPr>
              <w:pStyle w:val="Contenidodelatabla"/>
              <w:spacing w:after="0" w:line="200" w:lineRule="exact"/>
              <w:rPr>
                <w:rFonts w:ascii="Verdana" w:hAnsi="Verdana"/>
                <w:sz w:val="20"/>
                <w:szCs w:val="20"/>
              </w:rPr>
            </w:pPr>
          </w:p>
        </w:tc>
        <w:tc>
          <w:tcPr>
            <w:tcW w:w="1547" w:type="dxa"/>
            <w:tcBorders>
              <w:top w:val="single" w:sz="4" w:space="0" w:color="auto"/>
            </w:tcBorders>
            <w:vAlign w:val="center"/>
          </w:tcPr>
          <w:p w14:paraId="23F90FB3"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tcBorders>
              <w:top w:val="single" w:sz="4" w:space="0" w:color="auto"/>
            </w:tcBorders>
            <w:vAlign w:val="center"/>
          </w:tcPr>
          <w:p w14:paraId="24DC06FE"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tcBorders>
              <w:top w:val="single" w:sz="4" w:space="0" w:color="auto"/>
            </w:tcBorders>
            <w:vAlign w:val="center"/>
          </w:tcPr>
          <w:p w14:paraId="28050442" w14:textId="77777777" w:rsidR="00F73EB5" w:rsidRPr="008B7392" w:rsidRDefault="00F73EB5" w:rsidP="00176E1F">
            <w:pPr>
              <w:pStyle w:val="Contenidodelatabla"/>
              <w:spacing w:after="0" w:line="200" w:lineRule="exact"/>
              <w:jc w:val="right"/>
              <w:rPr>
                <w:rFonts w:ascii="Verdana" w:hAnsi="Verdana"/>
                <w:sz w:val="20"/>
                <w:szCs w:val="20"/>
              </w:rPr>
            </w:pPr>
          </w:p>
        </w:tc>
      </w:tr>
      <w:tr w:rsidR="00F73EB5" w:rsidRPr="008B7392" w14:paraId="60C953E8" w14:textId="77777777" w:rsidTr="00176E1F">
        <w:trPr>
          <w:trHeight w:val="216"/>
        </w:trPr>
        <w:tc>
          <w:tcPr>
            <w:tcW w:w="5739"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47"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1"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bookmarkEnd w:id="16"/>
    </w:tbl>
    <w:p w14:paraId="16F822B6" w14:textId="77777777" w:rsidR="00F73EB5" w:rsidRPr="008B7392" w:rsidRDefault="00F73EB5" w:rsidP="007642C9">
      <w:pPr>
        <w:spacing w:after="0" w:line="240" w:lineRule="exact"/>
        <w:jc w:val="both"/>
        <w:rPr>
          <w:rFonts w:ascii="Verdana" w:hAnsi="Verdana" w:cs="Calibri"/>
          <w:b/>
          <w:bCs/>
          <w:sz w:val="20"/>
          <w:szCs w:val="20"/>
        </w:rPr>
      </w:pPr>
    </w:p>
    <w:p w14:paraId="7DF8A00A" w14:textId="2497B509"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ACTIVOS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02833A40" w:rsidR="001B29A1" w:rsidRPr="008B7392" w:rsidRDefault="001B29A1" w:rsidP="00176E1F">
      <w:pPr>
        <w:tabs>
          <w:tab w:val="left" w:pos="567"/>
        </w:tabs>
        <w:spacing w:after="0" w:line="200" w:lineRule="exact"/>
        <w:jc w:val="both"/>
        <w:rPr>
          <w:rFonts w:ascii="Verdana" w:hAnsi="Verdana" w:cs="Arial"/>
          <w:b/>
          <w:color w:val="FF0000"/>
          <w:sz w:val="20"/>
          <w:szCs w:val="20"/>
        </w:rPr>
      </w:pPr>
    </w:p>
    <w:p w14:paraId="59B65D9A" w14:textId="4CD4B670"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247674D0" w14:textId="094C331B"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Al 31 de diciembre del 2020 la Compañía reconoció activos por derechos de uso y pasivos por arrendamientos según la NIIF 16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 entre las partes</w:t>
      </w:r>
      <w:r w:rsidRPr="008B7392">
        <w:rPr>
          <w:rFonts w:ascii="Verdana" w:hAnsi="Verdana" w:cs="Arial"/>
          <w:bCs/>
          <w:sz w:val="20"/>
          <w:szCs w:val="20"/>
        </w:rPr>
        <w:t>. El activo por derecho de uso y pasivo por arrendamiento registrado al 31 de diciembre d</w:t>
      </w:r>
      <w:r w:rsidR="00A6535B" w:rsidRPr="008B7392">
        <w:rPr>
          <w:rFonts w:ascii="Verdana" w:hAnsi="Verdana" w:cs="Arial"/>
          <w:bCs/>
          <w:sz w:val="20"/>
          <w:szCs w:val="20"/>
        </w:rPr>
        <w:t>e</w:t>
      </w:r>
      <w:r w:rsidRPr="008B7392">
        <w:rPr>
          <w:rFonts w:ascii="Verdana" w:hAnsi="Verdana" w:cs="Arial"/>
          <w:bCs/>
          <w:sz w:val="20"/>
          <w:szCs w:val="20"/>
        </w:rPr>
        <w:t>l 2020 asciende a US$180,000.</w:t>
      </w:r>
    </w:p>
    <w:p w14:paraId="1B77FE85" w14:textId="77777777" w:rsidR="009877FF" w:rsidRPr="008B7392" w:rsidRDefault="009877FF" w:rsidP="00C55B7B">
      <w:pPr>
        <w:tabs>
          <w:tab w:val="left" w:pos="567"/>
        </w:tabs>
        <w:spacing w:after="0" w:line="240" w:lineRule="auto"/>
        <w:jc w:val="both"/>
        <w:rPr>
          <w:rFonts w:ascii="Verdana" w:hAnsi="Verdana" w:cs="Arial"/>
          <w:b/>
          <w:color w:val="FF0000"/>
          <w:sz w:val="20"/>
          <w:szCs w:val="20"/>
        </w:rPr>
      </w:pPr>
    </w:p>
    <w:p w14:paraId="21D6991A" w14:textId="4C2FC980"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7"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176E1F">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176E1F">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176E1F">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285E361A" w:rsidR="004D4676" w:rsidRPr="008B7392" w:rsidRDefault="008C0BF3"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2,737,578</w:t>
            </w:r>
          </w:p>
        </w:tc>
        <w:tc>
          <w:tcPr>
            <w:tcW w:w="123" w:type="dxa"/>
            <w:vAlign w:val="center"/>
          </w:tcPr>
          <w:p w14:paraId="459D26FD"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176E1F">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176E1F">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176E1F">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176E1F">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176E1F">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02BF7404" w:rsidR="004D4676" w:rsidRPr="008B7392" w:rsidRDefault="00DE3086"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9,724,766</w:t>
            </w:r>
          </w:p>
        </w:tc>
        <w:tc>
          <w:tcPr>
            <w:tcW w:w="123" w:type="dxa"/>
            <w:tcBorders>
              <w:top w:val="single" w:sz="4" w:space="0" w:color="auto"/>
            </w:tcBorders>
            <w:vAlign w:val="center"/>
          </w:tcPr>
          <w:p w14:paraId="54947225"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176E1F">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24AF58C0" w14:textId="6AC1BA4A" w:rsidR="004D4676" w:rsidRPr="008B7392" w:rsidRDefault="004D4676" w:rsidP="00176E1F">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176E1F">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176E1F">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vAlign w:val="center"/>
          </w:tcPr>
          <w:p w14:paraId="509026A0" w14:textId="63D68B0D" w:rsidR="004D4676" w:rsidRPr="008B7392" w:rsidRDefault="00F66F18" w:rsidP="00176E1F">
            <w:pPr>
              <w:pStyle w:val="Contenidodelatabla"/>
              <w:spacing w:after="0" w:line="200" w:lineRule="exact"/>
              <w:jc w:val="right"/>
              <w:rPr>
                <w:rFonts w:ascii="Verdana" w:hAnsi="Verdana"/>
                <w:sz w:val="20"/>
                <w:szCs w:val="20"/>
              </w:rPr>
            </w:pPr>
            <w:r w:rsidRPr="008B7392">
              <w:rPr>
                <w:rFonts w:ascii="Verdana" w:hAnsi="Verdana"/>
                <w:sz w:val="20"/>
                <w:szCs w:val="20"/>
              </w:rPr>
              <w:t>2,587,918</w:t>
            </w:r>
          </w:p>
        </w:tc>
      </w:tr>
      <w:tr w:rsidR="00EF5004" w:rsidRPr="008B7392" w14:paraId="3D9F3740" w14:textId="77777777" w:rsidTr="00012A3E">
        <w:trPr>
          <w:trHeight w:val="206"/>
        </w:trPr>
        <w:tc>
          <w:tcPr>
            <w:tcW w:w="5769" w:type="dxa"/>
            <w:vAlign w:val="center"/>
          </w:tcPr>
          <w:p w14:paraId="65FE9A06" w14:textId="0795082E" w:rsidR="00EF5004" w:rsidRPr="008B7392" w:rsidRDefault="00EF5004" w:rsidP="00176E1F">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p>
        </w:tc>
        <w:tc>
          <w:tcPr>
            <w:tcW w:w="1557" w:type="dxa"/>
            <w:vAlign w:val="center"/>
          </w:tcPr>
          <w:p w14:paraId="7367CD37" w14:textId="04EAB9C7" w:rsidR="00EF5004" w:rsidRPr="008B7392" w:rsidRDefault="00EF5004" w:rsidP="00176E1F">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176E1F">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176E1F">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176E1F">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37F1333D" w:rsidR="004D4676"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3,165,830</w:t>
            </w:r>
          </w:p>
        </w:tc>
        <w:tc>
          <w:tcPr>
            <w:tcW w:w="123" w:type="dxa"/>
            <w:tcBorders>
              <w:bottom w:val="single" w:sz="4" w:space="0" w:color="auto"/>
            </w:tcBorders>
            <w:vAlign w:val="center"/>
          </w:tcPr>
          <w:p w14:paraId="7C0796A6"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619CB139" w:rsidR="004D4676" w:rsidRPr="008B7392" w:rsidRDefault="00F66F18" w:rsidP="00176E1F">
            <w:pPr>
              <w:pStyle w:val="Contenidodelatabla"/>
              <w:spacing w:after="0" w:line="200" w:lineRule="exact"/>
              <w:jc w:val="right"/>
              <w:rPr>
                <w:rFonts w:ascii="Verdana" w:hAnsi="Verdana"/>
                <w:sz w:val="20"/>
                <w:szCs w:val="20"/>
              </w:rPr>
            </w:pPr>
            <w:r w:rsidRPr="008B7392">
              <w:rPr>
                <w:rFonts w:ascii="Verdana" w:hAnsi="Verdana"/>
                <w:sz w:val="20"/>
                <w:szCs w:val="20"/>
              </w:rPr>
              <w:t>1,005,327</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176E1F">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4F9A06B5" w:rsidR="004D4676" w:rsidRPr="008B7392" w:rsidRDefault="008C0BF3"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890,596</w:t>
            </w:r>
          </w:p>
        </w:tc>
        <w:tc>
          <w:tcPr>
            <w:tcW w:w="123" w:type="dxa"/>
            <w:tcBorders>
              <w:top w:val="single" w:sz="4" w:space="0" w:color="auto"/>
              <w:bottom w:val="double" w:sz="4" w:space="0" w:color="auto"/>
            </w:tcBorders>
            <w:vAlign w:val="center"/>
          </w:tcPr>
          <w:p w14:paraId="255361A1" w14:textId="77777777" w:rsidR="004D4676" w:rsidRPr="008B7392" w:rsidRDefault="004D4676" w:rsidP="00176E1F">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176E1F">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7"/>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1DC66FA4" w14:textId="00532A90" w:rsidR="00012A3E" w:rsidRDefault="00012A3E" w:rsidP="00B80B46">
      <w:pPr>
        <w:pStyle w:val="Prrafodelista"/>
        <w:numPr>
          <w:ilvl w:val="0"/>
          <w:numId w:val="17"/>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 xml:space="preserve">En el año 2021 la compañía ajustó </w:t>
      </w:r>
      <w:r w:rsidR="005E2518" w:rsidRPr="008B7392">
        <w:rPr>
          <w:rFonts w:ascii="Verdana" w:hAnsi="Verdana" w:cs="Arial"/>
          <w:color w:val="000000"/>
          <w:sz w:val="20"/>
          <w:szCs w:val="20"/>
        </w:rPr>
        <w:t xml:space="preserve">contra patrimonio </w:t>
      </w:r>
      <w:r w:rsidRPr="008B7392">
        <w:rPr>
          <w:rFonts w:ascii="Verdana" w:hAnsi="Verdana" w:cs="Arial"/>
          <w:color w:val="000000"/>
          <w:sz w:val="20"/>
          <w:szCs w:val="20"/>
        </w:rPr>
        <w:t>US$</w:t>
      </w:r>
      <w:r w:rsidR="00700222" w:rsidRPr="008B7392">
        <w:rPr>
          <w:rFonts w:ascii="Verdana" w:hAnsi="Verdana" w:cs="Arial"/>
          <w:color w:val="000000"/>
          <w:sz w:val="20"/>
          <w:szCs w:val="20"/>
        </w:rPr>
        <w:t>2,587,918</w:t>
      </w:r>
      <w:r w:rsidRPr="008B7392">
        <w:rPr>
          <w:rFonts w:ascii="Verdana" w:hAnsi="Verdana" w:cs="Arial"/>
          <w:color w:val="000000"/>
          <w:sz w:val="20"/>
          <w:szCs w:val="20"/>
        </w:rPr>
        <w:t xml:space="preserve"> de saldos de cuentas por pagar provenientes de años anteriores que ya no eran exigibles por los acreedores.</w:t>
      </w:r>
    </w:p>
    <w:p w14:paraId="11948226" w14:textId="77777777" w:rsidR="00965187" w:rsidRDefault="00965187" w:rsidP="00965187">
      <w:pPr>
        <w:pStyle w:val="Prrafodelista"/>
        <w:tabs>
          <w:tab w:val="left" w:pos="284"/>
        </w:tabs>
        <w:ind w:left="0"/>
        <w:jc w:val="both"/>
        <w:rPr>
          <w:rFonts w:ascii="Verdana" w:hAnsi="Verdana" w:cs="Arial"/>
          <w:color w:val="000000"/>
          <w:sz w:val="20"/>
          <w:szCs w:val="20"/>
        </w:rPr>
      </w:pPr>
    </w:p>
    <w:p w14:paraId="2FD7AEA1" w14:textId="2B9BD942" w:rsidR="00965187" w:rsidRPr="008B7392" w:rsidRDefault="00965187" w:rsidP="00B80B46">
      <w:pPr>
        <w:pStyle w:val="Prrafodelista"/>
        <w:numPr>
          <w:ilvl w:val="0"/>
          <w:numId w:val="17"/>
        </w:numPr>
        <w:tabs>
          <w:tab w:val="left" w:pos="284"/>
        </w:tabs>
        <w:ind w:left="0" w:firstLine="0"/>
        <w:jc w:val="both"/>
        <w:rPr>
          <w:rFonts w:ascii="Verdana" w:hAnsi="Verdana" w:cs="Arial"/>
          <w:color w:val="000000"/>
          <w:sz w:val="20"/>
          <w:szCs w:val="20"/>
        </w:rPr>
      </w:pPr>
      <w:r>
        <w:rPr>
          <w:rFonts w:ascii="Verdana" w:hAnsi="Verdana" w:cs="Arial"/>
          <w:color w:val="000000"/>
          <w:sz w:val="20"/>
          <w:szCs w:val="20"/>
        </w:rPr>
        <w:t>En noviembre d</w:t>
      </w:r>
      <w:r w:rsidR="000A29AF">
        <w:rPr>
          <w:rFonts w:ascii="Verdana" w:hAnsi="Verdana" w:cs="Arial"/>
          <w:color w:val="000000"/>
          <w:sz w:val="20"/>
          <w:szCs w:val="20"/>
        </w:rPr>
        <w:t>e</w:t>
      </w:r>
      <w:r>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p>
    <w:p w14:paraId="03B4D064" w14:textId="2B54E531" w:rsidR="005E2518" w:rsidRDefault="005E2518" w:rsidP="005E2518">
      <w:pPr>
        <w:tabs>
          <w:tab w:val="left" w:pos="284"/>
        </w:tabs>
        <w:spacing w:after="0"/>
        <w:jc w:val="both"/>
        <w:rPr>
          <w:rFonts w:ascii="Verdana" w:hAnsi="Verdana" w:cs="Arial"/>
          <w:color w:val="000000"/>
          <w:sz w:val="20"/>
          <w:szCs w:val="20"/>
        </w:rPr>
      </w:pPr>
    </w:p>
    <w:p w14:paraId="1136726F" w14:textId="57FF44E4" w:rsidR="00B07B13" w:rsidRPr="008B7392" w:rsidRDefault="008A306B" w:rsidP="005E251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5E251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5E251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5E251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5E251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8"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19"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8"/>
      <w:bookmarkEnd w:id="19"/>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0"/>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77777777" w:rsidR="007E3738" w:rsidRPr="008B7392"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 xml:space="preserve">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w:t>
      </w:r>
      <w:r w:rsidRPr="008B7392">
        <w:rPr>
          <w:rFonts w:ascii="Verdana" w:hAnsi="Verdana" w:cs="Calibri"/>
          <w:color w:val="000000"/>
          <w:sz w:val="20"/>
          <w:szCs w:val="20"/>
        </w:rPr>
        <w:lastRenderedPageBreak/>
        <w:t>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8131F6D" w14:textId="20A97D27" w:rsidR="00EF5004" w:rsidRDefault="00EF5004" w:rsidP="00065DC0">
      <w:pPr>
        <w:tabs>
          <w:tab w:val="left" w:pos="567"/>
        </w:tabs>
        <w:spacing w:after="0" w:line="240" w:lineRule="auto"/>
        <w:jc w:val="both"/>
        <w:rPr>
          <w:rFonts w:ascii="Verdana" w:hAnsi="Verdana" w:cs="Arial"/>
          <w:bCs/>
          <w:color w:val="000000"/>
          <w:sz w:val="20"/>
          <w:szCs w:val="20"/>
        </w:rPr>
      </w:pP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600DE3">
            <w:pPr>
              <w:pStyle w:val="Contenidodelatabla"/>
              <w:spacing w:after="0" w:line="200" w:lineRule="exact"/>
              <w:rPr>
                <w:rFonts w:ascii="Verdana" w:hAnsi="Verdana" w:cs="Arial"/>
                <w:sz w:val="20"/>
                <w:szCs w:val="20"/>
              </w:rPr>
            </w:pPr>
          </w:p>
        </w:tc>
        <w:tc>
          <w:tcPr>
            <w:tcW w:w="1565" w:type="dxa"/>
            <w:vAlign w:val="center"/>
          </w:tcPr>
          <w:p w14:paraId="3E8921B5" w14:textId="77777777" w:rsidR="007E3738" w:rsidRPr="008B7392" w:rsidRDefault="007E3738" w:rsidP="00600DE3">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04" w:type="dxa"/>
            <w:vAlign w:val="center"/>
          </w:tcPr>
          <w:p w14:paraId="5EC0AA37" w14:textId="77777777" w:rsidR="007E3738" w:rsidRPr="008B7392" w:rsidRDefault="007E3738" w:rsidP="00600DE3">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600DE3">
            <w:pPr>
              <w:pStyle w:val="Contenidodelatabla"/>
              <w:spacing w:after="0" w:line="200" w:lineRule="exact"/>
              <w:rPr>
                <w:rFonts w:ascii="Verdana" w:hAnsi="Verdana" w:cs="Arial"/>
                <w:sz w:val="20"/>
                <w:szCs w:val="20"/>
              </w:rPr>
            </w:pPr>
          </w:p>
        </w:tc>
        <w:tc>
          <w:tcPr>
            <w:tcW w:w="1565" w:type="dxa"/>
            <w:vAlign w:val="center"/>
          </w:tcPr>
          <w:p w14:paraId="31253AF4"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3" w:type="dxa"/>
            <w:vAlign w:val="center"/>
          </w:tcPr>
          <w:p w14:paraId="7C537C8D"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04" w:type="dxa"/>
            <w:vAlign w:val="center"/>
          </w:tcPr>
          <w:p w14:paraId="29DE2C3A" w14:textId="77777777" w:rsidR="007E3738" w:rsidRPr="008B7392" w:rsidRDefault="007E3738" w:rsidP="00600DE3">
            <w:pPr>
              <w:pStyle w:val="Contenidodelatabla"/>
              <w:spacing w:after="0" w:line="200" w:lineRule="exact"/>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56BAB7C8" w14:textId="5EEDBC72"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78615760" w14:textId="27434044"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33D48B5E" w14:textId="49745273"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Otros resultados integrales ORI</w:t>
            </w:r>
          </w:p>
        </w:tc>
        <w:tc>
          <w:tcPr>
            <w:tcW w:w="1565" w:type="dxa"/>
            <w:vAlign w:val="center"/>
          </w:tcPr>
          <w:p w14:paraId="37E8371B" w14:textId="45EB4DB2" w:rsidR="007E3738" w:rsidRPr="008B7392" w:rsidRDefault="007E3738" w:rsidP="00600DE3">
            <w:pPr>
              <w:pStyle w:val="Contenidodelatabla"/>
              <w:spacing w:after="0" w:line="200" w:lineRule="exact"/>
              <w:jc w:val="right"/>
              <w:rPr>
                <w:rFonts w:ascii="Verdana" w:hAnsi="Verdana" w:cs="Arial"/>
                <w:sz w:val="20"/>
                <w:szCs w:val="20"/>
                <w:highlight w:val="yellow"/>
              </w:rPr>
            </w:pPr>
            <w:r w:rsidRPr="008B7392">
              <w:rPr>
                <w:rFonts w:ascii="Verdana" w:hAnsi="Verdana" w:cs="Arial"/>
                <w:sz w:val="20"/>
                <w:szCs w:val="20"/>
                <w:highlight w:val="yellow"/>
              </w:rPr>
              <w:t>16,936</w:t>
            </w:r>
          </w:p>
        </w:tc>
        <w:tc>
          <w:tcPr>
            <w:tcW w:w="123" w:type="dxa"/>
            <w:vAlign w:val="center"/>
          </w:tcPr>
          <w:p w14:paraId="6296E418" w14:textId="77777777" w:rsidR="007E3738" w:rsidRPr="008B7392" w:rsidRDefault="007E3738" w:rsidP="00600DE3">
            <w:pPr>
              <w:pStyle w:val="Contenidodelatabla"/>
              <w:spacing w:after="0" w:line="200" w:lineRule="exact"/>
              <w:jc w:val="right"/>
              <w:rPr>
                <w:rFonts w:ascii="Verdana" w:hAnsi="Verdana" w:cs="Arial"/>
                <w:sz w:val="20"/>
                <w:szCs w:val="20"/>
                <w:highlight w:val="yellow"/>
              </w:rPr>
            </w:pPr>
          </w:p>
        </w:tc>
        <w:tc>
          <w:tcPr>
            <w:tcW w:w="1204" w:type="dxa"/>
            <w:vAlign w:val="center"/>
          </w:tcPr>
          <w:p w14:paraId="51B94C07" w14:textId="2AF0E442" w:rsidR="007E3738" w:rsidRPr="008B7392" w:rsidRDefault="007E3738" w:rsidP="00600DE3">
            <w:pPr>
              <w:pStyle w:val="Contenidodelatabla"/>
              <w:spacing w:after="0" w:line="200" w:lineRule="exact"/>
              <w:jc w:val="right"/>
              <w:rPr>
                <w:rFonts w:ascii="Verdana" w:hAnsi="Verdana"/>
                <w:sz w:val="20"/>
                <w:szCs w:val="20"/>
                <w:highlight w:val="yellow"/>
              </w:rPr>
            </w:pPr>
            <w:r w:rsidRPr="008B7392">
              <w:rPr>
                <w:rFonts w:ascii="Verdana" w:hAnsi="Verdana"/>
                <w:sz w:val="20"/>
                <w:szCs w:val="20"/>
                <w:highlight w:val="yellow"/>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065DC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1"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1"/>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2"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201AC">
            <w:pPr>
              <w:pStyle w:val="Contenidodelatabla"/>
              <w:spacing w:after="0" w:line="240" w:lineRule="auto"/>
              <w:rPr>
                <w:rFonts w:ascii="Verdana" w:hAnsi="Verdana" w:cs="Arial"/>
                <w:sz w:val="20"/>
                <w:szCs w:val="20"/>
              </w:rPr>
            </w:pPr>
            <w:bookmarkStart w:id="23" w:name="_Hlk98759480"/>
          </w:p>
        </w:tc>
        <w:tc>
          <w:tcPr>
            <w:tcW w:w="1546" w:type="dxa"/>
            <w:vAlign w:val="center"/>
          </w:tcPr>
          <w:p w14:paraId="1ABAFC9B"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201AC">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201AC">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vAlign w:val="center"/>
          </w:tcPr>
          <w:p w14:paraId="6DE31C5E" w14:textId="67ED5FD3"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vAlign w:val="center"/>
          </w:tcPr>
          <w:p w14:paraId="2BF89920" w14:textId="61730608"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626,400</w:t>
            </w:r>
          </w:p>
        </w:tc>
      </w:tr>
      <w:bookmarkEnd w:id="22"/>
      <w:bookmarkEnd w:id="23"/>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8B7392" w14:paraId="6B4F39CA" w14:textId="77777777" w:rsidTr="007201AC">
        <w:trPr>
          <w:trHeight w:val="254"/>
        </w:trPr>
        <w:tc>
          <w:tcPr>
            <w:tcW w:w="5769" w:type="dxa"/>
            <w:vAlign w:val="center"/>
          </w:tcPr>
          <w:p w14:paraId="2DEB310D" w14:textId="77777777" w:rsidR="00677CB6" w:rsidRPr="008B7392" w:rsidRDefault="00677CB6" w:rsidP="007201AC">
            <w:pPr>
              <w:pStyle w:val="Contenidodelatabla"/>
              <w:spacing w:after="0" w:line="240" w:lineRule="auto"/>
              <w:rPr>
                <w:rFonts w:ascii="Verdana" w:hAnsi="Verdana" w:cs="Arial"/>
                <w:sz w:val="20"/>
                <w:szCs w:val="20"/>
              </w:rPr>
            </w:pPr>
          </w:p>
        </w:tc>
        <w:tc>
          <w:tcPr>
            <w:tcW w:w="1557" w:type="dxa"/>
            <w:vAlign w:val="center"/>
          </w:tcPr>
          <w:p w14:paraId="32C598F7"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6189FC0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5961FD1"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7201AC">
        <w:trPr>
          <w:trHeight w:val="254"/>
        </w:trPr>
        <w:tc>
          <w:tcPr>
            <w:tcW w:w="5769" w:type="dxa"/>
            <w:vAlign w:val="center"/>
          </w:tcPr>
          <w:p w14:paraId="5968E24F" w14:textId="77777777" w:rsidR="00677CB6" w:rsidRPr="008B7392" w:rsidRDefault="00677CB6" w:rsidP="007201AC">
            <w:pPr>
              <w:pStyle w:val="Contenidodelatabla"/>
              <w:spacing w:after="0" w:line="240" w:lineRule="auto"/>
              <w:rPr>
                <w:rFonts w:ascii="Verdana" w:hAnsi="Verdana" w:cs="Arial"/>
                <w:sz w:val="20"/>
                <w:szCs w:val="20"/>
              </w:rPr>
            </w:pPr>
          </w:p>
        </w:tc>
        <w:tc>
          <w:tcPr>
            <w:tcW w:w="1557" w:type="dxa"/>
            <w:vAlign w:val="center"/>
          </w:tcPr>
          <w:p w14:paraId="27BEC82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23" w:type="dxa"/>
            <w:vAlign w:val="center"/>
          </w:tcPr>
          <w:p w14:paraId="5D10E5F1"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6C5238B9" w14:textId="77777777" w:rsidR="00677CB6" w:rsidRPr="008B7392" w:rsidRDefault="00677CB6" w:rsidP="007201AC">
            <w:pPr>
              <w:pStyle w:val="Contenidodelatabla"/>
              <w:spacing w:after="0" w:line="240" w:lineRule="auto"/>
              <w:jc w:val="center"/>
              <w:rPr>
                <w:rFonts w:ascii="Verdana" w:hAnsi="Verdana" w:cs="Arial"/>
                <w:sz w:val="20"/>
                <w:szCs w:val="20"/>
              </w:rPr>
            </w:pPr>
          </w:p>
        </w:tc>
      </w:tr>
      <w:tr w:rsidR="00677CB6" w:rsidRPr="008B7392" w14:paraId="7C4CBB8D" w14:textId="77777777" w:rsidTr="007201AC">
        <w:trPr>
          <w:trHeight w:val="206"/>
        </w:trPr>
        <w:tc>
          <w:tcPr>
            <w:tcW w:w="5769" w:type="dxa"/>
            <w:vAlign w:val="center"/>
          </w:tcPr>
          <w:p w14:paraId="08BA438F" w14:textId="3678AFA9"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Utilidades de años anteriores</w:t>
            </w:r>
          </w:p>
        </w:tc>
        <w:tc>
          <w:tcPr>
            <w:tcW w:w="1557" w:type="dxa"/>
            <w:vAlign w:val="center"/>
          </w:tcPr>
          <w:p w14:paraId="6CBE71C1" w14:textId="39699213"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0,182,160</w:t>
            </w:r>
          </w:p>
        </w:tc>
        <w:tc>
          <w:tcPr>
            <w:tcW w:w="123" w:type="dxa"/>
            <w:vAlign w:val="center"/>
          </w:tcPr>
          <w:p w14:paraId="611EEAC7"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7A21C342" w14:textId="6805BC69"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7201AC">
        <w:trPr>
          <w:trHeight w:val="206"/>
        </w:trPr>
        <w:tc>
          <w:tcPr>
            <w:tcW w:w="5769" w:type="dxa"/>
            <w:vAlign w:val="center"/>
          </w:tcPr>
          <w:p w14:paraId="636183E8" w14:textId="0F20BD44" w:rsidR="00677CB6" w:rsidRPr="008B7392" w:rsidRDefault="000661FB" w:rsidP="007201AC">
            <w:pPr>
              <w:pStyle w:val="Contenidodelatabla"/>
              <w:spacing w:after="0" w:line="200" w:lineRule="exact"/>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w:t>
            </w:r>
            <w:proofErr w:type="gramStart"/>
            <w:r w:rsidR="005352B0" w:rsidRPr="008B7392">
              <w:rPr>
                <w:rFonts w:ascii="Verdana" w:hAnsi="Verdana"/>
                <w:sz w:val="20"/>
                <w:szCs w:val="20"/>
              </w:rPr>
              <w:t xml:space="preserve">   (</w:t>
            </w:r>
            <w:proofErr w:type="gramEnd"/>
            <w:r w:rsidR="005352B0" w:rsidRPr="008B7392">
              <w:rPr>
                <w:rFonts w:ascii="Verdana" w:hAnsi="Verdana"/>
                <w:sz w:val="20"/>
                <w:szCs w:val="20"/>
              </w:rPr>
              <w:t>1)</w:t>
            </w:r>
          </w:p>
        </w:tc>
        <w:tc>
          <w:tcPr>
            <w:tcW w:w="1557" w:type="dxa"/>
            <w:vAlign w:val="center"/>
          </w:tcPr>
          <w:p w14:paraId="2F0E5078" w14:textId="62173DAD"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27,786</w:t>
            </w:r>
          </w:p>
        </w:tc>
        <w:tc>
          <w:tcPr>
            <w:tcW w:w="123" w:type="dxa"/>
            <w:vAlign w:val="center"/>
          </w:tcPr>
          <w:p w14:paraId="5331E8BB"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3CBA1F4E" w14:textId="0417D146"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7201AC">
        <w:trPr>
          <w:trHeight w:val="206"/>
        </w:trPr>
        <w:tc>
          <w:tcPr>
            <w:tcW w:w="5769" w:type="dxa"/>
            <w:vAlign w:val="center"/>
          </w:tcPr>
          <w:p w14:paraId="50E7A81E" w14:textId="490A378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w:t>
            </w:r>
            <w:proofErr w:type="gramStart"/>
            <w:r w:rsidR="005352B0" w:rsidRPr="008B7392">
              <w:rPr>
                <w:rFonts w:ascii="Verdana" w:hAnsi="Verdana"/>
                <w:sz w:val="20"/>
                <w:szCs w:val="20"/>
              </w:rPr>
              <w:t xml:space="preserve">   (</w:t>
            </w:r>
            <w:proofErr w:type="gramEnd"/>
            <w:r w:rsidR="005352B0" w:rsidRPr="008B7392">
              <w:rPr>
                <w:rFonts w:ascii="Verdana" w:hAnsi="Verdana"/>
                <w:sz w:val="20"/>
                <w:szCs w:val="20"/>
              </w:rPr>
              <w:t>1)</w:t>
            </w:r>
          </w:p>
        </w:tc>
        <w:tc>
          <w:tcPr>
            <w:tcW w:w="1557" w:type="dxa"/>
            <w:vAlign w:val="center"/>
          </w:tcPr>
          <w:p w14:paraId="62295918" w14:textId="0D9651C7"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971,339</w:t>
            </w:r>
          </w:p>
        </w:tc>
        <w:tc>
          <w:tcPr>
            <w:tcW w:w="123" w:type="dxa"/>
            <w:vAlign w:val="center"/>
          </w:tcPr>
          <w:p w14:paraId="674BD18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62B1D96B" w14:textId="17660447"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5E1F38">
        <w:trPr>
          <w:trHeight w:val="206"/>
        </w:trPr>
        <w:tc>
          <w:tcPr>
            <w:tcW w:w="5769" w:type="dxa"/>
            <w:tcBorders>
              <w:bottom w:val="single" w:sz="4" w:space="0" w:color="auto"/>
            </w:tcBorders>
            <w:vAlign w:val="center"/>
          </w:tcPr>
          <w:p w14:paraId="26C404BD" w14:textId="7098D649" w:rsidR="00677CB6" w:rsidRPr="008B7392" w:rsidRDefault="00677CB6" w:rsidP="000661FB">
            <w:pPr>
              <w:pStyle w:val="Contenidodelatabla"/>
              <w:spacing w:after="0" w:line="240" w:lineRule="exact"/>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57" w:type="dxa"/>
            <w:tcBorders>
              <w:bottom w:val="single" w:sz="4" w:space="0" w:color="auto"/>
            </w:tcBorders>
            <w:vAlign w:val="center"/>
          </w:tcPr>
          <w:p w14:paraId="48F68B85" w14:textId="1F061A8D" w:rsidR="00677CB6" w:rsidRPr="008B7392" w:rsidRDefault="00191D52" w:rsidP="002B458D">
            <w:pPr>
              <w:pStyle w:val="Contenidodelatabla"/>
              <w:spacing w:after="0" w:line="240" w:lineRule="exact"/>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A047BF" w:rsidRPr="008B7392">
              <w:rPr>
                <w:rFonts w:ascii="Verdana" w:hAnsi="Verdana" w:cs="Arial"/>
                <w:sz w:val="20"/>
                <w:szCs w:val="20"/>
              </w:rPr>
              <w:t>119,336</w:t>
            </w:r>
          </w:p>
        </w:tc>
        <w:tc>
          <w:tcPr>
            <w:tcW w:w="123" w:type="dxa"/>
            <w:tcBorders>
              <w:bottom w:val="single" w:sz="4" w:space="0" w:color="auto"/>
            </w:tcBorders>
            <w:vAlign w:val="center"/>
          </w:tcPr>
          <w:p w14:paraId="35534462" w14:textId="77777777" w:rsidR="00677CB6" w:rsidRPr="008B7392" w:rsidRDefault="00677CB6" w:rsidP="000661FB">
            <w:pPr>
              <w:pStyle w:val="Contenidodelatabla"/>
              <w:spacing w:after="0" w:line="240" w:lineRule="exact"/>
              <w:jc w:val="right"/>
              <w:rPr>
                <w:rFonts w:ascii="Verdana" w:hAnsi="Verdana" w:cs="Arial"/>
                <w:sz w:val="20"/>
                <w:szCs w:val="20"/>
              </w:rPr>
            </w:pPr>
          </w:p>
        </w:tc>
        <w:tc>
          <w:tcPr>
            <w:tcW w:w="1198" w:type="dxa"/>
            <w:tcBorders>
              <w:bottom w:val="single" w:sz="4" w:space="0" w:color="auto"/>
            </w:tcBorders>
            <w:vAlign w:val="center"/>
          </w:tcPr>
          <w:p w14:paraId="56733FFD" w14:textId="1F35FF5E" w:rsidR="00677CB6" w:rsidRPr="008B7392" w:rsidRDefault="00191D52" w:rsidP="00191D52">
            <w:pPr>
              <w:pStyle w:val="Contenidodelatabla"/>
              <w:spacing w:after="0" w:line="240" w:lineRule="exact"/>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5E1F38">
        <w:trPr>
          <w:trHeight w:val="206"/>
        </w:trPr>
        <w:tc>
          <w:tcPr>
            <w:tcW w:w="5769" w:type="dxa"/>
            <w:tcBorders>
              <w:top w:val="single" w:sz="4" w:space="0" w:color="auto"/>
            </w:tcBorders>
            <w:vAlign w:val="center"/>
          </w:tcPr>
          <w:p w14:paraId="4213C5CD" w14:textId="77777777" w:rsidR="005E1F38" w:rsidRPr="008B7392" w:rsidRDefault="005E1F38" w:rsidP="000661FB">
            <w:pPr>
              <w:pStyle w:val="Contenidodelatabla"/>
              <w:spacing w:after="0" w:line="240" w:lineRule="exact"/>
              <w:rPr>
                <w:rFonts w:ascii="Verdana" w:hAnsi="Verdana"/>
                <w:sz w:val="20"/>
                <w:szCs w:val="20"/>
              </w:rPr>
            </w:pPr>
          </w:p>
        </w:tc>
        <w:tc>
          <w:tcPr>
            <w:tcW w:w="1557" w:type="dxa"/>
            <w:tcBorders>
              <w:top w:val="single" w:sz="4" w:space="0" w:color="auto"/>
            </w:tcBorders>
            <w:vAlign w:val="center"/>
          </w:tcPr>
          <w:p w14:paraId="0B9822DE" w14:textId="77777777" w:rsidR="005E1F38" w:rsidRPr="008B7392" w:rsidRDefault="005E1F38" w:rsidP="000661FB">
            <w:pPr>
              <w:pStyle w:val="Contenidodelatabla"/>
              <w:spacing w:after="0" w:line="240" w:lineRule="exact"/>
              <w:jc w:val="right"/>
              <w:rPr>
                <w:rFonts w:ascii="Verdana" w:hAnsi="Verdana" w:cs="Arial"/>
                <w:sz w:val="20"/>
                <w:szCs w:val="20"/>
              </w:rPr>
            </w:pPr>
          </w:p>
        </w:tc>
        <w:tc>
          <w:tcPr>
            <w:tcW w:w="123" w:type="dxa"/>
            <w:tcBorders>
              <w:top w:val="single" w:sz="4" w:space="0" w:color="auto"/>
            </w:tcBorders>
            <w:vAlign w:val="center"/>
          </w:tcPr>
          <w:p w14:paraId="667E4682" w14:textId="77777777" w:rsidR="005E1F38" w:rsidRPr="008B7392" w:rsidRDefault="005E1F38" w:rsidP="000661FB">
            <w:pPr>
              <w:pStyle w:val="Contenidodelatabla"/>
              <w:spacing w:after="0" w:line="240" w:lineRule="exact"/>
              <w:jc w:val="right"/>
              <w:rPr>
                <w:rFonts w:ascii="Verdana" w:hAnsi="Verdana" w:cs="Arial"/>
                <w:sz w:val="20"/>
                <w:szCs w:val="20"/>
              </w:rPr>
            </w:pPr>
          </w:p>
        </w:tc>
        <w:tc>
          <w:tcPr>
            <w:tcW w:w="1198" w:type="dxa"/>
            <w:tcBorders>
              <w:top w:val="single" w:sz="4" w:space="0" w:color="auto"/>
            </w:tcBorders>
            <w:vAlign w:val="center"/>
          </w:tcPr>
          <w:p w14:paraId="1563DB58" w14:textId="77777777" w:rsidR="005E1F38" w:rsidRPr="008B7392" w:rsidRDefault="005E1F38" w:rsidP="000661FB">
            <w:pPr>
              <w:pStyle w:val="Contenidodelatabla"/>
              <w:spacing w:after="0" w:line="240" w:lineRule="exact"/>
              <w:jc w:val="right"/>
              <w:rPr>
                <w:rFonts w:ascii="Verdana" w:hAnsi="Verdana"/>
                <w:sz w:val="20"/>
                <w:szCs w:val="20"/>
              </w:rPr>
            </w:pPr>
          </w:p>
        </w:tc>
      </w:tr>
      <w:tr w:rsidR="00677CB6" w:rsidRPr="008B7392" w14:paraId="6C061142" w14:textId="77777777" w:rsidTr="005E1F38">
        <w:trPr>
          <w:trHeight w:val="206"/>
        </w:trPr>
        <w:tc>
          <w:tcPr>
            <w:tcW w:w="5769" w:type="dxa"/>
            <w:tcBorders>
              <w:bottom w:val="double" w:sz="4" w:space="0" w:color="auto"/>
            </w:tcBorders>
            <w:vAlign w:val="center"/>
          </w:tcPr>
          <w:p w14:paraId="7C5547E0" w14:textId="7777777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bottom w:val="double" w:sz="4" w:space="0" w:color="auto"/>
            </w:tcBorders>
            <w:vAlign w:val="center"/>
          </w:tcPr>
          <w:p w14:paraId="6EB35DB3" w14:textId="0D75F6D2"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A047BF" w:rsidRPr="008B7392">
              <w:rPr>
                <w:rFonts w:ascii="Verdana" w:hAnsi="Verdana" w:cs="Arial"/>
                <w:sz w:val="20"/>
                <w:szCs w:val="20"/>
              </w:rPr>
              <w:t>300,621</w:t>
            </w:r>
          </w:p>
        </w:tc>
        <w:tc>
          <w:tcPr>
            <w:tcW w:w="123" w:type="dxa"/>
            <w:tcBorders>
              <w:bottom w:val="double" w:sz="4" w:space="0" w:color="auto"/>
            </w:tcBorders>
            <w:vAlign w:val="center"/>
          </w:tcPr>
          <w:p w14:paraId="721E89A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tcBorders>
              <w:bottom w:val="double" w:sz="4" w:space="0" w:color="auto"/>
            </w:tcBorders>
            <w:vAlign w:val="center"/>
          </w:tcPr>
          <w:p w14:paraId="18937542" w14:textId="51CC0772"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7,384,868</w:t>
            </w:r>
          </w:p>
        </w:tc>
      </w:tr>
    </w:tbl>
    <w:p w14:paraId="14B8B7C7" w14:textId="77777777" w:rsidR="0041499D" w:rsidRPr="008B7392" w:rsidRDefault="0041499D" w:rsidP="00080A82">
      <w:pPr>
        <w:tabs>
          <w:tab w:val="left" w:pos="567"/>
        </w:tabs>
        <w:spacing w:after="0" w:line="240" w:lineRule="exact"/>
        <w:ind w:left="567"/>
        <w:jc w:val="both"/>
        <w:rPr>
          <w:rFonts w:ascii="Verdana" w:hAnsi="Verdana" w:cs="Arial"/>
          <w:color w:val="000000"/>
          <w:sz w:val="20"/>
          <w:szCs w:val="20"/>
        </w:rPr>
      </w:pPr>
    </w:p>
    <w:p w14:paraId="3F45BBE2" w14:textId="760F562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4EF4F6A" w14:textId="2E58E28F" w:rsidR="000639A9" w:rsidRDefault="000639A9" w:rsidP="000D5D38">
      <w:pPr>
        <w:rPr>
          <w:rFonts w:ascii="Verdana" w:hAnsi="Verdana" w:cs="Arial"/>
          <w:bCs/>
          <w:i/>
          <w:iCs/>
          <w:color w:val="000000"/>
          <w:sz w:val="20"/>
          <w:szCs w:val="20"/>
          <w:u w:val="single"/>
        </w:rPr>
      </w:pPr>
    </w:p>
    <w:p w14:paraId="22F86550" w14:textId="2E536DFA" w:rsidR="00965187" w:rsidRDefault="00965187" w:rsidP="000D5D38">
      <w:pPr>
        <w:rPr>
          <w:rFonts w:ascii="Verdana" w:hAnsi="Verdana" w:cs="Arial"/>
          <w:bCs/>
          <w:i/>
          <w:iCs/>
          <w:color w:val="000000"/>
          <w:sz w:val="20"/>
          <w:szCs w:val="20"/>
          <w:u w:val="single"/>
        </w:rPr>
      </w:pPr>
    </w:p>
    <w:p w14:paraId="309B8DC6" w14:textId="307D6FEE"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28DCA0AE"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699,402</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575CFAFB"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1,363,633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Mantenimiento y reparaciones</w:t>
            </w:r>
          </w:p>
        </w:tc>
        <w:tc>
          <w:tcPr>
            <w:tcW w:w="1550" w:type="dxa"/>
            <w:vAlign w:val="center"/>
          </w:tcPr>
          <w:p w14:paraId="368BFFE1" w14:textId="338E04BC"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Suministros, materiales y repuestos</w:t>
            </w:r>
          </w:p>
        </w:tc>
        <w:tc>
          <w:tcPr>
            <w:tcW w:w="1550" w:type="dxa"/>
            <w:vAlign w:val="center"/>
          </w:tcPr>
          <w:p w14:paraId="53C8A4BF" w14:textId="19A078F4"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5CED088B" w:rsidR="000661FB"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947,194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08001D5D"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highlight w:val="yellow"/>
              </w:rPr>
              <w:t>25,</w:t>
            </w:r>
            <w:r w:rsidR="00191D52" w:rsidRPr="008B7392">
              <w:rPr>
                <w:rFonts w:ascii="Verdana" w:hAnsi="Verdana" w:cs="Arial"/>
                <w:sz w:val="20"/>
                <w:szCs w:val="20"/>
                <w:highlight w:val="yellow"/>
              </w:rPr>
              <w:t>170,396</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8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2103"/>
        <w:gridCol w:w="130"/>
        <w:gridCol w:w="1571"/>
      </w:tblGrid>
      <w:tr w:rsidR="00B07B13" w:rsidRPr="008B7392" w14:paraId="56EE5578" w14:textId="77777777" w:rsidTr="00884D31">
        <w:tc>
          <w:tcPr>
            <w:tcW w:w="4985" w:type="dxa"/>
            <w:vAlign w:val="center"/>
          </w:tcPr>
          <w:p w14:paraId="404BF581" w14:textId="77777777" w:rsidR="00B07B13" w:rsidRPr="008B7392" w:rsidRDefault="00B07B13" w:rsidP="005352B0">
            <w:pPr>
              <w:pStyle w:val="Contenidodelatabla"/>
              <w:spacing w:after="0" w:line="240" w:lineRule="auto"/>
              <w:rPr>
                <w:rFonts w:ascii="Verdana" w:hAnsi="Verdana" w:cs="Arial"/>
                <w:sz w:val="20"/>
                <w:szCs w:val="20"/>
              </w:rPr>
            </w:pPr>
          </w:p>
        </w:tc>
        <w:tc>
          <w:tcPr>
            <w:tcW w:w="2103" w:type="dxa"/>
            <w:vAlign w:val="center"/>
          </w:tcPr>
          <w:p w14:paraId="3D1633E6" w14:textId="3B6BEAA9" w:rsidR="00B07B13" w:rsidRPr="008B7392" w:rsidRDefault="00B906C3" w:rsidP="005352B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5352B0">
            <w:pPr>
              <w:pStyle w:val="Contenidodelatabla"/>
              <w:spacing w:after="0" w:line="240" w:lineRule="auto"/>
              <w:jc w:val="center"/>
              <w:rPr>
                <w:rFonts w:ascii="Verdana" w:hAnsi="Verdana" w:cs="Arial"/>
                <w:sz w:val="20"/>
                <w:szCs w:val="20"/>
                <w:u w:val="single"/>
              </w:rPr>
            </w:pPr>
          </w:p>
        </w:tc>
        <w:tc>
          <w:tcPr>
            <w:tcW w:w="1571" w:type="dxa"/>
            <w:vAlign w:val="center"/>
          </w:tcPr>
          <w:p w14:paraId="682B0F14" w14:textId="161718DC" w:rsidR="00B07B13" w:rsidRPr="008B7392" w:rsidRDefault="00B906C3" w:rsidP="005352B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884D31">
        <w:tc>
          <w:tcPr>
            <w:tcW w:w="4985" w:type="dxa"/>
            <w:vAlign w:val="center"/>
          </w:tcPr>
          <w:p w14:paraId="1051C951" w14:textId="77777777" w:rsidR="00B07B13" w:rsidRPr="008B7392" w:rsidRDefault="00B07B13" w:rsidP="005352B0">
            <w:pPr>
              <w:pStyle w:val="Contenidodelatabla"/>
              <w:spacing w:after="0" w:line="240" w:lineRule="auto"/>
              <w:rPr>
                <w:rFonts w:ascii="Verdana" w:hAnsi="Verdana" w:cs="Arial"/>
                <w:sz w:val="20"/>
                <w:szCs w:val="20"/>
                <w:u w:val="single"/>
              </w:rPr>
            </w:pPr>
          </w:p>
        </w:tc>
        <w:tc>
          <w:tcPr>
            <w:tcW w:w="2103" w:type="dxa"/>
            <w:vAlign w:val="center"/>
          </w:tcPr>
          <w:p w14:paraId="2CA4F168"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EE876DD" w14:textId="77777777" w:rsidR="00B07B13" w:rsidRPr="008B7392" w:rsidRDefault="00B07B13" w:rsidP="005352B0">
            <w:pPr>
              <w:pStyle w:val="Contenidodelatabla"/>
              <w:spacing w:after="0" w:line="240" w:lineRule="auto"/>
              <w:jc w:val="right"/>
              <w:rPr>
                <w:rFonts w:ascii="Verdana" w:hAnsi="Verdana" w:cs="Arial"/>
                <w:sz w:val="20"/>
                <w:szCs w:val="20"/>
              </w:rPr>
            </w:pPr>
          </w:p>
        </w:tc>
      </w:tr>
      <w:tr w:rsidR="00B07B13" w:rsidRPr="008B7392" w14:paraId="3AD4C280" w14:textId="77777777" w:rsidTr="00884D31">
        <w:tc>
          <w:tcPr>
            <w:tcW w:w="4985" w:type="dxa"/>
            <w:vAlign w:val="center"/>
          </w:tcPr>
          <w:p w14:paraId="1BBD641F"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103" w:type="dxa"/>
            <w:vAlign w:val="center"/>
          </w:tcPr>
          <w:p w14:paraId="4BB6B25B" w14:textId="083A088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1,249,295</w:t>
            </w:r>
          </w:p>
        </w:tc>
        <w:tc>
          <w:tcPr>
            <w:tcW w:w="130" w:type="dxa"/>
            <w:vAlign w:val="center"/>
          </w:tcPr>
          <w:p w14:paraId="3AE536A2"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066DBC12"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361,055</w:t>
            </w:r>
          </w:p>
        </w:tc>
      </w:tr>
      <w:tr w:rsidR="002B335D" w:rsidRPr="008B7392" w14:paraId="6EB5D1E9" w14:textId="77777777" w:rsidTr="002D4453">
        <w:tc>
          <w:tcPr>
            <w:tcW w:w="4985" w:type="dxa"/>
            <w:vAlign w:val="center"/>
          </w:tcPr>
          <w:p w14:paraId="06F69C0A"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Nómina y beneficios sociales de trabajadores</w:t>
            </w:r>
          </w:p>
        </w:tc>
        <w:tc>
          <w:tcPr>
            <w:tcW w:w="2103" w:type="dxa"/>
            <w:vAlign w:val="center"/>
          </w:tcPr>
          <w:p w14:paraId="3DCCD152"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624,553</w:t>
            </w:r>
          </w:p>
        </w:tc>
        <w:tc>
          <w:tcPr>
            <w:tcW w:w="130" w:type="dxa"/>
            <w:vAlign w:val="center"/>
          </w:tcPr>
          <w:p w14:paraId="75871EA3"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5BAF49FA"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2D4453">
        <w:tc>
          <w:tcPr>
            <w:tcW w:w="4985" w:type="dxa"/>
            <w:vAlign w:val="center"/>
          </w:tcPr>
          <w:p w14:paraId="7A952A04"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103" w:type="dxa"/>
            <w:vAlign w:val="center"/>
          </w:tcPr>
          <w:p w14:paraId="4779E7CB"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303,425</w:t>
            </w:r>
          </w:p>
        </w:tc>
        <w:tc>
          <w:tcPr>
            <w:tcW w:w="130" w:type="dxa"/>
            <w:vAlign w:val="center"/>
          </w:tcPr>
          <w:p w14:paraId="2ABE38D4"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5E96EDF0"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2D4453">
        <w:tc>
          <w:tcPr>
            <w:tcW w:w="4985" w:type="dxa"/>
            <w:vAlign w:val="center"/>
          </w:tcPr>
          <w:p w14:paraId="57E3D909" w14:textId="421F5CC6"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103" w:type="dxa"/>
            <w:vAlign w:val="center"/>
          </w:tcPr>
          <w:p w14:paraId="5B0A0BEE"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264,352</w:t>
            </w:r>
          </w:p>
        </w:tc>
        <w:tc>
          <w:tcPr>
            <w:tcW w:w="130" w:type="dxa"/>
            <w:vAlign w:val="center"/>
          </w:tcPr>
          <w:p w14:paraId="2B788540"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499CAF48"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884D31">
        <w:tc>
          <w:tcPr>
            <w:tcW w:w="4985" w:type="dxa"/>
            <w:shd w:val="clear" w:color="auto" w:fill="auto"/>
            <w:vAlign w:val="center"/>
          </w:tcPr>
          <w:p w14:paraId="0F3678AD"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103" w:type="dxa"/>
            <w:shd w:val="clear" w:color="auto" w:fill="auto"/>
            <w:vAlign w:val="center"/>
          </w:tcPr>
          <w:p w14:paraId="37C045F6" w14:textId="4683D26D"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shd w:val="clear" w:color="auto" w:fill="auto"/>
            <w:vAlign w:val="center"/>
          </w:tcPr>
          <w:p w14:paraId="10525525"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884D31">
        <w:tc>
          <w:tcPr>
            <w:tcW w:w="4985" w:type="dxa"/>
            <w:shd w:val="clear" w:color="auto" w:fill="auto"/>
            <w:vAlign w:val="center"/>
          </w:tcPr>
          <w:p w14:paraId="2D24CC9E" w14:textId="6CA57DA8"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103" w:type="dxa"/>
            <w:shd w:val="clear" w:color="auto" w:fill="auto"/>
            <w:vAlign w:val="center"/>
          </w:tcPr>
          <w:p w14:paraId="77CA9ED0" w14:textId="76D6C39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shd w:val="clear" w:color="auto" w:fill="auto"/>
            <w:vAlign w:val="center"/>
          </w:tcPr>
          <w:p w14:paraId="0FBB594C"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2B335D" w:rsidRPr="008B7392" w14:paraId="393FB23E" w14:textId="77777777" w:rsidTr="002D4453">
        <w:tc>
          <w:tcPr>
            <w:tcW w:w="4985" w:type="dxa"/>
            <w:vAlign w:val="center"/>
          </w:tcPr>
          <w:p w14:paraId="572D28E8"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103" w:type="dxa"/>
            <w:vAlign w:val="center"/>
          </w:tcPr>
          <w:p w14:paraId="7A8731F5"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6CACB8F0"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345708" w:rsidRPr="008B7392" w14:paraId="6E89FC97" w14:textId="77777777" w:rsidTr="002D4453">
        <w:tc>
          <w:tcPr>
            <w:tcW w:w="4985" w:type="dxa"/>
            <w:vAlign w:val="center"/>
          </w:tcPr>
          <w:p w14:paraId="2E7221A3"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103" w:type="dxa"/>
            <w:vAlign w:val="center"/>
          </w:tcPr>
          <w:p w14:paraId="6B813704"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57,998</w:t>
            </w:r>
          </w:p>
        </w:tc>
        <w:tc>
          <w:tcPr>
            <w:tcW w:w="130" w:type="dxa"/>
            <w:vAlign w:val="center"/>
          </w:tcPr>
          <w:p w14:paraId="57287542"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462758E4"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2D4453">
        <w:tc>
          <w:tcPr>
            <w:tcW w:w="4985" w:type="dxa"/>
            <w:vAlign w:val="center"/>
          </w:tcPr>
          <w:p w14:paraId="2F19BFAD"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103" w:type="dxa"/>
            <w:vAlign w:val="center"/>
          </w:tcPr>
          <w:p w14:paraId="09DB2DE3"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54,816</w:t>
            </w:r>
          </w:p>
        </w:tc>
        <w:tc>
          <w:tcPr>
            <w:tcW w:w="130" w:type="dxa"/>
            <w:vAlign w:val="center"/>
          </w:tcPr>
          <w:p w14:paraId="387C0F5E"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0A6661F1"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345708" w:rsidRPr="008B7392" w14:paraId="6AC8809B" w14:textId="77777777" w:rsidTr="002D4453">
        <w:tc>
          <w:tcPr>
            <w:tcW w:w="4985" w:type="dxa"/>
            <w:vAlign w:val="center"/>
          </w:tcPr>
          <w:p w14:paraId="3EAC1DEC"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103" w:type="dxa"/>
            <w:vAlign w:val="center"/>
          </w:tcPr>
          <w:p w14:paraId="6C04C451"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51,590</w:t>
            </w:r>
          </w:p>
        </w:tc>
        <w:tc>
          <w:tcPr>
            <w:tcW w:w="130" w:type="dxa"/>
            <w:vAlign w:val="center"/>
          </w:tcPr>
          <w:p w14:paraId="0DEC529C"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3E29F5D3"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B07B13" w:rsidRPr="008B7392" w14:paraId="1BD5FB8D" w14:textId="77777777" w:rsidTr="00884D31">
        <w:tc>
          <w:tcPr>
            <w:tcW w:w="4985" w:type="dxa"/>
            <w:vAlign w:val="center"/>
          </w:tcPr>
          <w:p w14:paraId="5C87F351" w14:textId="123BEAB5"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CA7300" w:rsidRPr="008B7392">
              <w:rPr>
                <w:rFonts w:ascii="Verdana" w:hAnsi="Verdana" w:cs="Arial"/>
                <w:color w:val="000000"/>
                <w:sz w:val="20"/>
                <w:szCs w:val="20"/>
              </w:rPr>
              <w:t>b</w:t>
            </w:r>
            <w:r w:rsidRPr="008B7392">
              <w:rPr>
                <w:rFonts w:ascii="Verdana" w:hAnsi="Verdana"/>
                <w:sz w:val="20"/>
                <w:szCs w:val="20"/>
              </w:rPr>
              <w:t>ásicos</w:t>
            </w:r>
          </w:p>
        </w:tc>
        <w:tc>
          <w:tcPr>
            <w:tcW w:w="2103" w:type="dxa"/>
            <w:vAlign w:val="center"/>
          </w:tcPr>
          <w:p w14:paraId="668E4829" w14:textId="5170BC3B"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47,303</w:t>
            </w:r>
          </w:p>
        </w:tc>
        <w:tc>
          <w:tcPr>
            <w:tcW w:w="130" w:type="dxa"/>
            <w:vAlign w:val="center"/>
          </w:tcPr>
          <w:p w14:paraId="7B732FA6"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0CF7DC95"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07B13" w:rsidRPr="008B7392" w14:paraId="03BB9AED" w14:textId="77777777" w:rsidTr="00884D31">
        <w:tc>
          <w:tcPr>
            <w:tcW w:w="4985" w:type="dxa"/>
            <w:vAlign w:val="center"/>
          </w:tcPr>
          <w:p w14:paraId="75B2AE65"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103" w:type="dxa"/>
            <w:vAlign w:val="center"/>
          </w:tcPr>
          <w:p w14:paraId="62D94782" w14:textId="683E8F9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52A52E9"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B07B13" w:rsidRPr="008B7392" w14:paraId="0BE5A72D" w14:textId="77777777" w:rsidTr="00884D31">
        <w:tc>
          <w:tcPr>
            <w:tcW w:w="4985" w:type="dxa"/>
            <w:vAlign w:val="center"/>
          </w:tcPr>
          <w:p w14:paraId="6F561FC6"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Promoción</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publicidad</w:t>
            </w:r>
          </w:p>
        </w:tc>
        <w:tc>
          <w:tcPr>
            <w:tcW w:w="2103" w:type="dxa"/>
            <w:vAlign w:val="center"/>
          </w:tcPr>
          <w:p w14:paraId="560DE338" w14:textId="228C1302"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7,617</w:t>
            </w:r>
          </w:p>
        </w:tc>
        <w:tc>
          <w:tcPr>
            <w:tcW w:w="130" w:type="dxa"/>
            <w:vAlign w:val="center"/>
          </w:tcPr>
          <w:p w14:paraId="6DD2B195"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6F3A3F4"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12,817</w:t>
            </w:r>
          </w:p>
        </w:tc>
      </w:tr>
      <w:tr w:rsidR="002B335D" w:rsidRPr="008B7392" w14:paraId="392DA643" w14:textId="77777777" w:rsidTr="002D4453">
        <w:tc>
          <w:tcPr>
            <w:tcW w:w="4985" w:type="dxa"/>
            <w:vAlign w:val="center"/>
          </w:tcPr>
          <w:p w14:paraId="05A87FD9"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Gastos de exportación</w:t>
            </w:r>
          </w:p>
        </w:tc>
        <w:tc>
          <w:tcPr>
            <w:tcW w:w="2103" w:type="dxa"/>
            <w:vAlign w:val="center"/>
          </w:tcPr>
          <w:p w14:paraId="2C3D5923"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7,184</w:t>
            </w:r>
          </w:p>
        </w:tc>
        <w:tc>
          <w:tcPr>
            <w:tcW w:w="130" w:type="dxa"/>
            <w:vAlign w:val="center"/>
          </w:tcPr>
          <w:p w14:paraId="48915B1F"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0B619213"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58076925" w14:textId="77777777" w:rsidTr="002D4453">
        <w:tc>
          <w:tcPr>
            <w:tcW w:w="4985" w:type="dxa"/>
            <w:vAlign w:val="center"/>
          </w:tcPr>
          <w:p w14:paraId="58C38BAD"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103" w:type="dxa"/>
            <w:vAlign w:val="center"/>
          </w:tcPr>
          <w:p w14:paraId="60D263A8"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54B5A853"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884D31">
        <w:tc>
          <w:tcPr>
            <w:tcW w:w="4985" w:type="dxa"/>
            <w:tcBorders>
              <w:bottom w:val="single" w:sz="4" w:space="0" w:color="auto"/>
            </w:tcBorders>
            <w:vAlign w:val="center"/>
          </w:tcPr>
          <w:p w14:paraId="4A80767B" w14:textId="091CCC85"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103" w:type="dxa"/>
            <w:tcBorders>
              <w:bottom w:val="single" w:sz="4" w:space="0" w:color="auto"/>
            </w:tcBorders>
            <w:vAlign w:val="center"/>
          </w:tcPr>
          <w:p w14:paraId="3D4E22C7" w14:textId="0663FBB9"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242,186</w:t>
            </w:r>
          </w:p>
        </w:tc>
        <w:tc>
          <w:tcPr>
            <w:tcW w:w="130" w:type="dxa"/>
            <w:tcBorders>
              <w:bottom w:val="single" w:sz="4" w:space="0" w:color="auto"/>
            </w:tcBorders>
            <w:vAlign w:val="center"/>
          </w:tcPr>
          <w:p w14:paraId="7998FAD1"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tcBorders>
              <w:bottom w:val="single" w:sz="4" w:space="0" w:color="auto"/>
            </w:tcBorders>
            <w:vAlign w:val="center"/>
          </w:tcPr>
          <w:p w14:paraId="7CDB0B8C" w14:textId="1E116378" w:rsidR="00B07B13" w:rsidRPr="008B7392" w:rsidRDefault="00A20FAF" w:rsidP="005352B0">
            <w:pPr>
              <w:pStyle w:val="Contenidodelatabla"/>
              <w:spacing w:after="0" w:line="240" w:lineRule="auto"/>
              <w:jc w:val="right"/>
              <w:rPr>
                <w:rFonts w:ascii="Verdana" w:hAnsi="Verdana"/>
                <w:sz w:val="20"/>
                <w:szCs w:val="20"/>
              </w:rPr>
            </w:pPr>
            <w:r w:rsidRPr="008B7392">
              <w:rPr>
                <w:rFonts w:ascii="Verdana" w:hAnsi="Verdana"/>
                <w:sz w:val="20"/>
                <w:szCs w:val="20"/>
              </w:rPr>
              <w:t>172,540</w:t>
            </w:r>
          </w:p>
        </w:tc>
      </w:tr>
      <w:tr w:rsidR="00B07B13" w:rsidRPr="008B7392" w14:paraId="66C13389" w14:textId="77777777" w:rsidTr="00884D31">
        <w:tc>
          <w:tcPr>
            <w:tcW w:w="4985" w:type="dxa"/>
            <w:tcBorders>
              <w:top w:val="single" w:sz="4" w:space="0" w:color="auto"/>
              <w:bottom w:val="double" w:sz="4" w:space="0" w:color="auto"/>
            </w:tcBorders>
            <w:vAlign w:val="center"/>
          </w:tcPr>
          <w:p w14:paraId="36556744"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103" w:type="dxa"/>
            <w:tcBorders>
              <w:top w:val="single" w:sz="4" w:space="0" w:color="auto"/>
              <w:bottom w:val="double" w:sz="4" w:space="0" w:color="auto"/>
            </w:tcBorders>
            <w:vAlign w:val="center"/>
          </w:tcPr>
          <w:p w14:paraId="05676B48" w14:textId="6D2D793F" w:rsidR="00B07B13" w:rsidRPr="008B7392" w:rsidRDefault="007636D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highlight w:val="yellow"/>
              </w:rPr>
              <w:t>3,208,338</w:t>
            </w:r>
          </w:p>
        </w:tc>
        <w:tc>
          <w:tcPr>
            <w:tcW w:w="130" w:type="dxa"/>
            <w:tcBorders>
              <w:top w:val="single" w:sz="4" w:space="0" w:color="auto"/>
              <w:bottom w:val="double" w:sz="4" w:space="0" w:color="auto"/>
            </w:tcBorders>
            <w:vAlign w:val="center"/>
          </w:tcPr>
          <w:p w14:paraId="6B8B58E2" w14:textId="4F059C75"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tcBorders>
              <w:top w:val="single" w:sz="4" w:space="0" w:color="auto"/>
              <w:bottom w:val="double" w:sz="4" w:space="0" w:color="auto"/>
            </w:tcBorders>
            <w:vAlign w:val="center"/>
          </w:tcPr>
          <w:p w14:paraId="5BDDCAFD"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6031274D" w14:textId="7BC677E3" w:rsidR="00815841" w:rsidRDefault="00815841" w:rsidP="00F67DB3">
      <w:pPr>
        <w:tabs>
          <w:tab w:val="left" w:pos="567"/>
        </w:tabs>
        <w:spacing w:after="0"/>
        <w:ind w:left="567" w:hanging="567"/>
        <w:jc w:val="both"/>
        <w:rPr>
          <w:rFonts w:ascii="Verdana" w:hAnsi="Verdana" w:cs="Arial"/>
          <w:b/>
          <w:color w:val="FF0000"/>
          <w:sz w:val="20"/>
          <w:szCs w:val="20"/>
        </w:rPr>
      </w:pPr>
    </w:p>
    <w:p w14:paraId="07F22C44" w14:textId="77777777" w:rsidR="000639A9" w:rsidRPr="008B7392" w:rsidRDefault="000639A9" w:rsidP="00F67DB3">
      <w:pPr>
        <w:tabs>
          <w:tab w:val="left" w:pos="567"/>
        </w:tabs>
        <w:spacing w:after="0"/>
        <w:ind w:left="567" w:hanging="567"/>
        <w:jc w:val="both"/>
        <w:rPr>
          <w:rFonts w:ascii="Verdana" w:hAnsi="Verdana" w:cs="Arial"/>
          <w:b/>
          <w:color w:val="FF0000"/>
          <w:sz w:val="20"/>
          <w:szCs w:val="20"/>
        </w:rPr>
      </w:pPr>
    </w:p>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8B7392" w14:paraId="0E5206DC" w14:textId="77777777" w:rsidTr="00F05BAE">
        <w:tc>
          <w:tcPr>
            <w:tcW w:w="4985"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7"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7"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F05BAE">
        <w:tc>
          <w:tcPr>
            <w:tcW w:w="4985"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7"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F05BAE">
        <w:tc>
          <w:tcPr>
            <w:tcW w:w="4985"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7"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6"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F05BAE">
        <w:tc>
          <w:tcPr>
            <w:tcW w:w="4985"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7"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12286">
        <w:tc>
          <w:tcPr>
            <w:tcW w:w="4985"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7" w:type="dxa"/>
            <w:vAlign w:val="center"/>
          </w:tcPr>
          <w:p w14:paraId="77F01673" w14:textId="137BD101" w:rsidR="00B16082" w:rsidRPr="008B7392" w:rsidRDefault="00191D5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w:t>
            </w:r>
            <w:r w:rsidR="00EC07AF" w:rsidRPr="008B7392">
              <w:rPr>
                <w:rFonts w:ascii="Verdana" w:hAnsi="Verdana" w:cs="Arial"/>
                <w:sz w:val="20"/>
                <w:szCs w:val="20"/>
              </w:rPr>
              <w:t>03,388</w:t>
            </w:r>
          </w:p>
        </w:tc>
        <w:tc>
          <w:tcPr>
            <w:tcW w:w="116"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12286">
        <w:tc>
          <w:tcPr>
            <w:tcW w:w="4985" w:type="dxa"/>
            <w:shd w:val="clear" w:color="auto" w:fill="auto"/>
            <w:vAlign w:val="center"/>
          </w:tcPr>
          <w:p w14:paraId="21E18B6D" w14:textId="2EEC99DF" w:rsidR="00B16082" w:rsidRPr="008B7392" w:rsidRDefault="00B16082" w:rsidP="00B84713">
            <w:pPr>
              <w:suppressLineNumbers/>
              <w:spacing w:after="0" w:line="220" w:lineRule="exact"/>
              <w:rPr>
                <w:rFonts w:ascii="Verdana" w:hAnsi="Verdana"/>
                <w:sz w:val="20"/>
                <w:szCs w:val="20"/>
                <w:highlight w:val="yellow"/>
              </w:rPr>
            </w:pPr>
            <w:r w:rsidRPr="008B7392">
              <w:rPr>
                <w:rFonts w:ascii="Verdana" w:hAnsi="Verdana"/>
                <w:sz w:val="20"/>
                <w:szCs w:val="20"/>
                <w:highlight w:val="yellow"/>
              </w:rPr>
              <w:t>Provisiones</w:t>
            </w:r>
            <w:r w:rsidRPr="008B7392">
              <w:rPr>
                <w:rFonts w:ascii="Verdana" w:hAnsi="Verdana" w:cs="Arial"/>
                <w:color w:val="000000"/>
                <w:sz w:val="20"/>
                <w:szCs w:val="20"/>
                <w:highlight w:val="yellow"/>
              </w:rPr>
              <w:t xml:space="preserve"> </w:t>
            </w:r>
            <w:r w:rsidRPr="008B7392">
              <w:rPr>
                <w:rFonts w:ascii="Verdana" w:hAnsi="Verdana"/>
                <w:sz w:val="20"/>
                <w:szCs w:val="20"/>
                <w:highlight w:val="yellow"/>
              </w:rPr>
              <w:t>de</w:t>
            </w:r>
            <w:r w:rsidRPr="008B7392">
              <w:rPr>
                <w:rFonts w:ascii="Verdana" w:hAnsi="Verdana" w:cs="Arial"/>
                <w:color w:val="000000"/>
                <w:sz w:val="20"/>
                <w:szCs w:val="20"/>
                <w:highlight w:val="yellow"/>
              </w:rPr>
              <w:t xml:space="preserve"> </w:t>
            </w:r>
            <w:r w:rsidRPr="008B7392">
              <w:rPr>
                <w:rFonts w:ascii="Verdana" w:hAnsi="Verdana"/>
                <w:sz w:val="20"/>
                <w:szCs w:val="20"/>
                <w:highlight w:val="yellow"/>
              </w:rPr>
              <w:t>Jubilación</w:t>
            </w:r>
            <w:r w:rsidRPr="008B7392">
              <w:rPr>
                <w:rFonts w:ascii="Verdana" w:hAnsi="Verdana" w:cs="Arial"/>
                <w:color w:val="000000"/>
                <w:sz w:val="20"/>
                <w:szCs w:val="20"/>
                <w:highlight w:val="yellow"/>
              </w:rPr>
              <w:t xml:space="preserve"> patronal y </w:t>
            </w:r>
            <w:r w:rsidR="00A12286" w:rsidRPr="008B7392">
              <w:rPr>
                <w:rFonts w:ascii="Verdana" w:hAnsi="Verdana" w:cs="Arial"/>
                <w:color w:val="000000"/>
                <w:sz w:val="20"/>
                <w:szCs w:val="20"/>
                <w:highlight w:val="yellow"/>
              </w:rPr>
              <w:t>d</w:t>
            </w:r>
            <w:r w:rsidRPr="008B7392">
              <w:rPr>
                <w:rFonts w:ascii="Verdana" w:hAnsi="Verdana" w:cs="Arial"/>
                <w:color w:val="000000"/>
                <w:sz w:val="20"/>
                <w:szCs w:val="20"/>
                <w:highlight w:val="yellow"/>
              </w:rPr>
              <w:t>esahucio</w:t>
            </w:r>
            <w:r w:rsidR="00A12286" w:rsidRPr="008B7392">
              <w:rPr>
                <w:rFonts w:ascii="Verdana" w:hAnsi="Verdana" w:cs="Arial"/>
                <w:color w:val="000000"/>
                <w:sz w:val="20"/>
                <w:szCs w:val="20"/>
                <w:highlight w:val="yellow"/>
              </w:rPr>
              <w:t>, no deducible</w:t>
            </w:r>
          </w:p>
        </w:tc>
        <w:tc>
          <w:tcPr>
            <w:tcW w:w="1467" w:type="dxa"/>
            <w:shd w:val="clear" w:color="auto" w:fill="auto"/>
            <w:vAlign w:val="center"/>
          </w:tcPr>
          <w:p w14:paraId="64AEAB70" w14:textId="4650162D" w:rsidR="00B16082" w:rsidRPr="008B7392" w:rsidRDefault="00EC07AF" w:rsidP="00B84713">
            <w:pPr>
              <w:suppressLineNumbers/>
              <w:spacing w:after="0" w:line="220" w:lineRule="exact"/>
              <w:jc w:val="right"/>
              <w:rPr>
                <w:rFonts w:ascii="Verdana" w:hAnsi="Verdana" w:cs="Arial"/>
                <w:sz w:val="20"/>
                <w:szCs w:val="20"/>
                <w:highlight w:val="yellow"/>
              </w:rPr>
            </w:pPr>
            <w:r w:rsidRPr="008B7392">
              <w:rPr>
                <w:rFonts w:ascii="Verdana" w:hAnsi="Verdana" w:cs="Arial"/>
                <w:sz w:val="20"/>
                <w:szCs w:val="20"/>
                <w:highlight w:val="yellow"/>
              </w:rPr>
              <w:t>37,204</w:t>
            </w:r>
          </w:p>
        </w:tc>
        <w:tc>
          <w:tcPr>
            <w:tcW w:w="116" w:type="dxa"/>
            <w:shd w:val="clear" w:color="auto" w:fill="auto"/>
            <w:vAlign w:val="center"/>
          </w:tcPr>
          <w:p w14:paraId="1BF3D589" w14:textId="77777777" w:rsidR="00B16082" w:rsidRPr="008B7392" w:rsidRDefault="00B16082" w:rsidP="00B84713">
            <w:pPr>
              <w:suppressLineNumbers/>
              <w:spacing w:after="0" w:line="220" w:lineRule="exact"/>
              <w:jc w:val="right"/>
              <w:rPr>
                <w:rFonts w:ascii="Verdana" w:hAnsi="Verdana" w:cs="Arial"/>
                <w:sz w:val="20"/>
                <w:szCs w:val="20"/>
                <w:highlight w:val="yellow"/>
              </w:rPr>
            </w:pPr>
          </w:p>
        </w:tc>
        <w:tc>
          <w:tcPr>
            <w:tcW w:w="1937" w:type="dxa"/>
            <w:shd w:val="clear" w:color="auto" w:fill="auto"/>
            <w:vAlign w:val="center"/>
          </w:tcPr>
          <w:p w14:paraId="48419BAD" w14:textId="378CF24A" w:rsidR="00B16082" w:rsidRPr="008B7392" w:rsidRDefault="00C70E88" w:rsidP="00C70E88">
            <w:pPr>
              <w:suppressLineNumbers/>
              <w:spacing w:after="0" w:line="220" w:lineRule="exact"/>
              <w:rPr>
                <w:rFonts w:ascii="Verdana" w:hAnsi="Verdana"/>
                <w:sz w:val="20"/>
                <w:szCs w:val="20"/>
              </w:rPr>
            </w:pPr>
            <w:r w:rsidRPr="008B7392">
              <w:rPr>
                <w:rFonts w:ascii="Verdana" w:hAnsi="Verdana"/>
                <w:sz w:val="20"/>
                <w:szCs w:val="20"/>
                <w:highlight w:val="yellow"/>
              </w:rPr>
              <w:t xml:space="preserve">              </w:t>
            </w:r>
            <w:r w:rsidR="00B16082" w:rsidRPr="008B7392">
              <w:rPr>
                <w:rFonts w:ascii="Verdana" w:hAnsi="Verdana"/>
                <w:sz w:val="20"/>
                <w:szCs w:val="20"/>
                <w:highlight w:val="yellow"/>
              </w:rPr>
              <w:t>37,599</w:t>
            </w:r>
          </w:p>
        </w:tc>
      </w:tr>
      <w:tr w:rsidR="00A12286" w:rsidRPr="008B7392" w14:paraId="1A3D155F" w14:textId="77777777" w:rsidTr="00A12286">
        <w:tc>
          <w:tcPr>
            <w:tcW w:w="4985" w:type="dxa"/>
            <w:shd w:val="clear" w:color="auto" w:fill="auto"/>
            <w:vAlign w:val="center"/>
          </w:tcPr>
          <w:p w14:paraId="0E1C89DB" w14:textId="34C6A6C2" w:rsidR="00A12286" w:rsidRPr="008B7392" w:rsidRDefault="00A12286" w:rsidP="00B84713">
            <w:pPr>
              <w:suppressLineNumbers/>
              <w:spacing w:after="0" w:line="220" w:lineRule="exact"/>
              <w:rPr>
                <w:rFonts w:ascii="Verdana" w:hAnsi="Verdana"/>
                <w:sz w:val="20"/>
                <w:szCs w:val="20"/>
              </w:rPr>
            </w:pPr>
            <w:r w:rsidRPr="008B7392">
              <w:rPr>
                <w:rFonts w:ascii="Verdana" w:hAnsi="Verdana"/>
                <w:sz w:val="20"/>
                <w:szCs w:val="20"/>
              </w:rPr>
              <w:t>Otras deducciones</w:t>
            </w:r>
          </w:p>
        </w:tc>
        <w:tc>
          <w:tcPr>
            <w:tcW w:w="1467" w:type="dxa"/>
            <w:shd w:val="clear" w:color="auto" w:fill="auto"/>
            <w:vAlign w:val="center"/>
          </w:tcPr>
          <w:p w14:paraId="77E149E2" w14:textId="0EB466BC" w:rsidR="00A12286"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0</w:t>
            </w:r>
          </w:p>
        </w:tc>
        <w:tc>
          <w:tcPr>
            <w:tcW w:w="116" w:type="dxa"/>
            <w:shd w:val="clear" w:color="auto" w:fill="auto"/>
            <w:vAlign w:val="center"/>
          </w:tcPr>
          <w:p w14:paraId="18DC4D34" w14:textId="77777777" w:rsidR="00A12286" w:rsidRPr="008B7392" w:rsidRDefault="00A12286" w:rsidP="00B84713">
            <w:pPr>
              <w:suppressLineNumbers/>
              <w:spacing w:after="0" w:line="220" w:lineRule="exact"/>
              <w:jc w:val="right"/>
              <w:rPr>
                <w:rFonts w:ascii="Verdana" w:hAnsi="Verdana" w:cs="Arial"/>
                <w:sz w:val="20"/>
                <w:szCs w:val="20"/>
              </w:rPr>
            </w:pPr>
          </w:p>
        </w:tc>
        <w:tc>
          <w:tcPr>
            <w:tcW w:w="1937" w:type="dxa"/>
            <w:shd w:val="clear" w:color="auto" w:fill="auto"/>
            <w:vAlign w:val="center"/>
          </w:tcPr>
          <w:p w14:paraId="568A7F28" w14:textId="77777777" w:rsidR="00A12286" w:rsidRPr="008B7392" w:rsidRDefault="00A12286" w:rsidP="00B84713">
            <w:pPr>
              <w:suppressLineNumbers/>
              <w:spacing w:after="0" w:line="220" w:lineRule="exact"/>
              <w:jc w:val="right"/>
              <w:rPr>
                <w:rFonts w:ascii="Verdana" w:hAnsi="Verdana"/>
                <w:sz w:val="20"/>
                <w:szCs w:val="20"/>
              </w:rPr>
            </w:pPr>
            <w:r w:rsidRPr="008B7392">
              <w:rPr>
                <w:rFonts w:ascii="Verdana" w:hAnsi="Verdana"/>
                <w:sz w:val="20"/>
                <w:szCs w:val="20"/>
              </w:rPr>
              <w:t>(38,797)</w:t>
            </w:r>
          </w:p>
        </w:tc>
      </w:tr>
      <w:tr w:rsidR="00B16082" w:rsidRPr="008B7392" w14:paraId="37740E6C" w14:textId="77777777" w:rsidTr="00F05BAE">
        <w:tc>
          <w:tcPr>
            <w:tcW w:w="4985"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7" w:type="dxa"/>
            <w:tcBorders>
              <w:top w:val="single" w:sz="4" w:space="0" w:color="auto"/>
              <w:bottom w:val="single" w:sz="4" w:space="0" w:color="auto"/>
            </w:tcBorders>
            <w:vAlign w:val="center"/>
          </w:tcPr>
          <w:p w14:paraId="138F0B02" w14:textId="6ED4D2B7"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EC07AF" w:rsidRPr="008B7392">
              <w:rPr>
                <w:rFonts w:ascii="Verdana" w:hAnsi="Verdana" w:cs="Arial"/>
                <w:sz w:val="20"/>
                <w:szCs w:val="20"/>
              </w:rPr>
              <w:t>975,972</w:t>
            </w:r>
          </w:p>
        </w:tc>
        <w:tc>
          <w:tcPr>
            <w:tcW w:w="116"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F05BAE">
        <w:tc>
          <w:tcPr>
            <w:tcW w:w="4985"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7" w:type="dxa"/>
            <w:tcBorders>
              <w:top w:val="single" w:sz="4" w:space="0" w:color="auto"/>
              <w:bottom w:val="double" w:sz="4" w:space="0" w:color="auto"/>
            </w:tcBorders>
            <w:vAlign w:val="center"/>
          </w:tcPr>
          <w:p w14:paraId="6E4D0EBC" w14:textId="09979F96"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30,148</w:t>
            </w:r>
          </w:p>
        </w:tc>
        <w:tc>
          <w:tcPr>
            <w:tcW w:w="116"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4" w:name="_Hlk92796327"/>
      <w:r w:rsidRPr="008B7392">
        <w:rPr>
          <w:rFonts w:ascii="Verdana" w:hAnsi="Verdana" w:cs="Arial"/>
          <w:b/>
          <w:bCs/>
          <w:i/>
          <w:iCs/>
          <w:color w:val="000000"/>
          <w:sz w:val="20"/>
          <w:szCs w:val="20"/>
        </w:rPr>
        <w:t>Determinación del impuesto a la renta por pagar:</w:t>
      </w:r>
    </w:p>
    <w:bookmarkEnd w:id="24"/>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4F91E688"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EC07AF" w:rsidRPr="008B7392">
              <w:rPr>
                <w:rFonts w:ascii="Verdana" w:hAnsi="Verdana" w:cs="Arial"/>
                <w:sz w:val="20"/>
                <w:szCs w:val="20"/>
              </w:rPr>
              <w:t>30,148</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167406">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B16082" w:rsidRPr="008B7392" w14:paraId="51A1764F" w14:textId="77777777" w:rsidTr="00167406">
        <w:trPr>
          <w:trHeight w:val="242"/>
        </w:trPr>
        <w:tc>
          <w:tcPr>
            <w:tcW w:w="5272" w:type="dxa"/>
            <w:tcBorders>
              <w:top w:val="single" w:sz="4" w:space="0" w:color="auto"/>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top w:val="single" w:sz="4" w:space="0" w:color="auto"/>
              <w:bottom w:val="double" w:sz="4" w:space="0" w:color="auto"/>
            </w:tcBorders>
            <w:vAlign w:val="center"/>
          </w:tcPr>
          <w:p w14:paraId="2922B3A4" w14:textId="1CD6E2D4"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(215,911)</w:t>
            </w:r>
          </w:p>
        </w:tc>
        <w:tc>
          <w:tcPr>
            <w:tcW w:w="116" w:type="dxa"/>
            <w:tcBorders>
              <w:top w:val="single" w:sz="4" w:space="0" w:color="auto"/>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top w:val="single" w:sz="4" w:space="0" w:color="auto"/>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5" w:name="_Hlk98500093"/>
      <w:r w:rsidRPr="008B7392">
        <w:rPr>
          <w:rFonts w:ascii="Verdana" w:hAnsi="Verdana" w:cs="Arial"/>
          <w:b/>
          <w:bCs/>
          <w:i/>
          <w:iCs/>
          <w:color w:val="000000"/>
          <w:sz w:val="20"/>
          <w:szCs w:val="20"/>
        </w:rPr>
        <w:t>Tasa de impuesto a la renta:</w:t>
      </w:r>
    </w:p>
    <w:bookmarkEnd w:id="25"/>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139"/>
      <w:r w:rsidRPr="008B7392">
        <w:rPr>
          <w:rFonts w:ascii="Verdana" w:hAnsi="Verdana" w:cs="Arial"/>
          <w:b/>
          <w:bCs/>
          <w:i/>
          <w:iCs/>
          <w:color w:val="000000"/>
          <w:sz w:val="20"/>
          <w:szCs w:val="20"/>
        </w:rPr>
        <w:t>Dividendos:</w:t>
      </w:r>
    </w:p>
    <w:bookmarkEnd w:id="26"/>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17A5816B" w14:textId="60455E8C" w:rsidR="00F05BAE"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En caso de que la sociedad que distribuye los dividendos incumpla el deber de informar sobre su composición societaria, se procederá a la retención del 35% por concepto de impuesto a la renta.</w:t>
      </w:r>
    </w:p>
    <w:p w14:paraId="35076068" w14:textId="31311D9E" w:rsidR="00F05BAE" w:rsidRDefault="00F05BAE" w:rsidP="004F3452">
      <w:pPr>
        <w:tabs>
          <w:tab w:val="left" w:pos="567"/>
        </w:tabs>
        <w:spacing w:after="0" w:line="240" w:lineRule="auto"/>
        <w:ind w:left="567" w:hanging="567"/>
        <w:jc w:val="both"/>
        <w:rPr>
          <w:rFonts w:ascii="Verdana" w:hAnsi="Verdana" w:cs="Arial"/>
          <w:b/>
          <w:color w:val="FF0000"/>
          <w:sz w:val="20"/>
          <w:szCs w:val="20"/>
        </w:rPr>
      </w:pPr>
    </w:p>
    <w:p w14:paraId="4449FC3B" w14:textId="655E485C" w:rsidR="00965187" w:rsidRDefault="00965187" w:rsidP="004F3452">
      <w:pPr>
        <w:tabs>
          <w:tab w:val="left" w:pos="567"/>
        </w:tabs>
        <w:spacing w:after="0" w:line="240" w:lineRule="auto"/>
        <w:ind w:left="567" w:hanging="567"/>
        <w:jc w:val="both"/>
        <w:rPr>
          <w:rFonts w:ascii="Verdana" w:hAnsi="Verdana" w:cs="Arial"/>
          <w:b/>
          <w:color w:val="FF0000"/>
          <w:sz w:val="20"/>
          <w:szCs w:val="20"/>
        </w:rPr>
      </w:pPr>
    </w:p>
    <w:p w14:paraId="6D0AE4F5" w14:textId="77777777" w:rsidR="00965187" w:rsidRPr="008B7392" w:rsidRDefault="00965187" w:rsidP="004F3452">
      <w:pPr>
        <w:tabs>
          <w:tab w:val="left" w:pos="567"/>
        </w:tabs>
        <w:spacing w:after="0" w:line="240" w:lineRule="auto"/>
        <w:ind w:left="567" w:hanging="567"/>
        <w:jc w:val="both"/>
        <w:rPr>
          <w:rFonts w:ascii="Verdana" w:hAnsi="Verdana" w:cs="Arial"/>
          <w:b/>
          <w:color w:val="FF0000"/>
          <w:sz w:val="20"/>
          <w:szCs w:val="20"/>
        </w:rPr>
      </w:pP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lastRenderedPageBreak/>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0019C17C" w:rsidR="006678CA" w:rsidRPr="008B7392" w:rsidRDefault="008A11C2"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180,000</w:t>
            </w:r>
          </w:p>
        </w:tc>
        <w:tc>
          <w:tcPr>
            <w:tcW w:w="1171" w:type="dxa"/>
            <w:tcBorders>
              <w:bottom w:val="single" w:sz="4" w:space="0" w:color="auto"/>
            </w:tcBorders>
          </w:tcPr>
          <w:p w14:paraId="5980BB7D" w14:textId="45EE5D03" w:rsidR="006678CA" w:rsidRPr="008B7392" w:rsidRDefault="00965187"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Cartulina Verde </w:t>
            </w:r>
            <w:proofErr w:type="spellStart"/>
            <w:r w:rsidRPr="008B7392">
              <w:rPr>
                <w:rFonts w:ascii="Verdana" w:hAnsi="Verdana" w:cs="Arial"/>
                <w:bCs/>
                <w:color w:val="000000"/>
                <w:sz w:val="20"/>
                <w:szCs w:val="20"/>
              </w:rPr>
              <w:t>Olipack</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53C5D854" w14:textId="1CC23AA4" w:rsidR="00255B0C" w:rsidRPr="008B7392" w:rsidRDefault="00255B0C"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p>
          <w:p w14:paraId="6808DE2A" w14:textId="03404F64"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7CDEF925"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373FCE52" w14:textId="3646671C" w:rsidR="00255B0C"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3436A42D"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0006DCC1" w14:textId="659E27E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224F8EF7" w14:textId="14AFC5DD"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Comercializadora de Insumos para la Producción AJV </w:t>
            </w:r>
            <w:proofErr w:type="spellStart"/>
            <w:r w:rsidRPr="008B7392">
              <w:rPr>
                <w:rFonts w:ascii="Verdana" w:hAnsi="Verdana" w:cs="Arial"/>
                <w:bCs/>
                <w:color w:val="000000"/>
                <w:sz w:val="20"/>
                <w:szCs w:val="20"/>
              </w:rPr>
              <w:t>Supply</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75752495" w14:textId="3762B24C"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6678CA">
            <w:pPr>
              <w:tabs>
                <w:tab w:val="center" w:pos="6960"/>
                <w:tab w:val="center" w:pos="8400"/>
              </w:tabs>
              <w:spacing w:after="0"/>
              <w:jc w:val="both"/>
              <w:rPr>
                <w:rFonts w:ascii="Verdana" w:hAnsi="Verdana" w:cs="Arial"/>
                <w:bCs/>
                <w:color w:val="000000"/>
                <w:sz w:val="20"/>
                <w:szCs w:val="20"/>
              </w:rPr>
            </w:pPr>
          </w:p>
          <w:p w14:paraId="43207258" w14:textId="77777777" w:rsidR="005352B0" w:rsidRPr="008B7392" w:rsidRDefault="0016740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6678CA">
            <w:pPr>
              <w:tabs>
                <w:tab w:val="center" w:pos="6960"/>
                <w:tab w:val="center" w:pos="8400"/>
              </w:tabs>
              <w:spacing w:after="0"/>
              <w:jc w:val="both"/>
              <w:rPr>
                <w:rFonts w:ascii="Verdana" w:hAnsi="Verdana" w:cs="Arial"/>
                <w:bCs/>
                <w:color w:val="000000"/>
                <w:sz w:val="20"/>
                <w:szCs w:val="20"/>
              </w:rPr>
            </w:pPr>
          </w:p>
          <w:p w14:paraId="16096987" w14:textId="77777777" w:rsidR="00167406" w:rsidRPr="008B7392" w:rsidRDefault="00167406" w:rsidP="006678CA">
            <w:pPr>
              <w:tabs>
                <w:tab w:val="center" w:pos="6960"/>
                <w:tab w:val="center" w:pos="8400"/>
              </w:tabs>
              <w:spacing w:after="0"/>
              <w:jc w:val="both"/>
              <w:rPr>
                <w:rFonts w:ascii="Verdana" w:hAnsi="Verdana" w:cs="Arial"/>
                <w:bCs/>
                <w:color w:val="000000"/>
                <w:sz w:val="20"/>
                <w:szCs w:val="20"/>
              </w:rPr>
            </w:pPr>
          </w:p>
          <w:p w14:paraId="71F203A3" w14:textId="77777777" w:rsidR="005352B0" w:rsidRPr="008B7392" w:rsidRDefault="0016740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683A68C4"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1B2429C2" w14:textId="4DB4EFAE"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06FB181E"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5562BB5C" w14:textId="2E2F6506"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7492A567" w14:textId="580AB786"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0A1B50D6" w14:textId="562B5939"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6678CA">
            <w:pPr>
              <w:tabs>
                <w:tab w:val="center" w:pos="6960"/>
                <w:tab w:val="center" w:pos="8400"/>
              </w:tabs>
              <w:spacing w:after="0"/>
              <w:jc w:val="both"/>
              <w:rPr>
                <w:rFonts w:ascii="Verdana" w:hAnsi="Verdana" w:cs="Arial"/>
                <w:bCs/>
                <w:color w:val="000000"/>
                <w:sz w:val="20"/>
                <w:szCs w:val="20"/>
              </w:rPr>
            </w:pPr>
          </w:p>
          <w:p w14:paraId="014C4EFB" w14:textId="636BD2A8" w:rsidR="006678CA" w:rsidRPr="008B7392" w:rsidRDefault="008A11C2"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6678CA">
            <w:pPr>
              <w:tabs>
                <w:tab w:val="center" w:pos="6960"/>
                <w:tab w:val="center" w:pos="8400"/>
              </w:tabs>
              <w:spacing w:after="0"/>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6678CA">
            <w:pPr>
              <w:tabs>
                <w:tab w:val="center" w:pos="6960"/>
                <w:tab w:val="center" w:pos="8400"/>
              </w:tabs>
              <w:spacing w:after="0"/>
              <w:jc w:val="both"/>
              <w:rPr>
                <w:rFonts w:ascii="Verdana" w:hAnsi="Verdana" w:cs="Arial"/>
                <w:bCs/>
                <w:color w:val="000000"/>
                <w:sz w:val="20"/>
                <w:szCs w:val="20"/>
              </w:rPr>
            </w:pPr>
          </w:p>
          <w:p w14:paraId="7F53E401" w14:textId="7609FBDE" w:rsidR="006678CA" w:rsidRPr="008B7392" w:rsidRDefault="00DB3AC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1,014,246</w:t>
            </w:r>
          </w:p>
        </w:tc>
        <w:tc>
          <w:tcPr>
            <w:tcW w:w="1171" w:type="dxa"/>
            <w:tcBorders>
              <w:top w:val="single" w:sz="4" w:space="0" w:color="auto"/>
              <w:bottom w:val="double" w:sz="4" w:space="0" w:color="auto"/>
            </w:tcBorders>
          </w:tcPr>
          <w:p w14:paraId="5BAACDDC" w14:textId="77777777" w:rsidR="00B80B46" w:rsidRPr="008B7392" w:rsidRDefault="00B80B46" w:rsidP="006678CA">
            <w:pPr>
              <w:tabs>
                <w:tab w:val="center" w:pos="6960"/>
                <w:tab w:val="center" w:pos="8400"/>
              </w:tabs>
              <w:spacing w:after="0"/>
              <w:jc w:val="both"/>
              <w:rPr>
                <w:rFonts w:ascii="Verdana" w:hAnsi="Verdana" w:cs="Arial"/>
                <w:bCs/>
                <w:color w:val="000000"/>
                <w:sz w:val="20"/>
                <w:szCs w:val="20"/>
              </w:rPr>
            </w:pPr>
          </w:p>
          <w:p w14:paraId="505F085A" w14:textId="42A856AD" w:rsidR="006678CA" w:rsidRPr="008B7392" w:rsidRDefault="00B80B4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449ECA99" w14:textId="028DF516" w:rsidR="00600DE3" w:rsidRPr="008B7392" w:rsidRDefault="00600DE3" w:rsidP="007628C3">
      <w:pPr>
        <w:tabs>
          <w:tab w:val="left" w:pos="567"/>
        </w:tabs>
        <w:spacing w:after="0"/>
        <w:jc w:val="both"/>
        <w:rPr>
          <w:rFonts w:ascii="Verdana" w:hAnsi="Verdana" w:cs="Arial"/>
          <w:b/>
          <w:color w:val="FF0000"/>
          <w:sz w:val="20"/>
          <w:szCs w:val="20"/>
        </w:rPr>
      </w:pPr>
    </w:p>
    <w:p w14:paraId="1AFFF921" w14:textId="690519F1" w:rsidR="005352B0" w:rsidRPr="008B7392" w:rsidRDefault="005352B0" w:rsidP="007628C3">
      <w:pPr>
        <w:tabs>
          <w:tab w:val="left" w:pos="567"/>
        </w:tabs>
        <w:spacing w:after="0"/>
        <w:jc w:val="both"/>
        <w:rPr>
          <w:rFonts w:ascii="Verdana" w:hAnsi="Verdana" w:cs="Arial"/>
          <w:b/>
          <w:color w:val="FF0000"/>
          <w:sz w:val="20"/>
          <w:szCs w:val="20"/>
        </w:rPr>
      </w:pPr>
    </w:p>
    <w:p w14:paraId="022D131B" w14:textId="77777777"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F3243D">
        <w:tc>
          <w:tcPr>
            <w:tcW w:w="4878" w:type="dxa"/>
          </w:tcPr>
          <w:p w14:paraId="16BB4725"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222" w:type="dxa"/>
          </w:tcPr>
          <w:p w14:paraId="29A50C8B"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4" w:type="dxa"/>
          </w:tcPr>
          <w:p w14:paraId="3BDEE984"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2021</w:t>
            </w:r>
          </w:p>
        </w:tc>
        <w:tc>
          <w:tcPr>
            <w:tcW w:w="1271" w:type="dxa"/>
          </w:tcPr>
          <w:p w14:paraId="71B14F8E"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F3243D">
        <w:tc>
          <w:tcPr>
            <w:tcW w:w="4878" w:type="dxa"/>
          </w:tcPr>
          <w:p w14:paraId="29EC668B"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222" w:type="dxa"/>
          </w:tcPr>
          <w:p w14:paraId="6D26BD28"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134" w:type="dxa"/>
          </w:tcPr>
          <w:p w14:paraId="02339F7F"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271" w:type="dxa"/>
          </w:tcPr>
          <w:p w14:paraId="117A7746" w14:textId="77777777" w:rsidR="005352B0" w:rsidRPr="008B7392" w:rsidRDefault="005352B0" w:rsidP="002D4453">
            <w:pPr>
              <w:tabs>
                <w:tab w:val="left" w:pos="567"/>
              </w:tabs>
              <w:spacing w:after="0"/>
              <w:jc w:val="center"/>
              <w:rPr>
                <w:rFonts w:ascii="Verdana" w:hAnsi="Verdana" w:cs="Arial"/>
                <w:bCs/>
                <w:sz w:val="20"/>
                <w:szCs w:val="20"/>
                <w:u w:val="single"/>
              </w:rPr>
            </w:pPr>
          </w:p>
        </w:tc>
      </w:tr>
      <w:tr w:rsidR="005352B0" w:rsidRPr="008B7392" w14:paraId="202AACBA" w14:textId="77777777" w:rsidTr="00F3243D">
        <w:tc>
          <w:tcPr>
            <w:tcW w:w="4878" w:type="dxa"/>
          </w:tcPr>
          <w:p w14:paraId="4FAA6CDC" w14:textId="0E437503"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222" w:type="dxa"/>
          </w:tcPr>
          <w:p w14:paraId="581F2117" w14:textId="361301A8" w:rsidR="005352B0" w:rsidRPr="008B7392" w:rsidRDefault="00152BFA" w:rsidP="002D4453">
            <w:pPr>
              <w:tabs>
                <w:tab w:val="left" w:pos="567"/>
              </w:tabs>
              <w:spacing w:after="0"/>
              <w:jc w:val="center"/>
              <w:rPr>
                <w:rFonts w:ascii="Verdana" w:hAnsi="Verdana" w:cs="Arial"/>
                <w:bCs/>
                <w:sz w:val="20"/>
                <w:szCs w:val="20"/>
              </w:rPr>
            </w:pPr>
            <w:r>
              <w:rPr>
                <w:rFonts w:ascii="Verdana" w:hAnsi="Verdana" w:cs="Arial"/>
                <w:bCs/>
                <w:sz w:val="20"/>
                <w:szCs w:val="20"/>
              </w:rPr>
              <w:t>Accionistas</w:t>
            </w:r>
          </w:p>
        </w:tc>
        <w:tc>
          <w:tcPr>
            <w:tcW w:w="1134" w:type="dxa"/>
          </w:tcPr>
          <w:p w14:paraId="3D456225"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29D309C6"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00998BE8" w14:textId="77777777" w:rsidTr="00F3243D">
        <w:tc>
          <w:tcPr>
            <w:tcW w:w="4878" w:type="dxa"/>
            <w:tcBorders>
              <w:bottom w:val="single" w:sz="4" w:space="0" w:color="auto"/>
            </w:tcBorders>
          </w:tcPr>
          <w:p w14:paraId="20310D1A" w14:textId="51454221"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Sabella S.A.</w:t>
            </w:r>
          </w:p>
        </w:tc>
        <w:tc>
          <w:tcPr>
            <w:tcW w:w="1222" w:type="dxa"/>
            <w:tcBorders>
              <w:bottom w:val="single" w:sz="4" w:space="0" w:color="auto"/>
            </w:tcBorders>
          </w:tcPr>
          <w:p w14:paraId="14D05466" w14:textId="1469AEAD" w:rsidR="005352B0" w:rsidRPr="008B7392" w:rsidRDefault="00152BFA" w:rsidP="002D4453">
            <w:pPr>
              <w:tabs>
                <w:tab w:val="left" w:pos="567"/>
              </w:tabs>
              <w:spacing w:after="0"/>
              <w:jc w:val="center"/>
              <w:rPr>
                <w:rFonts w:ascii="Verdana" w:hAnsi="Verdana" w:cs="Arial"/>
                <w:bCs/>
                <w:sz w:val="20"/>
                <w:szCs w:val="20"/>
              </w:rPr>
            </w:pPr>
            <w:r>
              <w:rPr>
                <w:rFonts w:ascii="Verdana" w:hAnsi="Verdana" w:cs="Arial"/>
                <w:bCs/>
                <w:sz w:val="20"/>
                <w:szCs w:val="20"/>
              </w:rPr>
              <w:t>comunes</w:t>
            </w:r>
          </w:p>
        </w:tc>
        <w:tc>
          <w:tcPr>
            <w:tcW w:w="1134" w:type="dxa"/>
            <w:tcBorders>
              <w:bottom w:val="single" w:sz="4" w:space="0" w:color="auto"/>
            </w:tcBorders>
          </w:tcPr>
          <w:p w14:paraId="17427824" w14:textId="30DEEE0F"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105,408</w:t>
            </w:r>
          </w:p>
        </w:tc>
        <w:tc>
          <w:tcPr>
            <w:tcW w:w="1271" w:type="dxa"/>
            <w:tcBorders>
              <w:bottom w:val="single" w:sz="4" w:space="0" w:color="auto"/>
            </w:tcBorders>
          </w:tcPr>
          <w:p w14:paraId="6C07C18F" w14:textId="675F57EA"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F3243D">
        <w:tc>
          <w:tcPr>
            <w:tcW w:w="4878" w:type="dxa"/>
          </w:tcPr>
          <w:p w14:paraId="1D98E7A0"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Pr>
          <w:p w14:paraId="0DFA9C47"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24A02C8"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4C599094" w14:textId="77777777" w:rsidR="005352B0" w:rsidRPr="008B7392" w:rsidRDefault="005352B0" w:rsidP="002D4453">
            <w:pPr>
              <w:tabs>
                <w:tab w:val="left" w:pos="567"/>
              </w:tabs>
              <w:spacing w:after="0"/>
              <w:jc w:val="both"/>
              <w:rPr>
                <w:rFonts w:ascii="Verdana" w:hAnsi="Verdana" w:cs="Arial"/>
                <w:bCs/>
                <w:sz w:val="20"/>
                <w:szCs w:val="20"/>
              </w:rPr>
            </w:pPr>
          </w:p>
        </w:tc>
      </w:tr>
      <w:tr w:rsidR="00F3243D" w:rsidRPr="008B7392" w14:paraId="060CDDE0" w14:textId="77777777" w:rsidTr="00F3243D">
        <w:tc>
          <w:tcPr>
            <w:tcW w:w="4878" w:type="dxa"/>
          </w:tcPr>
          <w:p w14:paraId="3826EB6D" w14:textId="4CEC9F53"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222" w:type="dxa"/>
          </w:tcPr>
          <w:p w14:paraId="4822921C" w14:textId="77777777" w:rsidR="00F3243D" w:rsidRPr="008B7392" w:rsidRDefault="00F3243D" w:rsidP="0079548D">
            <w:pPr>
              <w:tabs>
                <w:tab w:val="left" w:pos="567"/>
              </w:tabs>
              <w:spacing w:after="0"/>
              <w:jc w:val="center"/>
              <w:rPr>
                <w:rFonts w:ascii="Verdana" w:hAnsi="Verdana" w:cs="Arial"/>
                <w:bCs/>
                <w:sz w:val="20"/>
                <w:szCs w:val="20"/>
              </w:rPr>
            </w:pPr>
          </w:p>
        </w:tc>
        <w:tc>
          <w:tcPr>
            <w:tcW w:w="1134" w:type="dxa"/>
          </w:tcPr>
          <w:p w14:paraId="714C0A05" w14:textId="77777777" w:rsidR="00F3243D" w:rsidRPr="008B7392" w:rsidRDefault="00F3243D" w:rsidP="0079548D">
            <w:pPr>
              <w:tabs>
                <w:tab w:val="left" w:pos="567"/>
              </w:tabs>
              <w:spacing w:after="0"/>
              <w:jc w:val="both"/>
              <w:rPr>
                <w:rFonts w:ascii="Verdana" w:hAnsi="Verdana" w:cs="Arial"/>
                <w:bCs/>
                <w:sz w:val="20"/>
                <w:szCs w:val="20"/>
              </w:rPr>
            </w:pPr>
          </w:p>
        </w:tc>
        <w:tc>
          <w:tcPr>
            <w:tcW w:w="1271" w:type="dxa"/>
          </w:tcPr>
          <w:p w14:paraId="0D295775" w14:textId="77777777" w:rsidR="00F3243D" w:rsidRPr="008B7392" w:rsidRDefault="00F3243D" w:rsidP="0079548D">
            <w:pPr>
              <w:tabs>
                <w:tab w:val="left" w:pos="567"/>
              </w:tabs>
              <w:spacing w:after="0"/>
              <w:jc w:val="both"/>
              <w:rPr>
                <w:rFonts w:ascii="Verdana" w:hAnsi="Verdana" w:cs="Arial"/>
                <w:bCs/>
                <w:sz w:val="20"/>
                <w:szCs w:val="20"/>
              </w:rPr>
            </w:pPr>
          </w:p>
        </w:tc>
      </w:tr>
      <w:tr w:rsidR="00F3243D" w:rsidRPr="008B7392" w14:paraId="43795AC5" w14:textId="77777777" w:rsidTr="00F3243D">
        <w:tc>
          <w:tcPr>
            <w:tcW w:w="4878" w:type="dxa"/>
            <w:tcBorders>
              <w:bottom w:val="single" w:sz="4" w:space="0" w:color="auto"/>
            </w:tcBorders>
          </w:tcPr>
          <w:p w14:paraId="36A8A0F5" w14:textId="77777777"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Vaca</w:t>
            </w:r>
          </w:p>
        </w:tc>
        <w:tc>
          <w:tcPr>
            <w:tcW w:w="1222" w:type="dxa"/>
            <w:tcBorders>
              <w:bottom w:val="single" w:sz="4" w:space="0" w:color="auto"/>
            </w:tcBorders>
          </w:tcPr>
          <w:p w14:paraId="7E33B4E3" w14:textId="77777777" w:rsidR="00F3243D" w:rsidRPr="008B7392" w:rsidRDefault="00F3243D" w:rsidP="0079548D">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Borders>
              <w:bottom w:val="single" w:sz="4" w:space="0" w:color="auto"/>
            </w:tcBorders>
          </w:tcPr>
          <w:p w14:paraId="20AF5929" w14:textId="6668F4FC" w:rsidR="00F3243D" w:rsidRPr="008B7392" w:rsidRDefault="00D27F5D" w:rsidP="0079548D">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71" w:type="dxa"/>
            <w:tcBorders>
              <w:bottom w:val="single" w:sz="4" w:space="0" w:color="auto"/>
            </w:tcBorders>
          </w:tcPr>
          <w:p w14:paraId="01FC3491" w14:textId="63863FE5"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F3243D">
        <w:tc>
          <w:tcPr>
            <w:tcW w:w="4878"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222"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4"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71"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5352B0" w:rsidRPr="008B7392" w14:paraId="246BB79D" w14:textId="77777777" w:rsidTr="00F3243D">
        <w:tc>
          <w:tcPr>
            <w:tcW w:w="4878" w:type="dxa"/>
          </w:tcPr>
          <w:p w14:paraId="2C9ABAB2" w14:textId="2CA90593"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lastRenderedPageBreak/>
              <w:t>Cuentas por pagar comerciales, corto plazo</w:t>
            </w:r>
            <w:r w:rsidR="00152BFA">
              <w:rPr>
                <w:rFonts w:ascii="Verdana" w:hAnsi="Verdana" w:cs="Arial"/>
                <w:bCs/>
                <w:sz w:val="20"/>
                <w:szCs w:val="20"/>
              </w:rPr>
              <w:t>:</w:t>
            </w:r>
          </w:p>
        </w:tc>
        <w:tc>
          <w:tcPr>
            <w:tcW w:w="1222" w:type="dxa"/>
          </w:tcPr>
          <w:p w14:paraId="46F91030"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5BEECCE4"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73371D4B"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792395D" w14:textId="77777777" w:rsidTr="00F3243D">
        <w:tc>
          <w:tcPr>
            <w:tcW w:w="4878"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222"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71" w:type="dxa"/>
          </w:tcPr>
          <w:p w14:paraId="6BEF54B9"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7C44A5A1" w14:textId="77777777" w:rsidTr="00F3243D">
        <w:tc>
          <w:tcPr>
            <w:tcW w:w="4878" w:type="dxa"/>
          </w:tcPr>
          <w:p w14:paraId="1FAF7DE1" w14:textId="6C95C435"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Arellano</w:t>
            </w:r>
          </w:p>
        </w:tc>
        <w:tc>
          <w:tcPr>
            <w:tcW w:w="1222" w:type="dxa"/>
          </w:tcPr>
          <w:p w14:paraId="2A7CD317"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1BAF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71" w:type="dxa"/>
          </w:tcPr>
          <w:p w14:paraId="4C6C92B2"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A8E95EF" w14:textId="77777777" w:rsidTr="00F3243D">
        <w:tc>
          <w:tcPr>
            <w:tcW w:w="4878" w:type="dxa"/>
          </w:tcPr>
          <w:p w14:paraId="70931210" w14:textId="1994B03E"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Vaca</w:t>
            </w:r>
          </w:p>
        </w:tc>
        <w:tc>
          <w:tcPr>
            <w:tcW w:w="1222" w:type="dxa"/>
          </w:tcPr>
          <w:p w14:paraId="5528E453"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CCC2F6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71" w:type="dxa"/>
          </w:tcPr>
          <w:p w14:paraId="60424CF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56B254B" w14:textId="77777777" w:rsidTr="00F3243D">
        <w:tc>
          <w:tcPr>
            <w:tcW w:w="4878" w:type="dxa"/>
          </w:tcPr>
          <w:p w14:paraId="7B1AF09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222" w:type="dxa"/>
          </w:tcPr>
          <w:p w14:paraId="538D2AA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9AAE385"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71" w:type="dxa"/>
          </w:tcPr>
          <w:p w14:paraId="5BE759C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64729FB" w14:textId="77777777" w:rsidTr="00F3243D">
        <w:tc>
          <w:tcPr>
            <w:tcW w:w="4878" w:type="dxa"/>
          </w:tcPr>
          <w:p w14:paraId="50DB61B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 xml:space="preserve">Cartulina Verde </w:t>
            </w:r>
            <w:proofErr w:type="spellStart"/>
            <w:r w:rsidR="005352B0" w:rsidRPr="008B7392">
              <w:rPr>
                <w:rFonts w:ascii="Verdana" w:hAnsi="Verdana" w:cs="Arial"/>
                <w:bCs/>
                <w:sz w:val="20"/>
                <w:szCs w:val="20"/>
              </w:rPr>
              <w:t>Olipack</w:t>
            </w:r>
            <w:proofErr w:type="spellEnd"/>
            <w:r w:rsidR="005352B0" w:rsidRPr="008B7392">
              <w:rPr>
                <w:rFonts w:ascii="Verdana" w:hAnsi="Verdana" w:cs="Arial"/>
                <w:bCs/>
                <w:sz w:val="20"/>
                <w:szCs w:val="20"/>
              </w:rPr>
              <w:t xml:space="preserve"> S.A.</w:t>
            </w:r>
          </w:p>
        </w:tc>
        <w:tc>
          <w:tcPr>
            <w:tcW w:w="1222" w:type="dxa"/>
          </w:tcPr>
          <w:p w14:paraId="4BD3EF5D" w14:textId="542B378F"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4" w:type="dxa"/>
          </w:tcPr>
          <w:p w14:paraId="15EB3773" w14:textId="77777777" w:rsidR="00D27F5D" w:rsidRDefault="00D27F5D" w:rsidP="002D4453">
            <w:pPr>
              <w:tabs>
                <w:tab w:val="left" w:pos="567"/>
              </w:tabs>
              <w:spacing w:after="0"/>
              <w:jc w:val="both"/>
              <w:rPr>
                <w:rFonts w:ascii="Verdana" w:hAnsi="Verdana" w:cs="Arial"/>
                <w:bCs/>
                <w:sz w:val="20"/>
                <w:szCs w:val="20"/>
              </w:rPr>
            </w:pPr>
          </w:p>
          <w:p w14:paraId="1C929E5A" w14:textId="18FF51A0"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71" w:type="dxa"/>
          </w:tcPr>
          <w:p w14:paraId="3FD194D3"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EB7CFA3" w14:textId="77777777" w:rsidTr="00F3243D">
        <w:tc>
          <w:tcPr>
            <w:tcW w:w="4878" w:type="dxa"/>
          </w:tcPr>
          <w:p w14:paraId="53227F63"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222" w:type="dxa"/>
          </w:tcPr>
          <w:p w14:paraId="6D7DE6CF" w14:textId="724CA986"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4" w:type="dxa"/>
          </w:tcPr>
          <w:p w14:paraId="120C77FB"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0363978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3A09428" w14:textId="77777777" w:rsidTr="00F3243D">
        <w:tc>
          <w:tcPr>
            <w:tcW w:w="4878" w:type="dxa"/>
          </w:tcPr>
          <w:p w14:paraId="0CA5544B"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w:t>
            </w:r>
            <w:proofErr w:type="spellStart"/>
            <w:r w:rsidRPr="008B7392">
              <w:rPr>
                <w:rFonts w:ascii="Verdana" w:hAnsi="Verdana" w:cs="Arial"/>
                <w:bCs/>
                <w:sz w:val="20"/>
                <w:szCs w:val="20"/>
              </w:rPr>
              <w:t>Supply</w:t>
            </w:r>
            <w:proofErr w:type="spellEnd"/>
            <w:r w:rsidRPr="008B7392">
              <w:rPr>
                <w:rFonts w:ascii="Verdana" w:hAnsi="Verdana" w:cs="Arial"/>
                <w:bCs/>
                <w:sz w:val="20"/>
                <w:szCs w:val="20"/>
              </w:rPr>
              <w:t xml:space="preserve"> S.A.</w:t>
            </w:r>
          </w:p>
        </w:tc>
        <w:tc>
          <w:tcPr>
            <w:tcW w:w="1222" w:type="dxa"/>
          </w:tcPr>
          <w:p w14:paraId="3D9F7DF0" w14:textId="40BBA153"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4" w:type="dxa"/>
          </w:tcPr>
          <w:p w14:paraId="2AAF3EF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71" w:type="dxa"/>
          </w:tcPr>
          <w:p w14:paraId="200FA7AE"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9C2ADFA" w14:textId="77777777" w:rsidTr="00265501">
        <w:tc>
          <w:tcPr>
            <w:tcW w:w="4878"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222"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4"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71"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265501">
        <w:tc>
          <w:tcPr>
            <w:tcW w:w="4878"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265501">
        <w:tc>
          <w:tcPr>
            <w:tcW w:w="4878"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222"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71"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265501">
        <w:tc>
          <w:tcPr>
            <w:tcW w:w="4878"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7142D8AE"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8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3A6BE0F9" w14:textId="57A2752A" w:rsidR="001F067C" w:rsidRPr="008B7392" w:rsidRDefault="001F067C" w:rsidP="001F067C">
      <w:pPr>
        <w:spacing w:after="0"/>
        <w:jc w:val="both"/>
        <w:rPr>
          <w:rFonts w:ascii="Verdana" w:hAnsi="Verdana" w:cs="Arial"/>
          <w:b/>
          <w:bCs/>
          <w:i/>
          <w:iCs/>
          <w:color w:val="000000"/>
          <w:sz w:val="20"/>
          <w:szCs w:val="20"/>
          <w:lang w:val="es-ES"/>
        </w:rPr>
      </w:pPr>
    </w:p>
    <w:p w14:paraId="0E75BBC1" w14:textId="55B09961" w:rsidR="001F067C" w:rsidRPr="008B7392" w:rsidRDefault="001F067C" w:rsidP="001F067C">
      <w:pPr>
        <w:spacing w:after="0"/>
        <w:jc w:val="both"/>
        <w:rPr>
          <w:rFonts w:ascii="Verdana" w:hAnsi="Verdana" w:cs="Arial"/>
          <w:b/>
          <w:bCs/>
          <w:i/>
          <w:iCs/>
          <w:color w:val="000000"/>
          <w:sz w:val="20"/>
          <w:szCs w:val="20"/>
          <w:lang w:val="es-ES"/>
        </w:rPr>
      </w:pPr>
    </w:p>
    <w:p w14:paraId="72F8F5E7" w14:textId="53FE8CB0" w:rsidR="001F067C" w:rsidRPr="008B7392" w:rsidRDefault="001F067C" w:rsidP="001F067C">
      <w:pPr>
        <w:spacing w:after="0"/>
        <w:jc w:val="both"/>
        <w:rPr>
          <w:rFonts w:ascii="Verdana" w:hAnsi="Verdana" w:cs="Arial"/>
          <w:b/>
          <w:bCs/>
          <w:i/>
          <w:iCs/>
          <w:color w:val="000000"/>
          <w:sz w:val="20"/>
          <w:szCs w:val="20"/>
          <w:lang w:val="es-ES"/>
        </w:rPr>
      </w:pPr>
    </w:p>
    <w:p w14:paraId="676819D2" w14:textId="1FB37DFC" w:rsidR="001F067C" w:rsidRPr="008B7392" w:rsidRDefault="001F067C" w:rsidP="001F067C">
      <w:pPr>
        <w:spacing w:after="0"/>
        <w:jc w:val="both"/>
        <w:rPr>
          <w:rFonts w:ascii="Verdana" w:hAnsi="Verdana" w:cs="Arial"/>
          <w:b/>
          <w:bCs/>
          <w:i/>
          <w:iCs/>
          <w:color w:val="000000"/>
          <w:sz w:val="20"/>
          <w:szCs w:val="20"/>
          <w:lang w:val="es-ES"/>
        </w:rPr>
      </w:pPr>
    </w:p>
    <w:p w14:paraId="43F4E737" w14:textId="25570B70" w:rsidR="001F067C" w:rsidRPr="008B7392" w:rsidRDefault="001F067C" w:rsidP="001F067C">
      <w:pPr>
        <w:spacing w:after="0"/>
        <w:jc w:val="both"/>
        <w:rPr>
          <w:rFonts w:ascii="Verdana" w:hAnsi="Verdana" w:cs="Arial"/>
          <w:b/>
          <w:bCs/>
          <w:i/>
          <w:iCs/>
          <w:color w:val="000000"/>
          <w:sz w:val="20"/>
          <w:szCs w:val="20"/>
          <w:lang w:val="es-ES"/>
        </w:rPr>
      </w:pPr>
    </w:p>
    <w:p w14:paraId="175E9517" w14:textId="228A5F2F" w:rsidR="001F067C" w:rsidRPr="008B7392" w:rsidRDefault="001F067C" w:rsidP="001F067C">
      <w:pPr>
        <w:spacing w:after="0"/>
        <w:jc w:val="both"/>
        <w:rPr>
          <w:rFonts w:ascii="Verdana" w:hAnsi="Verdana" w:cs="Arial"/>
          <w:b/>
          <w:bCs/>
          <w:i/>
          <w:iCs/>
          <w:color w:val="000000"/>
          <w:sz w:val="20"/>
          <w:szCs w:val="20"/>
          <w:lang w:val="es-ES"/>
        </w:rPr>
      </w:pPr>
    </w:p>
    <w:p w14:paraId="31726105" w14:textId="4B2FBD59" w:rsidR="001F067C" w:rsidRDefault="001F067C" w:rsidP="001F067C">
      <w:pPr>
        <w:spacing w:after="0"/>
        <w:jc w:val="both"/>
        <w:rPr>
          <w:rFonts w:ascii="Verdana" w:hAnsi="Verdana" w:cs="Arial"/>
          <w:b/>
          <w:bCs/>
          <w:i/>
          <w:iCs/>
          <w:color w:val="000000"/>
          <w:sz w:val="20"/>
          <w:szCs w:val="20"/>
          <w:lang w:val="es-ES"/>
        </w:rPr>
      </w:pPr>
    </w:p>
    <w:p w14:paraId="017FD102" w14:textId="1F81ECC1" w:rsidR="00BB4140" w:rsidRDefault="00BB4140"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06FCE4CB" w14:textId="2EE1F53F" w:rsidR="001F067C" w:rsidRPr="008B7392" w:rsidRDefault="001F067C" w:rsidP="001F067C">
      <w:pPr>
        <w:spacing w:after="0"/>
        <w:jc w:val="both"/>
        <w:rPr>
          <w:rFonts w:ascii="Verdana" w:hAnsi="Verdana" w:cs="Arial"/>
          <w:b/>
          <w:bCs/>
          <w:i/>
          <w:iCs/>
          <w:color w:val="000000"/>
          <w:sz w:val="20"/>
          <w:szCs w:val="20"/>
          <w:lang w:val="es-ES"/>
        </w:rPr>
      </w:pPr>
    </w:p>
    <w:p w14:paraId="2D8A3FE3" w14:textId="7376C2C2" w:rsidR="001F067C" w:rsidRDefault="001F067C" w:rsidP="001F067C">
      <w:pPr>
        <w:spacing w:after="0"/>
        <w:jc w:val="both"/>
        <w:rPr>
          <w:rFonts w:ascii="Verdana" w:hAnsi="Verdana" w:cs="Arial"/>
          <w:b/>
          <w:bCs/>
          <w:i/>
          <w:iCs/>
          <w:color w:val="000000"/>
          <w:sz w:val="20"/>
          <w:szCs w:val="20"/>
          <w:lang w:val="es-ES"/>
        </w:rPr>
      </w:pPr>
    </w:p>
    <w:p w14:paraId="2E1A82DD" w14:textId="4A1B31D3" w:rsidR="00BB4140" w:rsidRDefault="00BB4140"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w:t>
      </w:r>
      <w:proofErr w:type="spellStart"/>
      <w:r w:rsidRPr="008B7392">
        <w:rPr>
          <w:rFonts w:ascii="Verdana" w:hAnsi="Verdana"/>
          <w:sz w:val="20"/>
          <w:szCs w:val="20"/>
          <w:lang w:val="en-US"/>
        </w:rPr>
        <w:t>Fondo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Monetario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Intenacional</w:t>
      </w:r>
      <w:proofErr w:type="spellEnd"/>
      <w:r w:rsidRPr="008B7392">
        <w:rPr>
          <w:rFonts w:ascii="Verdana" w:hAnsi="Verdana"/>
          <w:sz w:val="20"/>
          <w:szCs w:val="20"/>
          <w:lang w:val="en-US"/>
        </w:rPr>
        <w:t xml:space="preserve">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proofErr w:type="spellStart"/>
      <w:r w:rsidR="00A669F8" w:rsidRPr="008B7392">
        <w:rPr>
          <w:rFonts w:ascii="Verdana" w:hAnsi="Verdana"/>
          <w:sz w:val="20"/>
          <w:szCs w:val="20"/>
          <w:lang w:val="en-US"/>
        </w:rPr>
        <w:t>T</w:t>
      </w:r>
      <w:r w:rsidRPr="008B7392">
        <w:rPr>
          <w:rFonts w:ascii="Verdana" w:hAnsi="Verdana"/>
          <w:sz w:val="20"/>
          <w:szCs w:val="20"/>
          <w:lang w:val="en-US"/>
        </w:rPr>
        <w:t>rabajadores</w:t>
      </w:r>
      <w:proofErr w:type="spellEnd"/>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w:t>
      </w:r>
      <w:proofErr w:type="gramStart"/>
      <w:r w:rsidRPr="008B7392">
        <w:rPr>
          <w:rFonts w:ascii="Verdana" w:hAnsi="Verdana"/>
          <w:sz w:val="20"/>
          <w:szCs w:val="20"/>
        </w:rPr>
        <w:t>Dólares</w:t>
      </w:r>
      <w:proofErr w:type="gramEnd"/>
      <w:r w:rsidRPr="008B7392">
        <w:rPr>
          <w:rFonts w:ascii="Verdana" w:hAnsi="Verdana"/>
          <w:sz w:val="20"/>
          <w:szCs w:val="20"/>
        </w:rPr>
        <w:t xml:space="preserve">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8583" w14:textId="77777777" w:rsidR="007059D8" w:rsidRDefault="007059D8">
      <w:pPr>
        <w:spacing w:after="0" w:line="240" w:lineRule="auto"/>
      </w:pPr>
      <w:r>
        <w:separator/>
      </w:r>
    </w:p>
  </w:endnote>
  <w:endnote w:type="continuationSeparator" w:id="0">
    <w:p w14:paraId="00DFE50A" w14:textId="77777777" w:rsidR="007059D8" w:rsidRDefault="0070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7059D8">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7059D8">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7059D8">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7059D8">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7059D8">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5607" w14:textId="77777777" w:rsidR="007059D8" w:rsidRDefault="007059D8">
      <w:pPr>
        <w:spacing w:after="0" w:line="240" w:lineRule="auto"/>
      </w:pPr>
      <w:r>
        <w:separator/>
      </w:r>
    </w:p>
  </w:footnote>
  <w:footnote w:type="continuationSeparator" w:id="0">
    <w:p w14:paraId="393DD156" w14:textId="77777777" w:rsidR="007059D8" w:rsidRDefault="00705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104953"/>
    <w:rsid w:val="00105FCE"/>
    <w:rsid w:val="00107222"/>
    <w:rsid w:val="00126540"/>
    <w:rsid w:val="001365F3"/>
    <w:rsid w:val="00144076"/>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D5619"/>
    <w:rsid w:val="001D6322"/>
    <w:rsid w:val="001E68B0"/>
    <w:rsid w:val="001F067C"/>
    <w:rsid w:val="001F3A5C"/>
    <w:rsid w:val="00203648"/>
    <w:rsid w:val="00224A1E"/>
    <w:rsid w:val="00231B61"/>
    <w:rsid w:val="002452E6"/>
    <w:rsid w:val="002552A7"/>
    <w:rsid w:val="00255B0C"/>
    <w:rsid w:val="00265501"/>
    <w:rsid w:val="00280C73"/>
    <w:rsid w:val="002A0079"/>
    <w:rsid w:val="002A3D02"/>
    <w:rsid w:val="002A4F17"/>
    <w:rsid w:val="002A5070"/>
    <w:rsid w:val="002A6CBA"/>
    <w:rsid w:val="002B335D"/>
    <w:rsid w:val="002B458D"/>
    <w:rsid w:val="002B73D4"/>
    <w:rsid w:val="002B7827"/>
    <w:rsid w:val="002D724A"/>
    <w:rsid w:val="002D7FAC"/>
    <w:rsid w:val="002F0389"/>
    <w:rsid w:val="002F6DFB"/>
    <w:rsid w:val="002F7826"/>
    <w:rsid w:val="002F7D98"/>
    <w:rsid w:val="002F7E7F"/>
    <w:rsid w:val="003001D6"/>
    <w:rsid w:val="003012B2"/>
    <w:rsid w:val="00303753"/>
    <w:rsid w:val="00305F38"/>
    <w:rsid w:val="00306236"/>
    <w:rsid w:val="0032631B"/>
    <w:rsid w:val="00326F29"/>
    <w:rsid w:val="0033361C"/>
    <w:rsid w:val="00341A0F"/>
    <w:rsid w:val="00345708"/>
    <w:rsid w:val="00362637"/>
    <w:rsid w:val="00364A5E"/>
    <w:rsid w:val="00367DA6"/>
    <w:rsid w:val="00374383"/>
    <w:rsid w:val="00375C41"/>
    <w:rsid w:val="003868B2"/>
    <w:rsid w:val="00395F18"/>
    <w:rsid w:val="003A116D"/>
    <w:rsid w:val="003A190B"/>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59C8"/>
    <w:rsid w:val="00472EC0"/>
    <w:rsid w:val="004749D1"/>
    <w:rsid w:val="00475747"/>
    <w:rsid w:val="004801BC"/>
    <w:rsid w:val="00480CCC"/>
    <w:rsid w:val="00483E1E"/>
    <w:rsid w:val="004917B4"/>
    <w:rsid w:val="0049191E"/>
    <w:rsid w:val="00497373"/>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52B0"/>
    <w:rsid w:val="00571703"/>
    <w:rsid w:val="00576037"/>
    <w:rsid w:val="0057683E"/>
    <w:rsid w:val="0058784A"/>
    <w:rsid w:val="00597351"/>
    <w:rsid w:val="005A3F8F"/>
    <w:rsid w:val="005A46A8"/>
    <w:rsid w:val="005B1958"/>
    <w:rsid w:val="005D2B72"/>
    <w:rsid w:val="005D58A5"/>
    <w:rsid w:val="005D5AD9"/>
    <w:rsid w:val="005D6CB2"/>
    <w:rsid w:val="005D72F1"/>
    <w:rsid w:val="005E1F38"/>
    <w:rsid w:val="005E2518"/>
    <w:rsid w:val="005E6479"/>
    <w:rsid w:val="005F1ADC"/>
    <w:rsid w:val="00600DE3"/>
    <w:rsid w:val="00601CD3"/>
    <w:rsid w:val="006046DE"/>
    <w:rsid w:val="00612E40"/>
    <w:rsid w:val="006179F1"/>
    <w:rsid w:val="00623D90"/>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9D8"/>
    <w:rsid w:val="00706084"/>
    <w:rsid w:val="00725E2C"/>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44D"/>
    <w:rsid w:val="007C3BC9"/>
    <w:rsid w:val="007C55E8"/>
    <w:rsid w:val="007D21A3"/>
    <w:rsid w:val="007E0A93"/>
    <w:rsid w:val="007E235C"/>
    <w:rsid w:val="007E3738"/>
    <w:rsid w:val="007E6DA6"/>
    <w:rsid w:val="007F41E3"/>
    <w:rsid w:val="00800308"/>
    <w:rsid w:val="00815841"/>
    <w:rsid w:val="00815AE8"/>
    <w:rsid w:val="008161D0"/>
    <w:rsid w:val="00832969"/>
    <w:rsid w:val="00835FE0"/>
    <w:rsid w:val="00847D7E"/>
    <w:rsid w:val="00850479"/>
    <w:rsid w:val="0087530F"/>
    <w:rsid w:val="008807A8"/>
    <w:rsid w:val="00883347"/>
    <w:rsid w:val="00883F16"/>
    <w:rsid w:val="00884D31"/>
    <w:rsid w:val="0089046B"/>
    <w:rsid w:val="0089102E"/>
    <w:rsid w:val="00897966"/>
    <w:rsid w:val="008A11C2"/>
    <w:rsid w:val="008A306B"/>
    <w:rsid w:val="008B7392"/>
    <w:rsid w:val="008C0BF3"/>
    <w:rsid w:val="008C121F"/>
    <w:rsid w:val="008C5D41"/>
    <w:rsid w:val="008C76D4"/>
    <w:rsid w:val="008D3612"/>
    <w:rsid w:val="008E7B19"/>
    <w:rsid w:val="008F3373"/>
    <w:rsid w:val="008F3FD1"/>
    <w:rsid w:val="00926797"/>
    <w:rsid w:val="0093042B"/>
    <w:rsid w:val="00937C58"/>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12286"/>
    <w:rsid w:val="00A15C48"/>
    <w:rsid w:val="00A20FAF"/>
    <w:rsid w:val="00A57CA3"/>
    <w:rsid w:val="00A61A90"/>
    <w:rsid w:val="00A6535B"/>
    <w:rsid w:val="00A669F8"/>
    <w:rsid w:val="00A7234F"/>
    <w:rsid w:val="00A775EC"/>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A31DE"/>
    <w:rsid w:val="00BA3F86"/>
    <w:rsid w:val="00BA7CD4"/>
    <w:rsid w:val="00BB0E1F"/>
    <w:rsid w:val="00BB147C"/>
    <w:rsid w:val="00BB4140"/>
    <w:rsid w:val="00BC16A3"/>
    <w:rsid w:val="00BC2D26"/>
    <w:rsid w:val="00BC5323"/>
    <w:rsid w:val="00BC640F"/>
    <w:rsid w:val="00BD2CCC"/>
    <w:rsid w:val="00BD4139"/>
    <w:rsid w:val="00BD49DA"/>
    <w:rsid w:val="00BD63D3"/>
    <w:rsid w:val="00BE2CF7"/>
    <w:rsid w:val="00BE3D1C"/>
    <w:rsid w:val="00BF00FA"/>
    <w:rsid w:val="00BF175A"/>
    <w:rsid w:val="00BF43DA"/>
    <w:rsid w:val="00C066D5"/>
    <w:rsid w:val="00C1160F"/>
    <w:rsid w:val="00C14116"/>
    <w:rsid w:val="00C15400"/>
    <w:rsid w:val="00C206C3"/>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236C"/>
    <w:rsid w:val="00CD7261"/>
    <w:rsid w:val="00CE298A"/>
    <w:rsid w:val="00CE7896"/>
    <w:rsid w:val="00CE7BD0"/>
    <w:rsid w:val="00CF2220"/>
    <w:rsid w:val="00CF75FD"/>
    <w:rsid w:val="00D03AE0"/>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B01BE"/>
    <w:rsid w:val="00DB3ACE"/>
    <w:rsid w:val="00DC1424"/>
    <w:rsid w:val="00DC6B86"/>
    <w:rsid w:val="00DD17CF"/>
    <w:rsid w:val="00DD1FEA"/>
    <w:rsid w:val="00DD4589"/>
    <w:rsid w:val="00DD7250"/>
    <w:rsid w:val="00DE3086"/>
    <w:rsid w:val="00DF1452"/>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84D0C"/>
    <w:rsid w:val="00E87B62"/>
    <w:rsid w:val="00E93409"/>
    <w:rsid w:val="00EA1B80"/>
    <w:rsid w:val="00EB765A"/>
    <w:rsid w:val="00EC07AF"/>
    <w:rsid w:val="00EC2BFC"/>
    <w:rsid w:val="00ED14A4"/>
    <w:rsid w:val="00ED244E"/>
    <w:rsid w:val="00ED6DF2"/>
    <w:rsid w:val="00EF0C8A"/>
    <w:rsid w:val="00EF5004"/>
    <w:rsid w:val="00EF6798"/>
    <w:rsid w:val="00F0030D"/>
    <w:rsid w:val="00F05BAE"/>
    <w:rsid w:val="00F104FD"/>
    <w:rsid w:val="00F11AC4"/>
    <w:rsid w:val="00F178AD"/>
    <w:rsid w:val="00F20499"/>
    <w:rsid w:val="00F20A46"/>
    <w:rsid w:val="00F232FE"/>
    <w:rsid w:val="00F24F35"/>
    <w:rsid w:val="00F3243D"/>
    <w:rsid w:val="00F363D7"/>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1</Pages>
  <Words>10006</Words>
  <Characters>55036</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243</cp:revision>
  <dcterms:created xsi:type="dcterms:W3CDTF">2021-10-05T15:59:00Z</dcterms:created>
  <dcterms:modified xsi:type="dcterms:W3CDTF">2022-04-08T18:43:00Z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