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3FC5E30"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 xml:space="preserve">único cliente pues todos los equipos que se venden se instalan </w:t>
      </w:r>
      <w:r w:rsidR="00AD111D">
        <w:rPr>
          <w:rFonts w:ascii="Arial" w:hAnsi="Arial" w:cs="Arial"/>
        </w:rPr>
        <w:t>en sus instalaciones o instalaciones de sus clientes</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50110965" w:rsidR="009C2FF1" w:rsidRDefault="009C2FF1">
      <w:pPr>
        <w:pStyle w:val="BodyText"/>
        <w:spacing w:after="0"/>
        <w:ind w:left="708"/>
        <w:jc w:val="both"/>
        <w:rPr>
          <w:rFonts w:ascii="Arial" w:hAnsi="Arial" w:cs="Arial"/>
        </w:rPr>
      </w:pPr>
    </w:p>
    <w:p w14:paraId="38A25935" w14:textId="583472EC" w:rsidR="009C2FF1" w:rsidRDefault="00831583">
      <w:pPr>
        <w:pStyle w:val="BodyText"/>
        <w:spacing w:after="0"/>
        <w:ind w:left="708"/>
        <w:jc w:val="both"/>
        <w:rPr>
          <w:rFonts w:ascii="Arial" w:hAnsi="Arial" w:cs="Arial"/>
        </w:rPr>
      </w:pPr>
      <w:r w:rsidRPr="00831583">
        <w:rPr>
          <w:rFonts w:ascii="Arial" w:hAnsi="Arial" w:cs="Arial"/>
          <w:i/>
          <w:iCs/>
        </w:rPr>
        <w:t xml:space="preserve">Intervención - </w:t>
      </w:r>
      <w:r w:rsidR="009C2FF1">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42001B38"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p>
    <w:p w14:paraId="1920FC07" w14:textId="2171535D" w:rsidR="002E0DB8" w:rsidRDefault="002E0DB8" w:rsidP="002E0DB8">
      <w:pPr>
        <w:pStyle w:val="BodyText"/>
        <w:spacing w:after="0"/>
        <w:ind w:left="720"/>
        <w:jc w:val="both"/>
        <w:rPr>
          <w:rFonts w:ascii="Arial" w:hAnsi="Arial" w:cs="Arial"/>
          <w:u w:val="single"/>
        </w:rPr>
      </w:pPr>
    </w:p>
    <w:p w14:paraId="1397E0D1" w14:textId="7FFDE1B2" w:rsidR="002E0DB8" w:rsidRPr="002E0DB8" w:rsidRDefault="002E0DB8" w:rsidP="002E0DB8">
      <w:pPr>
        <w:pStyle w:val="BodyText"/>
        <w:spacing w:after="0"/>
        <w:ind w:left="720"/>
        <w:jc w:val="both"/>
        <w:rPr>
          <w:rFonts w:ascii="Arial" w:hAnsi="Arial" w:cs="Arial"/>
        </w:rPr>
      </w:pPr>
      <w:r>
        <w:rPr>
          <w:rFonts w:ascii="Arial" w:hAnsi="Arial" w:cs="Arial"/>
        </w:rPr>
        <w:t>Es importante destacar que Telcodata fue la primera empresa con la cual inició operaciones el grupo Telconet, motivo por el cual, independientemente de sus resultados y de sus operaciones tiene un alto valor para el principal Accionista de Telconet.</w:t>
      </w:r>
    </w:p>
    <w:p w14:paraId="69A2CBFD" w14:textId="77777777" w:rsidR="0024757B" w:rsidRPr="0024757B" w:rsidRDefault="0024757B" w:rsidP="0024757B">
      <w:pPr>
        <w:pStyle w:val="BodyText"/>
        <w:spacing w:after="0"/>
        <w:ind w:left="720"/>
        <w:jc w:val="both"/>
        <w:rPr>
          <w:rFonts w:ascii="Arial" w:hAnsi="Arial" w:cs="Arial"/>
        </w:rPr>
      </w:pPr>
    </w:p>
    <w:p w14:paraId="69A8A6F6" w14:textId="6E1664EF" w:rsidR="00204A59" w:rsidRPr="00204A59" w:rsidRDefault="0024757B" w:rsidP="0024757B">
      <w:pPr>
        <w:pStyle w:val="BodyText"/>
        <w:numPr>
          <w:ilvl w:val="0"/>
          <w:numId w:val="1"/>
        </w:numPr>
        <w:spacing w:after="0"/>
        <w:jc w:val="both"/>
        <w:rPr>
          <w:rFonts w:ascii="Arial" w:hAnsi="Arial" w:cs="Arial"/>
          <w:u w:val="single"/>
        </w:rPr>
      </w:pPr>
      <w:r>
        <w:rPr>
          <w:rFonts w:ascii="Arial" w:hAnsi="Arial" w:cs="Arial"/>
          <w:u w:val="single"/>
        </w:rPr>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204A59">
        <w:rPr>
          <w:rFonts w:ascii="Arial" w:hAnsi="Arial" w:cs="Arial"/>
        </w:rPr>
        <w:t xml:space="preserve">La Compañía pertenece al grupo económico Telconet y en el </w:t>
      </w:r>
      <w:r w:rsidR="00204A59" w:rsidRPr="00204A59">
        <w:rPr>
          <w:rFonts w:ascii="Arial" w:hAnsi="Arial" w:cs="Arial"/>
          <w:b/>
          <w:bCs/>
          <w:color w:val="FF0000"/>
          <w:sz w:val="28"/>
          <w:szCs w:val="28"/>
        </w:rPr>
        <w:t>PT 4951</w:t>
      </w:r>
      <w:r w:rsidR="00204A59">
        <w:rPr>
          <w:rFonts w:ascii="Arial" w:hAnsi="Arial" w:cs="Arial"/>
          <w:b/>
          <w:bCs/>
          <w:color w:val="FF0000"/>
          <w:sz w:val="28"/>
          <w:szCs w:val="28"/>
        </w:rPr>
        <w:t xml:space="preserve"> </w:t>
      </w:r>
      <w:r w:rsidR="00204A59">
        <w:rPr>
          <w:rFonts w:ascii="Arial" w:hAnsi="Arial" w:cs="Arial"/>
        </w:rPr>
        <w:t>se listan las empresas y personas que forman parte de éste.</w:t>
      </w:r>
    </w:p>
    <w:p w14:paraId="2FC50E3D" w14:textId="77777777" w:rsidR="00204A59" w:rsidRDefault="00204A59" w:rsidP="00204A59">
      <w:pPr>
        <w:pStyle w:val="BodyText"/>
        <w:spacing w:after="0"/>
        <w:ind w:left="720"/>
        <w:jc w:val="both"/>
        <w:rPr>
          <w:rFonts w:ascii="Arial" w:hAnsi="Arial" w:cs="Arial"/>
          <w:u w:val="single"/>
        </w:rPr>
      </w:pPr>
    </w:p>
    <w:p w14:paraId="09FFF3EA" w14:textId="294F8090" w:rsidR="0024757B" w:rsidRDefault="00667AE7" w:rsidP="00204A59">
      <w:pPr>
        <w:pStyle w:val="BodyText"/>
        <w:spacing w:after="0"/>
        <w:ind w:left="720"/>
        <w:jc w:val="both"/>
        <w:rPr>
          <w:rFonts w:ascii="Arial" w:hAnsi="Arial" w:cs="Arial"/>
          <w:u w:val="single"/>
        </w:rPr>
      </w:pPr>
      <w:r>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w:t>
      </w:r>
      <w:r w:rsidR="002B2874" w:rsidRPr="00066A33">
        <w:rPr>
          <w:rFonts w:ascii="Arial" w:hAnsi="Arial" w:cs="Arial"/>
        </w:rPr>
        <w:t xml:space="preserve">En adición, desde </w:t>
      </w:r>
      <w:r w:rsidR="002B2874" w:rsidRPr="00066A33">
        <w:rPr>
          <w:rFonts w:ascii="Arial" w:hAnsi="Arial" w:cs="Arial"/>
        </w:rPr>
        <w:lastRenderedPageBreak/>
        <w:t>el año 2018 la empresa mantiene un saldo pendiente de cobro a Jan Topic Feraud por US$61 mil</w:t>
      </w:r>
      <w:r w:rsidR="00066A33" w:rsidRPr="00066A33">
        <w:rPr>
          <w:rFonts w:ascii="Arial" w:hAnsi="Arial" w:cs="Arial"/>
        </w:rPr>
        <w:t>,</w:t>
      </w:r>
      <w:r w:rsidR="00066A33">
        <w:rPr>
          <w:rFonts w:ascii="Arial" w:hAnsi="Arial" w:cs="Arial"/>
        </w:rPr>
        <w:t xml:space="preserve"> parte relacionada, y no se ha realizado provisión para deterioro de esta cuenta por cobrar. </w:t>
      </w:r>
      <w:r w:rsidR="00066A33" w:rsidRPr="00066A33">
        <w:rPr>
          <w:rFonts w:ascii="Arial" w:hAnsi="Arial" w:cs="Arial"/>
          <w:highlight w:val="yellow"/>
        </w:rPr>
        <w:t>Ver nuestras conclusiones respecto de este asunto al final de este memorándum.</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a empresa no mantiene 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a pesar de esto último, la empresa 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3EB8C714"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se reconocen cuando son facturados y los </w:t>
      </w:r>
      <w:r w:rsidR="002E0DB8">
        <w:rPr>
          <w:rFonts w:ascii="Arial" w:hAnsi="Arial" w:cs="Arial"/>
        </w:rPr>
        <w:t>inventarios</w:t>
      </w:r>
      <w:r w:rsidR="00B14064">
        <w:rPr>
          <w:rFonts w:ascii="Arial" w:hAnsi="Arial" w:cs="Arial"/>
        </w:rPr>
        <w:t xml:space="preserve">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7AD350F4" w:rsidR="0024757B" w:rsidRDefault="0024757B" w:rsidP="0024757B">
      <w:pPr>
        <w:pStyle w:val="BodyText"/>
        <w:spacing w:after="0"/>
        <w:ind w:left="720"/>
        <w:jc w:val="both"/>
        <w:rPr>
          <w:rFonts w:ascii="Arial" w:hAnsi="Arial" w:cs="Arial"/>
        </w:rPr>
      </w:pPr>
      <w:r w:rsidRPr="00066A33">
        <w:rPr>
          <w:rFonts w:ascii="Arial" w:hAnsi="Arial" w:cs="Arial"/>
          <w:i/>
          <w:iCs/>
        </w:rPr>
        <w:t>Inventarios</w:t>
      </w:r>
      <w:r w:rsidR="00667AE7" w:rsidRPr="00066A33">
        <w:rPr>
          <w:rFonts w:ascii="Arial" w:hAnsi="Arial" w:cs="Arial"/>
          <w:i/>
          <w:iCs/>
        </w:rPr>
        <w:t xml:space="preserve"> y costo de ventas</w:t>
      </w:r>
      <w:r w:rsidRPr="00066A33">
        <w:rPr>
          <w:rFonts w:ascii="Arial" w:hAnsi="Arial" w:cs="Arial"/>
          <w:i/>
          <w:iCs/>
        </w:rPr>
        <w:t xml:space="preserve"> – </w:t>
      </w:r>
      <w:r w:rsidRPr="00066A33">
        <w:rPr>
          <w:rFonts w:ascii="Arial" w:hAnsi="Arial" w:cs="Arial"/>
        </w:rPr>
        <w:t xml:space="preserve">La empresa no mantiene registros de inventarios, todas las compras son cargadas </w:t>
      </w:r>
      <w:r w:rsidR="00885ADB" w:rsidRPr="00066A33">
        <w:rPr>
          <w:rFonts w:ascii="Arial" w:hAnsi="Arial" w:cs="Arial"/>
        </w:rPr>
        <w:t>direc</w:t>
      </w:r>
      <w:r w:rsidRPr="00066A33">
        <w:rPr>
          <w:rFonts w:ascii="Arial" w:hAnsi="Arial" w:cs="Arial"/>
        </w:rPr>
        <w:t xml:space="preserve">tamente a costo de ventas pues no existen </w:t>
      </w:r>
      <w:r w:rsidR="00AD111D" w:rsidRPr="00066A33">
        <w:rPr>
          <w:rFonts w:ascii="Arial" w:hAnsi="Arial" w:cs="Arial"/>
        </w:rPr>
        <w:t>adquisiciones</w:t>
      </w:r>
      <w:r w:rsidRPr="00066A33">
        <w:rPr>
          <w:rFonts w:ascii="Arial" w:hAnsi="Arial" w:cs="Arial"/>
        </w:rPr>
        <w:t xml:space="preserve"> para stock</w:t>
      </w:r>
      <w:r w:rsidR="00066A33">
        <w:rPr>
          <w:rFonts w:ascii="Arial" w:hAnsi="Arial" w:cs="Arial"/>
        </w:rPr>
        <w:t xml:space="preserve">, situación que podría originar errores contables en caso de que al cierre del ejercicio no suceda como se indica. </w:t>
      </w:r>
      <w:r w:rsidR="00066A33" w:rsidRPr="00066A33">
        <w:rPr>
          <w:rFonts w:ascii="Arial" w:hAnsi="Arial" w:cs="Arial"/>
          <w:highlight w:val="yellow"/>
        </w:rPr>
        <w:t>Ver nuestras conclusiones al final de este memorándum.</w:t>
      </w:r>
    </w:p>
    <w:p w14:paraId="006C002E" w14:textId="6713C99D" w:rsidR="00667AE7" w:rsidRDefault="00667AE7" w:rsidP="0024757B">
      <w:pPr>
        <w:pStyle w:val="BodyText"/>
        <w:spacing w:after="0"/>
        <w:ind w:left="720"/>
        <w:jc w:val="both"/>
        <w:rPr>
          <w:rFonts w:ascii="Arial" w:hAnsi="Arial" w:cs="Arial"/>
        </w:rPr>
      </w:pPr>
    </w:p>
    <w:p w14:paraId="7D2A66EB" w14:textId="01009D4B" w:rsidR="006363E9" w:rsidRPr="006363E9" w:rsidRDefault="006363E9" w:rsidP="0024757B">
      <w:pPr>
        <w:pStyle w:val="BodyText"/>
        <w:spacing w:after="0"/>
        <w:ind w:left="720"/>
        <w:jc w:val="both"/>
        <w:rPr>
          <w:rFonts w:ascii="Arial" w:hAnsi="Arial" w:cs="Arial"/>
        </w:rPr>
      </w:pPr>
      <w:r w:rsidRPr="006363E9">
        <w:rPr>
          <w:rFonts w:ascii="Arial" w:hAnsi="Arial" w:cs="Arial"/>
          <w:i/>
          <w:iCs/>
        </w:rPr>
        <w:t xml:space="preserve">Clasificación de activos y pasivos corrientes </w:t>
      </w:r>
      <w:r>
        <w:rPr>
          <w:rFonts w:ascii="Arial" w:hAnsi="Arial" w:cs="Arial"/>
          <w:i/>
          <w:iCs/>
        </w:rPr>
        <w:t>–</w:t>
      </w:r>
      <w:r w:rsidRPr="006363E9">
        <w:rPr>
          <w:rFonts w:ascii="Arial" w:hAnsi="Arial" w:cs="Arial"/>
          <w:i/>
          <w:iCs/>
        </w:rPr>
        <w:t xml:space="preserve"> </w:t>
      </w:r>
      <w:r>
        <w:rPr>
          <w:rFonts w:ascii="Arial" w:hAnsi="Arial" w:cs="Arial"/>
        </w:rPr>
        <w:t xml:space="preserve">Las cuentas con partes relacionadas se clasifican en muchos casos como corrientes (activos y pasivos) independientemente de que no existe plazo de pago establecido, lo que puede originar activos o pasivos inadecuadamente presentados en el estado de situación financiera. </w:t>
      </w:r>
      <w:r w:rsidRPr="006363E9">
        <w:rPr>
          <w:rFonts w:ascii="Arial" w:hAnsi="Arial" w:cs="Arial"/>
          <w:highlight w:val="yellow"/>
        </w:rPr>
        <w:t>Ver nuestras conclusiones al final de este memorándum</w:t>
      </w:r>
      <w:r>
        <w:rPr>
          <w:rFonts w:ascii="Arial" w:hAnsi="Arial" w:cs="Arial"/>
        </w:rPr>
        <w:t xml:space="preserve">. </w:t>
      </w:r>
    </w:p>
    <w:p w14:paraId="534EB438" w14:textId="77777777" w:rsidR="006363E9" w:rsidRDefault="006363E9" w:rsidP="0024757B">
      <w:pPr>
        <w:pStyle w:val="BodyText"/>
        <w:spacing w:after="0"/>
        <w:ind w:left="720"/>
        <w:jc w:val="both"/>
        <w:rPr>
          <w:rFonts w:ascii="Arial" w:hAnsi="Arial" w:cs="Arial"/>
        </w:rPr>
      </w:pPr>
    </w:p>
    <w:p w14:paraId="4B7FDA35" w14:textId="72F324C1" w:rsidR="002E0DB8" w:rsidRDefault="00667AE7" w:rsidP="002E0DB8">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La provisión para cuentas incobrables generalmente es baja o no existe pues</w:t>
      </w:r>
      <w:r w:rsidR="00AD111D">
        <w:rPr>
          <w:rFonts w:ascii="Arial" w:hAnsi="Arial" w:cs="Arial"/>
        </w:rPr>
        <w:t>, en el año 2020,</w:t>
      </w:r>
      <w:r w:rsidR="00B14064">
        <w:rPr>
          <w:rFonts w:ascii="Arial" w:hAnsi="Arial" w:cs="Arial"/>
        </w:rPr>
        <w:t xml:space="preserve"> </w:t>
      </w:r>
      <w:r w:rsidR="00AD111D">
        <w:rPr>
          <w:rFonts w:ascii="Arial" w:hAnsi="Arial" w:cs="Arial"/>
        </w:rPr>
        <w:t>su único cliente es Telconet</w:t>
      </w:r>
      <w:r w:rsidR="00B14064">
        <w:rPr>
          <w:rFonts w:ascii="Arial" w:hAnsi="Arial" w:cs="Arial"/>
        </w:rPr>
        <w:t xml:space="preserve"> S.A</w:t>
      </w:r>
      <w:r w:rsidR="002E0DB8">
        <w:rPr>
          <w:rFonts w:ascii="Arial" w:hAnsi="Arial" w:cs="Arial"/>
        </w:rPr>
        <w:t>. Accionista</w:t>
      </w:r>
      <w:r w:rsidR="00AD111D">
        <w:rPr>
          <w:rFonts w:ascii="Arial" w:hAnsi="Arial" w:cs="Arial"/>
        </w:rPr>
        <w:t xml:space="preserve"> de la empresa, empresa con la cual no existe riesgo de incobrabilidad por su excelente calificación crediticia y resultados financieros.</w:t>
      </w:r>
    </w:p>
    <w:p w14:paraId="0FA0619D" w14:textId="77777777" w:rsidR="00CB2DDF" w:rsidRDefault="00CB2DDF">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6D533FFC" w14:textId="406A087F" w:rsidR="00CB2DDF" w:rsidRDefault="00B14064" w:rsidP="006E5825">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w:t>
      </w:r>
      <w:r w:rsidR="00442D59">
        <w:rPr>
          <w:rFonts w:ascii="Arial" w:hAnsi="Arial" w:cs="Arial"/>
          <w:bCs/>
        </w:rPr>
        <w:t>Actualmente el único cliente de Telcodata es su Accionista: Telconet, a quien provee de baterías secas (</w:t>
      </w:r>
      <w:proofErr w:type="spellStart"/>
      <w:r w:rsidR="00442D59">
        <w:rPr>
          <w:rFonts w:ascii="Arial" w:hAnsi="Arial" w:cs="Arial"/>
          <w:bCs/>
        </w:rPr>
        <w:t>dry</w:t>
      </w:r>
      <w:proofErr w:type="spellEnd"/>
      <w:r w:rsidR="00442D59">
        <w:rPr>
          <w:rFonts w:ascii="Arial" w:hAnsi="Arial" w:cs="Arial"/>
          <w:bCs/>
        </w:rPr>
        <w:t xml:space="preserve"> </w:t>
      </w:r>
      <w:proofErr w:type="spellStart"/>
      <w:r w:rsidR="00442D59">
        <w:rPr>
          <w:rFonts w:ascii="Arial" w:hAnsi="Arial" w:cs="Arial"/>
          <w:bCs/>
        </w:rPr>
        <w:t>battery</w:t>
      </w:r>
      <w:proofErr w:type="spellEnd"/>
      <w:r w:rsidR="00442D59">
        <w:rPr>
          <w:rFonts w:ascii="Arial" w:hAnsi="Arial" w:cs="Arial"/>
          <w:bCs/>
        </w:rPr>
        <w:t>) generalmente de 12 voltios y diversos amperajes (80, 120 AH, etc.)</w:t>
      </w:r>
      <w:r w:rsidR="006E5825">
        <w:rPr>
          <w:rFonts w:ascii="Arial" w:hAnsi="Arial" w:cs="Arial"/>
          <w:bCs/>
        </w:rPr>
        <w:t xml:space="preserve">; estas baterías sirven para proteger los equipos (principalmente nodos), tanto propios como de clientes, en casos de cortes </w:t>
      </w:r>
      <w:r w:rsidR="006E5825">
        <w:rPr>
          <w:rFonts w:ascii="Arial" w:hAnsi="Arial" w:cs="Arial"/>
          <w:bCs/>
        </w:rPr>
        <w:lastRenderedPageBreak/>
        <w:t>o fallas de energía eléctrica y en promedio se elabora una factura mensual por las mercaderías provistas en cada período.</w:t>
      </w:r>
    </w:p>
    <w:p w14:paraId="3ED4BA77" w14:textId="02024844" w:rsidR="008A370E" w:rsidRDefault="008A370E" w:rsidP="008A370E">
      <w:pPr>
        <w:pStyle w:val="BodyText"/>
        <w:spacing w:after="0"/>
        <w:ind w:left="720"/>
        <w:jc w:val="both"/>
        <w:rPr>
          <w:rFonts w:ascii="Arial" w:hAnsi="Arial" w:cs="Arial"/>
          <w:bCs/>
          <w:u w:val="single"/>
        </w:rPr>
      </w:pPr>
    </w:p>
    <w:p w14:paraId="2C9B14CC" w14:textId="4EB9C826" w:rsidR="008A370E" w:rsidRPr="008A370E" w:rsidRDefault="008A370E" w:rsidP="008A370E">
      <w:pPr>
        <w:pStyle w:val="BodyText"/>
        <w:spacing w:after="0"/>
        <w:ind w:left="720"/>
        <w:jc w:val="both"/>
        <w:rPr>
          <w:rFonts w:ascii="Arial" w:hAnsi="Arial" w:cs="Arial"/>
          <w:bCs/>
        </w:rPr>
      </w:pPr>
      <w:r>
        <w:rPr>
          <w:rFonts w:ascii="Arial" w:hAnsi="Arial" w:cs="Arial"/>
          <w:bCs/>
        </w:rPr>
        <w:t>Las facturas por ventas no indican el plazo de crédito y los días promedio de cobranza fueron de 61 en el 209 y 146 en el 2020 (octubre)</w:t>
      </w:r>
    </w:p>
    <w:p w14:paraId="2DCA936B" w14:textId="77777777" w:rsidR="00CB2DDF" w:rsidRDefault="00CB2DDF">
      <w:pPr>
        <w:pStyle w:val="BodyText"/>
        <w:spacing w:after="0"/>
        <w:ind w:left="720"/>
        <w:jc w:val="both"/>
        <w:rPr>
          <w:rFonts w:ascii="Arial" w:hAnsi="Arial" w:cs="Arial"/>
          <w:bCs/>
        </w:rPr>
      </w:pPr>
    </w:p>
    <w:p w14:paraId="190612EE" w14:textId="1B2326A2"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La</w:t>
      </w:r>
      <w:r w:rsidR="0064174C">
        <w:rPr>
          <w:rFonts w:ascii="Arial" w:hAnsi="Arial" w:cs="Arial"/>
          <w:bCs/>
        </w:rPr>
        <w:t>s</w:t>
      </w:r>
      <w:r w:rsidR="00672676">
        <w:rPr>
          <w:rFonts w:ascii="Arial" w:hAnsi="Arial" w:cs="Arial"/>
          <w:bCs/>
        </w:rPr>
        <w:t xml:space="preserve"> mercadería</w:t>
      </w:r>
      <w:r w:rsidR="0064174C">
        <w:rPr>
          <w:rFonts w:ascii="Arial" w:hAnsi="Arial" w:cs="Arial"/>
          <w:bCs/>
        </w:rPr>
        <w:t>s</w:t>
      </w:r>
      <w:r w:rsidR="00672676">
        <w:rPr>
          <w:rFonts w:ascii="Arial" w:hAnsi="Arial" w:cs="Arial"/>
          <w:bCs/>
        </w:rPr>
        <w:t xml:space="preserve"> que comercializa la empresa viene del exterior y se importa de China siendo Shenzhen </w:t>
      </w:r>
      <w:proofErr w:type="spellStart"/>
      <w:r w:rsidR="00672676">
        <w:rPr>
          <w:rFonts w:ascii="Arial" w:hAnsi="Arial" w:cs="Arial"/>
          <w:bCs/>
        </w:rPr>
        <w:t>EverExceed</w:t>
      </w:r>
      <w:proofErr w:type="spellEnd"/>
      <w:r w:rsidR="00672676">
        <w:rPr>
          <w:rFonts w:ascii="Arial" w:hAnsi="Arial" w:cs="Arial"/>
          <w:bCs/>
        </w:rPr>
        <w:t xml:space="preserve"> Industrial Co. Ltda. el proveedor</w:t>
      </w:r>
      <w:r w:rsidR="0064174C">
        <w:rPr>
          <w:rFonts w:ascii="Arial" w:hAnsi="Arial" w:cs="Arial"/>
          <w:bCs/>
        </w:rPr>
        <w:t>.</w:t>
      </w:r>
    </w:p>
    <w:p w14:paraId="1910F487" w14:textId="77777777" w:rsidR="00CB2DDF" w:rsidRDefault="00CB2DDF">
      <w:pPr>
        <w:pStyle w:val="BodyText"/>
        <w:spacing w:after="0"/>
        <w:ind w:left="720"/>
        <w:jc w:val="both"/>
        <w:rPr>
          <w:rFonts w:ascii="Arial" w:hAnsi="Arial" w:cs="Arial"/>
          <w:u w:val="single"/>
        </w:rPr>
      </w:pPr>
    </w:p>
    <w:p w14:paraId="3A819E22" w14:textId="0929D053"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w:t>
      </w:r>
      <w:r w:rsidR="008A370E">
        <w:rPr>
          <w:rFonts w:ascii="Arial" w:hAnsi="Arial" w:cs="Arial"/>
          <w:bCs/>
        </w:rPr>
        <w:t xml:space="preserve">Aunque existen otras empresas que podrían proveer a Telconet de tales baterías, la importación de </w:t>
      </w:r>
      <w:proofErr w:type="gramStart"/>
      <w:r w:rsidR="008A370E">
        <w:rPr>
          <w:rFonts w:ascii="Arial" w:hAnsi="Arial" w:cs="Arial"/>
          <w:bCs/>
        </w:rPr>
        <w:t>las mismas</w:t>
      </w:r>
      <w:proofErr w:type="gramEnd"/>
      <w:r w:rsidR="008A370E">
        <w:rPr>
          <w:rFonts w:ascii="Arial" w:hAnsi="Arial" w:cs="Arial"/>
          <w:bCs/>
        </w:rPr>
        <w:t xml:space="preserve"> se realiza por intermedio de Telcodata debido a la relación Accionista – Subsidiaria que existe.</w:t>
      </w:r>
    </w:p>
    <w:p w14:paraId="199C55F2" w14:textId="77777777" w:rsidR="00CB2DDF" w:rsidRDefault="00CB2DDF">
      <w:pPr>
        <w:pStyle w:val="BodyText"/>
        <w:spacing w:after="0"/>
        <w:ind w:left="720"/>
        <w:jc w:val="both"/>
        <w:rPr>
          <w:rFonts w:ascii="Arial" w:hAnsi="Arial" w:cs="Arial"/>
        </w:rPr>
      </w:pPr>
    </w:p>
    <w:p w14:paraId="1D99E55B" w14:textId="77777777" w:rsidR="00CB2DDF" w:rsidRPr="008A370E" w:rsidRDefault="00B14064">
      <w:pPr>
        <w:pStyle w:val="BodyText"/>
        <w:numPr>
          <w:ilvl w:val="0"/>
          <w:numId w:val="2"/>
        </w:numPr>
        <w:spacing w:after="0"/>
        <w:jc w:val="both"/>
        <w:rPr>
          <w:rFonts w:ascii="Arial" w:hAnsi="Arial" w:cs="Arial"/>
          <w:highlight w:val="yellow"/>
        </w:rPr>
      </w:pPr>
      <w:r w:rsidRPr="008A370E">
        <w:rPr>
          <w:rFonts w:ascii="Arial" w:hAnsi="Arial" w:cs="Arial"/>
          <w:highlight w:val="yellow"/>
          <w:u w:val="single"/>
        </w:rPr>
        <w:t>Desarrollos Tecnológicos</w:t>
      </w:r>
      <w:r w:rsidRPr="008A370E">
        <w:rPr>
          <w:rFonts w:ascii="Arial" w:hAnsi="Arial" w:cs="Arial"/>
          <w:highlight w:val="yellow"/>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14:paraId="34008FA1" w14:textId="77777777" w:rsidR="00CB2DDF" w:rsidRDefault="00CB2DDF">
      <w:pPr>
        <w:pStyle w:val="BodyText"/>
        <w:spacing w:after="0"/>
        <w:ind w:left="720"/>
        <w:jc w:val="both"/>
        <w:rPr>
          <w:rFonts w:ascii="Arial" w:hAnsi="Arial" w:cs="Arial"/>
        </w:rPr>
      </w:pPr>
    </w:p>
    <w:p w14:paraId="603AC8A1" w14:textId="6F29A3E5" w:rsidR="00CB2DDF" w:rsidRDefault="00B14064" w:rsidP="00831583">
      <w:pPr>
        <w:pStyle w:val="BodyText"/>
        <w:numPr>
          <w:ilvl w:val="0"/>
          <w:numId w:val="2"/>
        </w:numPr>
        <w:spacing w:after="0"/>
        <w:jc w:val="both"/>
        <w:rPr>
          <w:rFonts w:ascii="Arial" w:hAnsi="Arial" w:cs="Arial"/>
        </w:rPr>
      </w:pPr>
      <w:r w:rsidRPr="00831583">
        <w:rPr>
          <w:rFonts w:ascii="Arial" w:hAnsi="Arial" w:cs="Arial"/>
          <w:u w:val="single"/>
        </w:rPr>
        <w:t>Marco de referencia de Información Financiera</w:t>
      </w:r>
      <w:r w:rsidRPr="00831583">
        <w:rPr>
          <w:rFonts w:ascii="Arial" w:hAnsi="Arial" w:cs="Arial"/>
        </w:rPr>
        <w:t xml:space="preserve"> – </w:t>
      </w:r>
      <w:r w:rsidR="00831583">
        <w:rPr>
          <w:rFonts w:ascii="Arial" w:hAnsi="Arial" w:cs="Arial"/>
        </w:rPr>
        <w:t>Debido a que Telcodata forma parte del grupo Telconet, utiliza NIIF completas para propósito de sus reportes financieros y consolidación con su matriz. El informe de auditoría utiliza este marco de referencia.</w:t>
      </w:r>
    </w:p>
    <w:p w14:paraId="2B817211" w14:textId="77777777" w:rsidR="00831583" w:rsidRPr="00831583" w:rsidRDefault="00831583" w:rsidP="00831583">
      <w:pPr>
        <w:pStyle w:val="BodyText"/>
        <w:spacing w:after="0"/>
        <w:ind w:left="720"/>
        <w:jc w:val="both"/>
        <w:rPr>
          <w:rFonts w:ascii="Arial" w:hAnsi="Arial" w:cs="Arial"/>
        </w:rPr>
      </w:pPr>
    </w:p>
    <w:p w14:paraId="4C4748D6" w14:textId="77777777" w:rsidR="00831583" w:rsidRDefault="00B14064">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p>
    <w:p w14:paraId="1C387F1D" w14:textId="77777777" w:rsidR="008D554F" w:rsidRDefault="008D554F" w:rsidP="008D554F">
      <w:pPr>
        <w:pStyle w:val="BodyText"/>
        <w:spacing w:after="0"/>
        <w:ind w:left="720"/>
        <w:jc w:val="both"/>
        <w:rPr>
          <w:rFonts w:ascii="Arial" w:hAnsi="Arial" w:cs="Arial"/>
          <w:u w:val="single"/>
        </w:rPr>
      </w:pPr>
    </w:p>
    <w:tbl>
      <w:tblPr>
        <w:tblStyle w:val="TableGrid"/>
        <w:tblW w:w="8064" w:type="dxa"/>
        <w:tblInd w:w="720" w:type="dxa"/>
        <w:tblLook w:val="04A0" w:firstRow="1" w:lastRow="0" w:firstColumn="1" w:lastColumn="0" w:noHBand="0" w:noVBand="1"/>
      </w:tblPr>
      <w:tblGrid>
        <w:gridCol w:w="1317"/>
        <w:gridCol w:w="6747"/>
      </w:tblGrid>
      <w:tr w:rsidR="008D554F" w14:paraId="165F5A98" w14:textId="77777777" w:rsidTr="001369F3">
        <w:tc>
          <w:tcPr>
            <w:tcW w:w="1317" w:type="dxa"/>
            <w:shd w:val="clear" w:color="auto" w:fill="auto"/>
          </w:tcPr>
          <w:p w14:paraId="3E7134EE"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Norma</w:t>
            </w:r>
          </w:p>
        </w:tc>
        <w:tc>
          <w:tcPr>
            <w:tcW w:w="6747" w:type="dxa"/>
            <w:shd w:val="clear" w:color="auto" w:fill="auto"/>
          </w:tcPr>
          <w:p w14:paraId="18086D8C"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Descripción</w:t>
            </w:r>
          </w:p>
        </w:tc>
      </w:tr>
      <w:tr w:rsidR="008D554F" w14:paraId="59435464" w14:textId="77777777" w:rsidTr="001369F3">
        <w:tc>
          <w:tcPr>
            <w:tcW w:w="1317" w:type="dxa"/>
            <w:shd w:val="clear" w:color="auto" w:fill="auto"/>
          </w:tcPr>
          <w:p w14:paraId="63233EAD" w14:textId="77777777" w:rsidR="008D554F" w:rsidRDefault="008D554F" w:rsidP="003E337A">
            <w:pPr>
              <w:pStyle w:val="BodyText"/>
              <w:spacing w:after="0" w:line="240" w:lineRule="auto"/>
              <w:jc w:val="both"/>
              <w:rPr>
                <w:rFonts w:ascii="Arial" w:hAnsi="Arial" w:cs="Arial"/>
              </w:rPr>
            </w:pPr>
            <w:r>
              <w:rPr>
                <w:rFonts w:ascii="Arial" w:hAnsi="Arial" w:cs="Arial"/>
              </w:rPr>
              <w:t>Enmiendas a NIC 1 y NIC 8</w:t>
            </w:r>
          </w:p>
        </w:tc>
        <w:tc>
          <w:tcPr>
            <w:tcW w:w="6747" w:type="dxa"/>
            <w:shd w:val="clear" w:color="auto" w:fill="auto"/>
          </w:tcPr>
          <w:p w14:paraId="5A285B4C"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“material”</w:t>
            </w:r>
          </w:p>
        </w:tc>
      </w:tr>
      <w:tr w:rsidR="008D554F" w14:paraId="6C99C756" w14:textId="77777777" w:rsidTr="001369F3">
        <w:tc>
          <w:tcPr>
            <w:tcW w:w="1317" w:type="dxa"/>
            <w:shd w:val="clear" w:color="auto" w:fill="auto"/>
          </w:tcPr>
          <w:p w14:paraId="07095BBF" w14:textId="77777777" w:rsidR="008D554F" w:rsidRDefault="008D554F" w:rsidP="003E337A">
            <w:pPr>
              <w:pStyle w:val="BodyText"/>
              <w:spacing w:after="0" w:line="240" w:lineRule="auto"/>
              <w:jc w:val="both"/>
              <w:rPr>
                <w:rFonts w:ascii="Arial" w:hAnsi="Arial" w:cs="Arial"/>
              </w:rPr>
            </w:pPr>
            <w:r>
              <w:rPr>
                <w:rFonts w:ascii="Arial" w:hAnsi="Arial" w:cs="Arial"/>
              </w:rPr>
              <w:t>Enmienda a NIIF 3</w:t>
            </w:r>
          </w:p>
        </w:tc>
        <w:tc>
          <w:tcPr>
            <w:tcW w:w="6747" w:type="dxa"/>
            <w:shd w:val="clear" w:color="auto" w:fill="auto"/>
          </w:tcPr>
          <w:p w14:paraId="0D11529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“negocio” en una combinación de negocios.</w:t>
            </w:r>
          </w:p>
        </w:tc>
      </w:tr>
      <w:tr w:rsidR="008D554F" w14:paraId="63DC5FB8" w14:textId="77777777" w:rsidTr="001369F3">
        <w:tc>
          <w:tcPr>
            <w:tcW w:w="1317" w:type="dxa"/>
            <w:shd w:val="clear" w:color="auto" w:fill="auto"/>
          </w:tcPr>
          <w:p w14:paraId="62812AB2" w14:textId="77777777" w:rsidR="008D554F" w:rsidRDefault="008D554F" w:rsidP="003E337A">
            <w:pPr>
              <w:pStyle w:val="BodyText"/>
              <w:spacing w:after="0" w:line="240" w:lineRule="auto"/>
              <w:jc w:val="both"/>
              <w:rPr>
                <w:rFonts w:ascii="Arial" w:hAnsi="Arial" w:cs="Arial"/>
              </w:rPr>
            </w:pPr>
            <w:r>
              <w:rPr>
                <w:rFonts w:ascii="Arial" w:hAnsi="Arial" w:cs="Arial"/>
              </w:rPr>
              <w:t>Marco conceptual</w:t>
            </w:r>
          </w:p>
        </w:tc>
        <w:tc>
          <w:tcPr>
            <w:tcW w:w="6747" w:type="dxa"/>
            <w:shd w:val="clear" w:color="auto" w:fill="auto"/>
          </w:tcPr>
          <w:p w14:paraId="104FE3A1" w14:textId="77777777" w:rsidR="008D554F" w:rsidRDefault="008D554F" w:rsidP="003E337A">
            <w:pPr>
              <w:pStyle w:val="BodyText"/>
              <w:spacing w:after="0" w:line="240" w:lineRule="auto"/>
              <w:jc w:val="both"/>
              <w:rPr>
                <w:rFonts w:ascii="Arial" w:hAnsi="Arial" w:cs="Arial"/>
              </w:rPr>
            </w:pPr>
            <w:r>
              <w:rPr>
                <w:rFonts w:ascii="Arial" w:hAnsi="Arial" w:cs="Arial"/>
              </w:rPr>
              <w:t>Revisión al marco conceptual de las NIIF</w:t>
            </w:r>
          </w:p>
        </w:tc>
      </w:tr>
      <w:tr w:rsidR="001369F3" w14:paraId="6CBCAF7D" w14:textId="77777777" w:rsidTr="001369F3">
        <w:tc>
          <w:tcPr>
            <w:tcW w:w="1317" w:type="dxa"/>
            <w:shd w:val="clear" w:color="auto" w:fill="auto"/>
          </w:tcPr>
          <w:p w14:paraId="75AF7394" w14:textId="77777777" w:rsidR="001369F3" w:rsidRDefault="001369F3" w:rsidP="003E337A">
            <w:pPr>
              <w:pStyle w:val="BodyText"/>
              <w:spacing w:after="0" w:line="240" w:lineRule="auto"/>
              <w:jc w:val="both"/>
              <w:rPr>
                <w:rFonts w:ascii="Arial" w:hAnsi="Arial" w:cs="Arial"/>
              </w:rPr>
            </w:pPr>
            <w:r>
              <w:rPr>
                <w:rFonts w:ascii="Arial" w:hAnsi="Arial" w:cs="Arial"/>
              </w:rPr>
              <w:t>Enmiendas anuales ciclo 2018-2020</w:t>
            </w:r>
          </w:p>
        </w:tc>
        <w:tc>
          <w:tcPr>
            <w:tcW w:w="6747" w:type="dxa"/>
            <w:shd w:val="clear" w:color="auto" w:fill="auto"/>
          </w:tcPr>
          <w:p w14:paraId="66F1FE7B" w14:textId="77777777" w:rsidR="001369F3" w:rsidRDefault="001369F3" w:rsidP="003E337A">
            <w:pPr>
              <w:pStyle w:val="BodyText"/>
              <w:spacing w:after="0" w:line="240" w:lineRule="auto"/>
              <w:jc w:val="both"/>
              <w:rPr>
                <w:rFonts w:ascii="Arial" w:hAnsi="Arial" w:cs="Arial"/>
              </w:rPr>
            </w:pPr>
            <w:r>
              <w:rPr>
                <w:rFonts w:ascii="Arial" w:hAnsi="Arial" w:cs="Arial"/>
              </w:rPr>
              <w:t>Modificaciones anuales a las Normas Internacionales de Información Financiera</w:t>
            </w:r>
          </w:p>
        </w:tc>
      </w:tr>
      <w:tr w:rsidR="008D554F" w14:paraId="53337297" w14:textId="77777777" w:rsidTr="001369F3">
        <w:tc>
          <w:tcPr>
            <w:tcW w:w="1317" w:type="dxa"/>
            <w:shd w:val="clear" w:color="auto" w:fill="auto"/>
          </w:tcPr>
          <w:p w14:paraId="1850F395" w14:textId="77777777" w:rsidR="008D554F" w:rsidRDefault="008D554F" w:rsidP="003E337A">
            <w:pPr>
              <w:pStyle w:val="BodyText"/>
              <w:spacing w:after="0" w:line="240" w:lineRule="auto"/>
              <w:rPr>
                <w:rFonts w:ascii="Arial" w:hAnsi="Arial" w:cs="Arial"/>
              </w:rPr>
            </w:pPr>
            <w:r>
              <w:rPr>
                <w:rFonts w:ascii="Arial" w:hAnsi="Arial" w:cs="Arial"/>
              </w:rPr>
              <w:t>Enmiendas a la NIIF 16</w:t>
            </w:r>
          </w:p>
        </w:tc>
        <w:tc>
          <w:tcPr>
            <w:tcW w:w="6747" w:type="dxa"/>
            <w:shd w:val="clear" w:color="auto" w:fill="auto"/>
          </w:tcPr>
          <w:p w14:paraId="749D578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relacionadas con las concesiones de renta en el marco de la pandemia de covid-19</w:t>
            </w:r>
          </w:p>
        </w:tc>
      </w:tr>
    </w:tbl>
    <w:p w14:paraId="6E97FC43" w14:textId="77777777" w:rsidR="008A370E" w:rsidRDefault="008A370E" w:rsidP="00831583">
      <w:pPr>
        <w:pStyle w:val="BodyText"/>
        <w:spacing w:after="0"/>
        <w:ind w:left="720"/>
        <w:jc w:val="both"/>
        <w:rPr>
          <w:rFonts w:ascii="Arial" w:hAnsi="Arial" w:cs="Arial"/>
        </w:rPr>
      </w:pPr>
    </w:p>
    <w:p w14:paraId="01C98E1E" w14:textId="2429B1D5" w:rsidR="001369F3" w:rsidRDefault="001369F3" w:rsidP="00831583">
      <w:pPr>
        <w:pStyle w:val="BodyText"/>
        <w:spacing w:after="0"/>
        <w:ind w:left="720"/>
        <w:jc w:val="both"/>
        <w:rPr>
          <w:rFonts w:ascii="Arial" w:hAnsi="Arial" w:cs="Arial"/>
        </w:rPr>
      </w:pPr>
      <w:r>
        <w:rPr>
          <w:rFonts w:ascii="Arial" w:hAnsi="Arial" w:cs="Arial"/>
        </w:rPr>
        <w:t>Las enmiendas arriba listadas no han tenido impacto en los importes reconocidos en periodos anteriores y no se espera que afecten de manera significativa al periodo corriente o a futuros períodos.</w:t>
      </w:r>
    </w:p>
    <w:p w14:paraId="6EF53845" w14:textId="4259CD6E" w:rsidR="00831583" w:rsidRPr="008A370E" w:rsidRDefault="00831583" w:rsidP="008A370E">
      <w:pPr>
        <w:pStyle w:val="BodyText"/>
        <w:spacing w:after="0"/>
        <w:ind w:left="720"/>
        <w:jc w:val="both"/>
        <w:rPr>
          <w:rFonts w:ascii="Arial" w:hAnsi="Arial" w:cs="Arial"/>
          <w:i/>
          <w:iCs/>
        </w:rPr>
      </w:pPr>
      <w:r w:rsidRPr="008A370E">
        <w:rPr>
          <w:rFonts w:ascii="Arial" w:hAnsi="Arial" w:cs="Arial"/>
          <w:i/>
          <w:iCs/>
          <w:u w:val="single"/>
        </w:rPr>
        <w:lastRenderedPageBreak/>
        <w:t>Normativa Tributaria y Societaria</w:t>
      </w:r>
      <w:r w:rsidR="008A370E">
        <w:rPr>
          <w:rFonts w:ascii="Arial" w:hAnsi="Arial" w:cs="Arial"/>
          <w:i/>
          <w:iCs/>
        </w:rPr>
        <w:t xml:space="preserve"> - </w:t>
      </w:r>
      <w:r>
        <w:rPr>
          <w:rFonts w:ascii="Arial" w:hAnsi="Arial" w:cs="Arial"/>
        </w:rPr>
        <w:t>Desde el año 2019 se aumentó la tarifa de impuesto a la renta corporativo al 25% (antes 22%) y se mantiene sin cambios.</w:t>
      </w:r>
    </w:p>
    <w:p w14:paraId="507C968B" w14:textId="77777777" w:rsidR="00831583" w:rsidRDefault="00831583" w:rsidP="00831583">
      <w:pPr>
        <w:pStyle w:val="BodyText"/>
        <w:spacing w:after="0"/>
        <w:ind w:left="720"/>
        <w:jc w:val="both"/>
        <w:rPr>
          <w:rFonts w:ascii="Arial" w:hAnsi="Arial" w:cs="Arial"/>
          <w:u w:val="single"/>
        </w:rPr>
      </w:pPr>
    </w:p>
    <w:p w14:paraId="56A8267D" w14:textId="77777777" w:rsidR="00831583" w:rsidRDefault="00831583" w:rsidP="00831583">
      <w:pPr>
        <w:pStyle w:val="BodyText"/>
        <w:spacing w:after="0"/>
        <w:ind w:left="720"/>
        <w:jc w:val="both"/>
        <w:rPr>
          <w:rFonts w:ascii="Arial" w:hAnsi="Arial" w:cs="Arial"/>
        </w:rPr>
      </w:pPr>
      <w:r>
        <w:rPr>
          <w:rFonts w:ascii="Arial" w:hAnsi="Arial" w:cs="Arial"/>
        </w:rPr>
        <w:t xml:space="preserve">A pesar de lo mencionado, la normativa tributaria se modifica todos los años por parte del Gobierno, generalmente a efectos de aumentar la recaudación para financiar el déficit fiscal del País. </w:t>
      </w:r>
    </w:p>
    <w:p w14:paraId="0BD97B01" w14:textId="77777777" w:rsidR="00831583" w:rsidRDefault="00831583" w:rsidP="00831583">
      <w:pPr>
        <w:pStyle w:val="BodyText"/>
        <w:spacing w:after="0"/>
        <w:jc w:val="both"/>
        <w:rPr>
          <w:rFonts w:ascii="Arial" w:hAnsi="Arial" w:cs="Arial"/>
        </w:rPr>
      </w:pPr>
    </w:p>
    <w:p w14:paraId="4A357C20" w14:textId="3495E851" w:rsidR="00831583" w:rsidRPr="008A370E" w:rsidRDefault="00831583" w:rsidP="008A370E">
      <w:pPr>
        <w:pStyle w:val="BodyText"/>
        <w:spacing w:after="0"/>
        <w:ind w:left="705"/>
        <w:jc w:val="both"/>
        <w:rPr>
          <w:rFonts w:ascii="Arial" w:hAnsi="Arial" w:cs="Arial"/>
          <w:i/>
          <w:iCs/>
          <w:u w:val="single"/>
        </w:rPr>
      </w:pPr>
      <w:r w:rsidRPr="008A370E">
        <w:rPr>
          <w:rFonts w:ascii="Arial" w:hAnsi="Arial" w:cs="Arial"/>
          <w:i/>
          <w:iCs/>
          <w:u w:val="single"/>
        </w:rPr>
        <w:t>Covid-19</w:t>
      </w:r>
      <w:r w:rsidR="008A370E" w:rsidRPr="008A370E">
        <w:rPr>
          <w:rFonts w:ascii="Arial" w:hAnsi="Arial" w:cs="Arial"/>
          <w:i/>
          <w:iCs/>
        </w:rPr>
        <w:t xml:space="preserve"> - </w:t>
      </w:r>
      <w:r>
        <w:rPr>
          <w:rFonts w:ascii="Arial" w:hAnsi="Arial" w:cs="Arial"/>
        </w:rPr>
        <w:t xml:space="preserve">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w:t>
      </w:r>
      <w:r w:rsidRPr="008A370E">
        <w:rPr>
          <w:rFonts w:ascii="Arial" w:hAnsi="Arial" w:cs="Arial"/>
          <w:highlight w:val="yellow"/>
        </w:rPr>
        <w:t>est</w:t>
      </w:r>
      <w:r w:rsidR="00B26896">
        <w:rPr>
          <w:rFonts w:ascii="Arial" w:hAnsi="Arial" w:cs="Arial"/>
          <w:highlight w:val="yellow"/>
        </w:rPr>
        <w:t>a situación</w:t>
      </w:r>
      <w:r w:rsidRPr="008A370E">
        <w:rPr>
          <w:rFonts w:ascii="Arial" w:hAnsi="Arial" w:cs="Arial"/>
          <w:highlight w:val="yellow"/>
        </w:rPr>
        <w:t xml:space="preserve"> se revelará en nuestra opinión </w:t>
      </w:r>
      <w:r w:rsidR="00B26896">
        <w:rPr>
          <w:rFonts w:ascii="Arial" w:hAnsi="Arial" w:cs="Arial"/>
          <w:highlight w:val="yellow"/>
        </w:rPr>
        <w:t xml:space="preserve">mediante un párrafo de énfasis, </w:t>
      </w:r>
      <w:r w:rsidRPr="008A370E">
        <w:rPr>
          <w:rFonts w:ascii="Arial" w:hAnsi="Arial" w:cs="Arial"/>
          <w:highlight w:val="yellow"/>
        </w:rPr>
        <w:t xml:space="preserve">y en nota a los estados </w:t>
      </w:r>
      <w:r w:rsidRPr="00B26896">
        <w:rPr>
          <w:rFonts w:ascii="Arial" w:hAnsi="Arial" w:cs="Arial"/>
          <w:highlight w:val="yellow"/>
        </w:rPr>
        <w:t>financieros</w:t>
      </w:r>
      <w:r w:rsidR="00B26896" w:rsidRPr="00B26896">
        <w:rPr>
          <w:rFonts w:ascii="Arial" w:hAnsi="Arial" w:cs="Arial"/>
          <w:highlight w:val="yellow"/>
        </w:rPr>
        <w:t xml:space="preserve"> (Ver resumen de conclusiones al final de este memorándum)</w:t>
      </w:r>
      <w:r>
        <w:rPr>
          <w:rFonts w:ascii="Arial" w:hAnsi="Arial" w:cs="Arial"/>
        </w:rPr>
        <w:t xml:space="preserve"> mencionando: la naturaleza del hecho, una estimación de sus efectos financieros, o un pronunciamiento sobre la imposibilidad de realizar dicha estimación.</w:t>
      </w:r>
    </w:p>
    <w:p w14:paraId="30EDA54F" w14:textId="77777777" w:rsidR="00CB2DDF" w:rsidRDefault="00CB2DDF">
      <w:pPr>
        <w:pStyle w:val="BodyText"/>
        <w:spacing w:after="0"/>
        <w:ind w:left="720"/>
        <w:jc w:val="both"/>
        <w:rPr>
          <w:rFonts w:ascii="Arial" w:hAnsi="Arial" w:cs="Arial"/>
        </w:rPr>
      </w:pPr>
    </w:p>
    <w:p w14:paraId="27EB8657" w14:textId="0F82E733" w:rsidR="00CB2DDF" w:rsidRDefault="00B14064">
      <w:pPr>
        <w:pStyle w:val="BodyText"/>
        <w:numPr>
          <w:ilvl w:val="0"/>
          <w:numId w:val="2"/>
        </w:numPr>
        <w:spacing w:after="0"/>
        <w:rPr>
          <w:rFonts w:ascii="Arial" w:hAnsi="Arial" w:cs="Arial"/>
        </w:rPr>
      </w:pPr>
      <w:r>
        <w:rPr>
          <w:rFonts w:ascii="Arial" w:hAnsi="Arial" w:cs="Arial"/>
          <w:u w:val="single"/>
        </w:rPr>
        <w:t xml:space="preserve">Condiciones económicas </w:t>
      </w:r>
      <w:r w:rsidR="00F43BC7">
        <w:rPr>
          <w:rFonts w:ascii="Arial" w:hAnsi="Arial" w:cs="Arial"/>
          <w:u w:val="single"/>
        </w:rPr>
        <w:t>generales</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 xml:space="preserve">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w:t>
      </w:r>
      <w:r>
        <w:rPr>
          <w:rFonts w:ascii="Arial" w:hAnsi="Arial" w:cs="Arial"/>
        </w:rPr>
        <w:lastRenderedPageBreak/>
        <w:t>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236E5C8B"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construcción, manufactura, turismo, servicios</w:t>
      </w:r>
      <w:r w:rsidR="00F43BC7">
        <w:rPr>
          <w:rFonts w:ascii="Arial" w:hAnsi="Arial" w:cs="Arial"/>
        </w:rPr>
        <w:t>.</w:t>
      </w:r>
      <w:r w:rsidR="00667AE7">
        <w:rPr>
          <w:rFonts w:ascii="Arial" w:hAnsi="Arial" w:cs="Arial"/>
        </w:rPr>
        <w:t xml:space="preserve"> </w:t>
      </w:r>
      <w:r>
        <w:rPr>
          <w:rFonts w:ascii="Arial" w:hAnsi="Arial" w:cs="Arial"/>
        </w:rPr>
        <w:t>A septiembre del 2020 Ecuador mantiene una tasa de aproximadamente 10 nuevos contagios por cada 100,000 habitantes, por debajo de economías como EE. UU., Colombia, México, Brasil, Chile y Perú.</w:t>
      </w:r>
    </w:p>
    <w:p w14:paraId="7244690C" w14:textId="70386B10" w:rsidR="00CB2DDF" w:rsidRDefault="00CB2DDF">
      <w:pPr>
        <w:pStyle w:val="BodyText"/>
        <w:spacing w:after="0"/>
        <w:ind w:left="720"/>
        <w:jc w:val="both"/>
        <w:rPr>
          <w:rFonts w:ascii="Arial" w:hAnsi="Arial" w:cs="Arial"/>
        </w:rPr>
      </w:pPr>
    </w:p>
    <w:p w14:paraId="3F704803" w14:textId="10D5BE53" w:rsidR="00AD111D" w:rsidRDefault="00066A33">
      <w:pPr>
        <w:pStyle w:val="BodyText"/>
        <w:spacing w:after="0"/>
        <w:ind w:left="720"/>
        <w:jc w:val="both"/>
        <w:rPr>
          <w:rFonts w:ascii="Arial" w:hAnsi="Arial" w:cs="Arial"/>
        </w:rPr>
      </w:pPr>
      <w:r>
        <w:rPr>
          <w:rFonts w:ascii="Arial" w:hAnsi="Arial" w:cs="Arial"/>
        </w:rPr>
        <w:t>A pesar</w:t>
      </w:r>
      <w:r w:rsidR="00AD111D">
        <w:rPr>
          <w:rFonts w:ascii="Arial" w:hAnsi="Arial" w:cs="Arial"/>
        </w:rPr>
        <w:t xml:space="preserve"> de lo mencionado</w:t>
      </w:r>
      <w:r w:rsidR="00D5661D">
        <w:rPr>
          <w:rFonts w:ascii="Arial" w:hAnsi="Arial" w:cs="Arial"/>
        </w:rPr>
        <w:t xml:space="preserve">, la pandemia no ha afectado los negocios de internet y comunicaciones a los que se dedica el grupo Telconet, del cual forma parte Telcodata, </w:t>
      </w:r>
      <w:proofErr w:type="gramStart"/>
      <w:r w:rsidR="00D5661D">
        <w:rPr>
          <w:rFonts w:ascii="Arial" w:hAnsi="Arial" w:cs="Arial"/>
        </w:rPr>
        <w:t>y</w:t>
      </w:r>
      <w:proofErr w:type="gramEnd"/>
      <w:r w:rsidR="00D5661D">
        <w:rPr>
          <w:rFonts w:ascii="Arial" w:hAnsi="Arial" w:cs="Arial"/>
        </w:rPr>
        <w:t xml:space="preserve"> por el contrario, las ventas de estos servicios se han incrementado debido a la necesidad de mayor comunicación por teletrabajo y cuarentena en los hogares.</w:t>
      </w:r>
    </w:p>
    <w:p w14:paraId="54EE1C83" w14:textId="77777777" w:rsidR="00AD111D" w:rsidRDefault="00AD111D">
      <w:pPr>
        <w:pStyle w:val="BodyText"/>
        <w:spacing w:after="0"/>
        <w:ind w:left="720"/>
        <w:jc w:val="both"/>
        <w:rPr>
          <w:rFonts w:ascii="Arial" w:hAnsi="Arial" w:cs="Arial"/>
        </w:rPr>
      </w:pPr>
    </w:p>
    <w:p w14:paraId="21709C57" w14:textId="7A99661E" w:rsidR="00CB2DDF" w:rsidRPr="00F43BC7" w:rsidRDefault="00B14064" w:rsidP="00F43BC7">
      <w:pPr>
        <w:pStyle w:val="BodyText"/>
        <w:numPr>
          <w:ilvl w:val="0"/>
          <w:numId w:val="2"/>
        </w:numPr>
        <w:spacing w:after="0"/>
        <w:jc w:val="both"/>
        <w:rPr>
          <w:rFonts w:ascii="Arial" w:hAnsi="Arial" w:cs="Arial"/>
        </w:rPr>
      </w:pPr>
      <w:r w:rsidRPr="00F43BC7">
        <w:rPr>
          <w:rFonts w:ascii="Arial" w:hAnsi="Arial" w:cs="Arial"/>
          <w:i/>
          <w:iCs/>
          <w:u w:val="single"/>
        </w:rPr>
        <w:t>Niveles de Empleo</w:t>
      </w:r>
      <w:r w:rsidRPr="00F43BC7">
        <w:rPr>
          <w:rFonts w:ascii="Arial" w:hAnsi="Arial" w:cs="Arial"/>
          <w:i/>
          <w:iCs/>
        </w:rPr>
        <w:t xml:space="preserve"> – </w:t>
      </w:r>
      <w:r w:rsidRPr="00F43BC7">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sidRPr="00F43BC7">
        <w:rPr>
          <w:rFonts w:ascii="Arial" w:hAnsi="Arial" w:cs="Arial"/>
        </w:rPr>
        <w:t>número</w:t>
      </w:r>
      <w:r w:rsidRPr="00F43BC7">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4AD5DC4C"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w:t>
      </w:r>
      <w:r w:rsidR="00F43BC7">
        <w:rPr>
          <w:rFonts w:ascii="Arial" w:hAnsi="Arial" w:cs="Arial"/>
        </w:rPr>
        <w:t>,</w:t>
      </w:r>
      <w:r>
        <w:rPr>
          <w:rFonts w:ascii="Arial" w:hAnsi="Arial" w:cs="Arial"/>
        </w:rPr>
        <w:t xml:space="preserve"> y la fragmentación política en la Asamblea Nacional</w:t>
      </w:r>
      <w:r w:rsidR="00F43BC7">
        <w:rPr>
          <w:rFonts w:ascii="Arial" w:hAnsi="Arial" w:cs="Arial"/>
        </w:rPr>
        <w:t>,</w:t>
      </w:r>
      <w:r>
        <w:rPr>
          <w:rFonts w:ascii="Arial" w:hAnsi="Arial" w:cs="Arial"/>
        </w:rPr>
        <w:t xml:space="preserve">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w:t>
      </w:r>
      <w:r>
        <w:rPr>
          <w:rFonts w:ascii="Arial" w:hAnsi="Arial" w:cs="Arial"/>
        </w:rPr>
        <w:lastRenderedPageBreak/>
        <w:t xml:space="preserve">del PIB) incluyendo, en el año 2019, un cambio en la metodología para contabilizar 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5400040" cy="1657350"/>
                    </a:xfrm>
                    <a:prstGeom prst="rect">
                      <a:avLst/>
                    </a:prstGeom>
                  </pic:spPr>
                </pic:pic>
              </a:graphicData>
            </a:graphic>
          </wp:inline>
        </w:drawing>
      </w:r>
    </w:p>
    <w:p w14:paraId="6706823D" w14:textId="77777777" w:rsidR="00D5661D" w:rsidRDefault="00D5661D">
      <w:pPr>
        <w:pStyle w:val="BodyText"/>
        <w:spacing w:after="0"/>
        <w:ind w:left="720"/>
        <w:jc w:val="both"/>
        <w:rPr>
          <w:rFonts w:ascii="Arial" w:hAnsi="Arial" w:cs="Arial"/>
          <w:i/>
          <w:iCs/>
          <w:u w:val="single"/>
        </w:rPr>
      </w:pPr>
    </w:p>
    <w:p w14:paraId="1F2FC413" w14:textId="51092613" w:rsidR="00CB2DDF" w:rsidRDefault="00B14064">
      <w:pPr>
        <w:pStyle w:val="BodyText"/>
        <w:spacing w:after="0"/>
        <w:ind w:left="720"/>
        <w:jc w:val="both"/>
        <w:rPr>
          <w:rFonts w:ascii="Arial" w:hAnsi="Arial" w:cs="Arial"/>
        </w:rPr>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w:t>
      </w:r>
      <w:r>
        <w:rPr>
          <w:rFonts w:ascii="Arial" w:hAnsi="Arial" w:cs="Arial"/>
        </w:rPr>
        <w:lastRenderedPageBreak/>
        <w:t xml:space="preserve">por el efecto de promociones y bonificaciones (descuentos) para mantener o incrementar las ventas. </w:t>
      </w:r>
    </w:p>
    <w:p w14:paraId="7AE6FE51" w14:textId="77777777" w:rsidR="008A370E" w:rsidRDefault="008A370E">
      <w:pPr>
        <w:pStyle w:val="BodyText"/>
        <w:spacing w:after="0"/>
        <w:ind w:left="720"/>
        <w:jc w:val="both"/>
        <w:rPr>
          <w:rFonts w:ascii="Arial" w:hAnsi="Arial" w:cs="Arial"/>
        </w:rPr>
      </w:pPr>
    </w:p>
    <w:p w14:paraId="3BF48CF2" w14:textId="64DFDB25" w:rsidR="00CB2DDF" w:rsidRDefault="00B14064">
      <w:pPr>
        <w:pStyle w:val="BodyText"/>
        <w:spacing w:after="0"/>
        <w:ind w:left="720"/>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0DF00A5F" w14:textId="77777777" w:rsidR="00744B07" w:rsidRDefault="00744B07">
      <w:pPr>
        <w:pStyle w:val="BodyText"/>
        <w:spacing w:after="0"/>
        <w:ind w:left="720"/>
        <w:jc w:val="both"/>
        <w:rPr>
          <w:rFonts w:ascii="Arial" w:hAnsi="Arial" w:cs="Arial"/>
          <w:i/>
          <w:iCs/>
          <w:u w:val="single"/>
        </w:rPr>
      </w:pPr>
    </w:p>
    <w:p w14:paraId="2FCFE23A" w14:textId="1EE33835"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sidRPr="00507454">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38ABCB8F"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xml:space="preserve">, al igual que la mayoría de las PYMES, no tiene planes o procesos formales para identificar los riesgos del negocio y tampoco se preparan presupuestos o proyecciones financieras. A pesar de esta falta de documentación, según las conversaciones mantenidas con la </w:t>
      </w:r>
      <w:r w:rsidR="00667AE7">
        <w:rPr>
          <w:rFonts w:ascii="Arial" w:hAnsi="Arial" w:cs="Arial"/>
        </w:rPr>
        <w:t>Gerencia</w:t>
      </w:r>
      <w:r w:rsidR="00D8510B">
        <w:rPr>
          <w:rFonts w:ascii="Arial" w:hAnsi="Arial" w:cs="Arial"/>
        </w:rPr>
        <w:t>, información de su página web,</w:t>
      </w:r>
      <w:r>
        <w:rPr>
          <w:rFonts w:ascii="Arial" w:hAnsi="Arial" w:cs="Arial"/>
        </w:rPr>
        <w:t xml:space="preserve"> y como resultado de nuestra</w:t>
      </w:r>
      <w:r w:rsidR="00D8510B">
        <w:rPr>
          <w:rFonts w:ascii="Arial" w:hAnsi="Arial" w:cs="Arial"/>
        </w:rPr>
        <w:t>s</w:t>
      </w:r>
      <w:r>
        <w:rPr>
          <w:rFonts w:ascii="Arial" w:hAnsi="Arial" w:cs="Arial"/>
        </w:rPr>
        <w:t xml:space="preserve"> observaci</w:t>
      </w:r>
      <w:r w:rsidR="00D8510B">
        <w:rPr>
          <w:rFonts w:ascii="Arial" w:hAnsi="Arial" w:cs="Arial"/>
        </w:rPr>
        <w:t>o</w:t>
      </w:r>
      <w:r>
        <w:rPr>
          <w:rFonts w:ascii="Arial" w:hAnsi="Arial" w:cs="Arial"/>
        </w:rPr>
        <w:t>n</w:t>
      </w:r>
      <w:r w:rsidR="00D8510B">
        <w:rPr>
          <w:rFonts w:ascii="Arial" w:hAnsi="Arial" w:cs="Arial"/>
        </w:rPr>
        <w:t>es</w:t>
      </w:r>
      <w:r>
        <w:rPr>
          <w:rFonts w:ascii="Arial" w:hAnsi="Arial" w:cs="Arial"/>
        </w:rPr>
        <w:t>, destacamos:</w:t>
      </w:r>
    </w:p>
    <w:p w14:paraId="5581D320" w14:textId="31ACFB8D" w:rsidR="00667AE7" w:rsidRDefault="00667AE7">
      <w:pPr>
        <w:pStyle w:val="BodyText"/>
        <w:spacing w:after="0"/>
        <w:jc w:val="both"/>
        <w:rPr>
          <w:rFonts w:ascii="Arial" w:hAnsi="Arial" w:cs="Arial"/>
        </w:rPr>
      </w:pPr>
    </w:p>
    <w:p w14:paraId="543B1874" w14:textId="082A92CD" w:rsidR="00D8510B" w:rsidRDefault="00D8510B">
      <w:pPr>
        <w:pStyle w:val="BodyText"/>
        <w:spacing w:after="0"/>
        <w:jc w:val="both"/>
        <w:rPr>
          <w:rFonts w:ascii="Arial" w:hAnsi="Arial" w:cs="Arial"/>
        </w:rPr>
      </w:pPr>
      <w:r w:rsidRPr="00B803A4">
        <w:rPr>
          <w:rFonts w:ascii="Arial" w:hAnsi="Arial" w:cs="Arial"/>
          <w:i/>
          <w:iCs/>
          <w:u w:val="single"/>
        </w:rPr>
        <w:t>Objetivos</w:t>
      </w:r>
      <w:r>
        <w:rPr>
          <w:rFonts w:ascii="Arial" w:hAnsi="Arial" w:cs="Arial"/>
        </w:rPr>
        <w:t xml:space="preserve">: La empresa busca diversificar la cartera de clientes ampliando la gama de productos que ofrece para cuyo efecto ha establecido como su misión: “Proveer a las empresas de equipos tecnológicos que faciliten las gestiones de </w:t>
      </w:r>
      <w:proofErr w:type="gramStart"/>
      <w:r>
        <w:rPr>
          <w:rFonts w:ascii="Arial" w:hAnsi="Arial" w:cs="Arial"/>
        </w:rPr>
        <w:t>las mismas</w:t>
      </w:r>
      <w:proofErr w:type="gramEnd"/>
      <w:r>
        <w:rPr>
          <w:rFonts w:ascii="Arial" w:hAnsi="Arial" w:cs="Arial"/>
        </w:rPr>
        <w:t xml:space="preserve">, para así aumentar su productividad mediante equipos de alta </w:t>
      </w:r>
      <w:r w:rsidR="00B803A4">
        <w:rPr>
          <w:rFonts w:ascii="Arial" w:hAnsi="Arial" w:cs="Arial"/>
        </w:rPr>
        <w:t>tecnología que mantendrán comunicadas todas las áreas de la empresa tanto interna como externamente”</w:t>
      </w:r>
    </w:p>
    <w:p w14:paraId="644E817C" w14:textId="32CA6909" w:rsidR="00B803A4" w:rsidRDefault="00B803A4">
      <w:pPr>
        <w:pStyle w:val="BodyText"/>
        <w:spacing w:after="0"/>
        <w:jc w:val="both"/>
        <w:rPr>
          <w:rFonts w:ascii="Arial" w:hAnsi="Arial" w:cs="Arial"/>
        </w:rPr>
      </w:pPr>
    </w:p>
    <w:p w14:paraId="1A2C42D5" w14:textId="4E9F361F" w:rsidR="00B803A4" w:rsidRDefault="00B803A4">
      <w:pPr>
        <w:pStyle w:val="BodyText"/>
        <w:spacing w:after="0"/>
        <w:jc w:val="both"/>
        <w:rPr>
          <w:rFonts w:ascii="Arial" w:hAnsi="Arial" w:cs="Arial"/>
        </w:rPr>
      </w:pPr>
      <w:r>
        <w:rPr>
          <w:rFonts w:ascii="Arial" w:hAnsi="Arial" w:cs="Arial"/>
        </w:rPr>
        <w:t xml:space="preserve">La “Visión” de Telcodata es ser una empresa integradora de soluciones de tecnología en telecomunicaciones. </w:t>
      </w:r>
    </w:p>
    <w:p w14:paraId="1DA32F22" w14:textId="4CEC1BD4" w:rsidR="00D8510B" w:rsidRDefault="00D8510B">
      <w:pPr>
        <w:pStyle w:val="BodyText"/>
        <w:spacing w:after="0"/>
        <w:jc w:val="both"/>
        <w:rPr>
          <w:rFonts w:ascii="Arial" w:hAnsi="Arial" w:cs="Arial"/>
        </w:rPr>
      </w:pPr>
    </w:p>
    <w:p w14:paraId="18F46252" w14:textId="0801A72B" w:rsidR="00B803A4" w:rsidRPr="00B803A4" w:rsidRDefault="00B803A4">
      <w:pPr>
        <w:pStyle w:val="BodyText"/>
        <w:spacing w:after="0"/>
        <w:jc w:val="both"/>
        <w:rPr>
          <w:rFonts w:ascii="Arial" w:hAnsi="Arial" w:cs="Arial"/>
          <w:i/>
          <w:iCs/>
          <w:u w:val="single"/>
        </w:rPr>
      </w:pPr>
      <w:r w:rsidRPr="00B803A4">
        <w:rPr>
          <w:rFonts w:ascii="Arial" w:hAnsi="Arial" w:cs="Arial"/>
          <w:i/>
          <w:iCs/>
          <w:u w:val="single"/>
        </w:rPr>
        <w:t xml:space="preserve">Estrategias - </w:t>
      </w:r>
    </w:p>
    <w:p w14:paraId="49E2C9A9" w14:textId="77777777" w:rsidR="00B803A4" w:rsidRDefault="00B803A4">
      <w:pPr>
        <w:pStyle w:val="BodyText"/>
        <w:spacing w:after="0"/>
        <w:jc w:val="both"/>
        <w:rPr>
          <w:rFonts w:ascii="Arial" w:hAnsi="Arial" w:cs="Arial"/>
        </w:rPr>
      </w:pPr>
    </w:p>
    <w:p w14:paraId="4BB8D249" w14:textId="6F96D3B0" w:rsidR="00CB2DDF" w:rsidRDefault="00B14064">
      <w:pPr>
        <w:pStyle w:val="BodyText"/>
        <w:numPr>
          <w:ilvl w:val="0"/>
          <w:numId w:val="3"/>
        </w:numPr>
        <w:spacing w:after="0"/>
        <w:jc w:val="both"/>
        <w:rPr>
          <w:rFonts w:ascii="Arial" w:hAnsi="Arial" w:cs="Arial"/>
        </w:rPr>
      </w:pPr>
      <w:r>
        <w:rPr>
          <w:rFonts w:ascii="Arial" w:hAnsi="Arial" w:cs="Arial"/>
        </w:rPr>
        <w:t xml:space="preserve">Impulsar campañas de </w:t>
      </w:r>
      <w:r w:rsidR="00B803A4">
        <w:rPr>
          <w:rFonts w:ascii="Arial" w:hAnsi="Arial" w:cs="Arial"/>
        </w:rPr>
        <w:t>m</w:t>
      </w:r>
      <w:r>
        <w:rPr>
          <w:rFonts w:ascii="Arial" w:hAnsi="Arial" w:cs="Arial"/>
        </w:rPr>
        <w:t xml:space="preserve">arketing </w:t>
      </w:r>
      <w:r w:rsidR="00B803A4">
        <w:rPr>
          <w:rFonts w:ascii="Arial" w:hAnsi="Arial" w:cs="Arial"/>
        </w:rPr>
        <w:t>d</w:t>
      </w:r>
      <w:r>
        <w:rPr>
          <w:rFonts w:ascii="Arial" w:hAnsi="Arial" w:cs="Arial"/>
        </w:rPr>
        <w:t>igital para fomentar la diversificación de cartera de clientes.</w:t>
      </w:r>
    </w:p>
    <w:p w14:paraId="0C6812A4" w14:textId="559BDA19" w:rsidR="00CB2DDF" w:rsidRDefault="00B803A4">
      <w:pPr>
        <w:pStyle w:val="BodyText"/>
        <w:numPr>
          <w:ilvl w:val="0"/>
          <w:numId w:val="3"/>
        </w:numPr>
        <w:spacing w:after="0"/>
        <w:jc w:val="both"/>
        <w:rPr>
          <w:rFonts w:ascii="Arial" w:hAnsi="Arial" w:cs="Arial"/>
        </w:rPr>
      </w:pPr>
      <w:r>
        <w:rPr>
          <w:rFonts w:ascii="Arial" w:hAnsi="Arial" w:cs="Arial"/>
        </w:rPr>
        <w:t>C</w:t>
      </w:r>
      <w:r w:rsidR="00B14064">
        <w:rPr>
          <w:rFonts w:ascii="Arial" w:hAnsi="Arial" w:cs="Arial"/>
        </w:rPr>
        <w:t xml:space="preserve">reación de una página web para facilitar el </w:t>
      </w:r>
      <w:r>
        <w:rPr>
          <w:rFonts w:ascii="Arial" w:hAnsi="Arial" w:cs="Arial"/>
        </w:rPr>
        <w:t>e</w:t>
      </w:r>
      <w:r w:rsidR="00B14064">
        <w:rPr>
          <w:rFonts w:ascii="Arial" w:hAnsi="Arial" w:cs="Arial"/>
        </w:rPr>
        <w:t>-</w:t>
      </w:r>
      <w:proofErr w:type="spellStart"/>
      <w:r>
        <w:rPr>
          <w:rFonts w:ascii="Arial" w:hAnsi="Arial" w:cs="Arial"/>
        </w:rPr>
        <w:t>c</w:t>
      </w:r>
      <w:r w:rsidR="00B14064">
        <w:rPr>
          <w:rFonts w:ascii="Arial" w:hAnsi="Arial" w:cs="Arial"/>
        </w:rPr>
        <w:t>ommerce</w:t>
      </w:r>
      <w:proofErr w:type="spellEnd"/>
      <w:r w:rsidR="00B14064">
        <w:rPr>
          <w:rFonts w:ascii="Arial" w:hAnsi="Arial" w:cs="Arial"/>
        </w:rPr>
        <w:t xml:space="preserve"> y poder llegar a los mercados de empresas pequeñas dando a conocer los productos y servicios que la empresa puede brindar.</w:t>
      </w:r>
    </w:p>
    <w:p w14:paraId="0F9FC212" w14:textId="61F663D0" w:rsidR="00CB2DDF" w:rsidRDefault="00B803A4">
      <w:pPr>
        <w:pStyle w:val="BodyText"/>
        <w:numPr>
          <w:ilvl w:val="0"/>
          <w:numId w:val="3"/>
        </w:numPr>
        <w:spacing w:after="0"/>
        <w:jc w:val="both"/>
        <w:rPr>
          <w:rFonts w:ascii="Arial" w:hAnsi="Arial" w:cs="Arial"/>
        </w:rPr>
      </w:pPr>
      <w:r>
        <w:rPr>
          <w:rFonts w:ascii="Arial" w:hAnsi="Arial" w:cs="Arial"/>
        </w:rPr>
        <w:t>Mantener la generación de flujos de operaciones e incrementarlos</w:t>
      </w:r>
      <w:r w:rsidR="00B14064">
        <w:rPr>
          <w:rFonts w:ascii="Arial" w:hAnsi="Arial" w:cs="Arial"/>
        </w:rPr>
        <w:t>.</w:t>
      </w:r>
    </w:p>
    <w:p w14:paraId="7EE4F19F" w14:textId="554A267A" w:rsidR="00CB2DDF" w:rsidRDefault="00B14064">
      <w:pPr>
        <w:pStyle w:val="BodyText"/>
        <w:numPr>
          <w:ilvl w:val="0"/>
          <w:numId w:val="3"/>
        </w:numPr>
        <w:spacing w:after="0"/>
        <w:jc w:val="both"/>
        <w:rPr>
          <w:rFonts w:ascii="Arial" w:hAnsi="Arial" w:cs="Arial"/>
        </w:rPr>
      </w:pPr>
      <w:r>
        <w:rPr>
          <w:rFonts w:ascii="Arial" w:hAnsi="Arial" w:cs="Arial"/>
        </w:rPr>
        <w:t>Crear un inventario robusto para mantener el abastecimiento y poder suplir las necesidades inmediatas de los clientes</w:t>
      </w:r>
      <w:r w:rsidR="00B803A4">
        <w:rPr>
          <w:rFonts w:ascii="Arial" w:hAnsi="Arial" w:cs="Arial"/>
        </w:rPr>
        <w:t>;</w:t>
      </w:r>
      <w:r>
        <w:rPr>
          <w:rFonts w:ascii="Arial" w:hAnsi="Arial" w:cs="Arial"/>
        </w:rPr>
        <w:t xml:space="preserve"> evitar mantener inventario en aduana debido a los largos periodos de tiempo que se necesita para </w:t>
      </w:r>
      <w:proofErr w:type="spellStart"/>
      <w:r>
        <w:rPr>
          <w:rFonts w:ascii="Arial" w:hAnsi="Arial" w:cs="Arial"/>
        </w:rPr>
        <w:t>desaduanizar</w:t>
      </w:r>
      <w:proofErr w:type="spellEnd"/>
      <w:r>
        <w:rPr>
          <w:rFonts w:ascii="Arial" w:hAnsi="Arial" w:cs="Arial"/>
        </w:rPr>
        <w:t xml:space="preserve"> la mercadería.</w:t>
      </w:r>
    </w:p>
    <w:p w14:paraId="30164CBC" w14:textId="696E0EEF" w:rsidR="00CB2DDF" w:rsidRDefault="00B14064">
      <w:pPr>
        <w:pStyle w:val="BodyText"/>
        <w:numPr>
          <w:ilvl w:val="0"/>
          <w:numId w:val="3"/>
        </w:numPr>
        <w:spacing w:after="0"/>
        <w:jc w:val="both"/>
        <w:rPr>
          <w:rFonts w:ascii="Arial" w:hAnsi="Arial" w:cs="Arial"/>
        </w:rPr>
      </w:pPr>
      <w:r>
        <w:rPr>
          <w:rFonts w:ascii="Arial" w:hAnsi="Arial" w:cs="Arial"/>
        </w:rPr>
        <w:t>Pese a que la economía del país se estime que no crezca</w:t>
      </w:r>
      <w:r w:rsidR="00B803A4">
        <w:rPr>
          <w:rFonts w:ascii="Arial" w:hAnsi="Arial" w:cs="Arial"/>
        </w:rPr>
        <w:t>,</w:t>
      </w:r>
      <w:r>
        <w:rPr>
          <w:rFonts w:ascii="Arial" w:hAnsi="Arial" w:cs="Arial"/>
        </w:rPr>
        <w:t xml:space="preserve"> el mercado de la tecnología nunca deja de crecer por lo que invertir en nuevas tecnologías y darlas a </w:t>
      </w:r>
      <w:r>
        <w:rPr>
          <w:rFonts w:ascii="Arial" w:hAnsi="Arial" w:cs="Arial"/>
        </w:rPr>
        <w:lastRenderedPageBreak/>
        <w:t xml:space="preserve">conocer de manera inmediata puede mejorar los resultados integrales de Telcodata S.A.   </w:t>
      </w:r>
    </w:p>
    <w:p w14:paraId="628A9865" w14:textId="02B5B6F3" w:rsidR="00CB2DDF" w:rsidRDefault="00B803A4">
      <w:pPr>
        <w:pStyle w:val="BodyText"/>
        <w:numPr>
          <w:ilvl w:val="0"/>
          <w:numId w:val="3"/>
        </w:numPr>
        <w:spacing w:after="0"/>
        <w:jc w:val="both"/>
        <w:rPr>
          <w:rFonts w:ascii="Arial" w:hAnsi="Arial" w:cs="Arial"/>
        </w:rPr>
      </w:pPr>
      <w:r>
        <w:rPr>
          <w:rFonts w:ascii="Arial" w:hAnsi="Arial" w:cs="Arial"/>
        </w:rPr>
        <w:t>E</w:t>
      </w:r>
      <w:r w:rsidR="00B14064">
        <w:rPr>
          <w:rFonts w:ascii="Arial" w:hAnsi="Arial" w:cs="Arial"/>
        </w:rPr>
        <w:t>l</w:t>
      </w:r>
      <w:r>
        <w:rPr>
          <w:rFonts w:ascii="Arial" w:hAnsi="Arial" w:cs="Arial"/>
        </w:rPr>
        <w:t xml:space="preserve"> futuro</w:t>
      </w:r>
      <w:r w:rsidR="00B14064">
        <w:rPr>
          <w:rFonts w:ascii="Arial" w:hAnsi="Arial" w:cs="Arial"/>
        </w:rPr>
        <w:t xml:space="preserve"> crecimiento de Telcodata requerirá más financiamiento, ya sea de parte de los Accionistas o Banco</w:t>
      </w:r>
      <w:r>
        <w:rPr>
          <w:rFonts w:ascii="Arial" w:hAnsi="Arial" w:cs="Arial"/>
        </w:rPr>
        <w:t xml:space="preserve">s; en ambos casos el soporte (garantía) de su Accionista es fundamental </w:t>
      </w:r>
    </w:p>
    <w:p w14:paraId="7A053B32" w14:textId="10384379" w:rsidR="00CB2DDF" w:rsidRDefault="00CB2DDF">
      <w:pPr>
        <w:pStyle w:val="BodyText"/>
        <w:spacing w:after="0"/>
        <w:jc w:val="both"/>
        <w:rPr>
          <w:rFonts w:ascii="Arial" w:hAnsi="Arial" w:cs="Arial"/>
        </w:rPr>
      </w:pPr>
    </w:p>
    <w:p w14:paraId="59813F77" w14:textId="0F5A46FC" w:rsidR="00B803A4" w:rsidRPr="00507454" w:rsidRDefault="00B803A4">
      <w:pPr>
        <w:pStyle w:val="BodyText"/>
        <w:spacing w:after="0"/>
        <w:jc w:val="both"/>
        <w:rPr>
          <w:rFonts w:ascii="Arial" w:hAnsi="Arial" w:cs="Arial"/>
        </w:rPr>
      </w:pPr>
      <w:r w:rsidRPr="00B803A4">
        <w:rPr>
          <w:rFonts w:ascii="Arial" w:hAnsi="Arial" w:cs="Arial"/>
          <w:i/>
          <w:iCs/>
          <w:u w:val="single"/>
        </w:rPr>
        <w:t>Riesgos</w:t>
      </w:r>
      <w:r w:rsidRPr="00507454">
        <w:rPr>
          <w:rFonts w:ascii="Arial" w:hAnsi="Arial" w:cs="Arial"/>
          <w:i/>
          <w:iCs/>
        </w:rPr>
        <w:t xml:space="preserve"> - </w:t>
      </w:r>
    </w:p>
    <w:p w14:paraId="392EEB8D" w14:textId="77777777" w:rsidR="00B803A4" w:rsidRDefault="00B803A4">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120B09CA" w14:textId="77777777" w:rsidR="00CB2DDF" w:rsidRDefault="00B14064">
      <w:pPr>
        <w:pStyle w:val="BodyText"/>
        <w:numPr>
          <w:ilvl w:val="0"/>
          <w:numId w:val="4"/>
        </w:numPr>
        <w:spacing w:after="0"/>
        <w:jc w:val="both"/>
        <w:rPr>
          <w:rFonts w:ascii="Arial" w:hAnsi="Arial" w:cs="Arial"/>
        </w:rPr>
      </w:pPr>
      <w:r>
        <w:rPr>
          <w:rFonts w:ascii="Arial" w:hAnsi="Arial" w:cs="Arial"/>
        </w:rPr>
        <w:t>El Contador prepara mensualmente un paquete de información financiera que complementa los escasos reportes que surgen del sistema contable. Este paquete de información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4C834EA4" w14:textId="77777777" w:rsidR="00CB2DDF" w:rsidRDefault="00CB2DDF">
      <w:pPr>
        <w:pStyle w:val="BodyText"/>
        <w:spacing w:after="0"/>
        <w:ind w:left="720"/>
        <w:jc w:val="both"/>
        <w:rPr>
          <w:rFonts w:ascii="Arial" w:hAnsi="Arial" w:cs="Arial"/>
        </w:rPr>
      </w:pPr>
    </w:p>
    <w:p w14:paraId="646CD59F" w14:textId="77777777" w:rsidR="00CB2DDF" w:rsidRDefault="00B14064">
      <w:pPr>
        <w:pStyle w:val="BodyText"/>
        <w:numPr>
          <w:ilvl w:val="0"/>
          <w:numId w:val="4"/>
        </w:numPr>
        <w:spacing w:after="0"/>
        <w:jc w:val="both"/>
        <w:rPr>
          <w:rFonts w:ascii="Arial" w:hAnsi="Arial" w:cs="Arial"/>
        </w:rPr>
      </w:pPr>
      <w:r>
        <w:rPr>
          <w:rFonts w:ascii="Arial" w:hAnsi="Arial" w:cs="Arial"/>
        </w:rPr>
        <w:t>Monitoreo a la calidad de los equipos comercializados así reducir el impacto de productos que puedan ser devueltos por daños de fabrica u ocasionados por el trasporte o el bodegaje.</w:t>
      </w:r>
    </w:p>
    <w:p w14:paraId="3E4C321E" w14:textId="77777777" w:rsidR="00CB2DDF" w:rsidRDefault="00CB2DDF">
      <w:pPr>
        <w:pStyle w:val="BodyText"/>
        <w:spacing w:after="0"/>
        <w:ind w:left="720"/>
        <w:jc w:val="both"/>
        <w:rPr>
          <w:rFonts w:ascii="Arial" w:hAnsi="Arial" w:cs="Arial"/>
        </w:rPr>
      </w:pPr>
    </w:p>
    <w:p w14:paraId="554C54B8" w14:textId="77777777" w:rsidR="00CB2DDF" w:rsidRDefault="00B14064">
      <w:pPr>
        <w:pStyle w:val="BodyText"/>
        <w:numPr>
          <w:ilvl w:val="0"/>
          <w:numId w:val="4"/>
        </w:numPr>
        <w:spacing w:after="0"/>
        <w:jc w:val="both"/>
        <w:rPr>
          <w:rFonts w:ascii="Arial" w:hAnsi="Arial" w:cs="Arial"/>
        </w:rPr>
      </w:pPr>
      <w:r>
        <w:rPr>
          <w:rFonts w:ascii="Arial" w:hAnsi="Arial" w:cs="Arial"/>
        </w:rPr>
        <w:t>Realizar controles de calidad sobre los servicios que Telcodata contrata para la realización de las instalaciones y así evitar imperfecciones en los trabajos realizados.</w:t>
      </w:r>
    </w:p>
    <w:p w14:paraId="6C5AF57A" w14:textId="6969BF00" w:rsidR="00CB2DDF" w:rsidRDefault="00CB2DDF">
      <w:pPr>
        <w:pStyle w:val="BodyText"/>
        <w:spacing w:after="0"/>
        <w:jc w:val="both"/>
        <w:rPr>
          <w:rFonts w:ascii="Arial" w:hAnsi="Arial" w:cs="Arial"/>
        </w:rPr>
      </w:pPr>
    </w:p>
    <w:p w14:paraId="32BB005E" w14:textId="6E46CBC7" w:rsidR="002A57B8" w:rsidRDefault="002A57B8" w:rsidP="002A57B8">
      <w:pPr>
        <w:pStyle w:val="BodyText"/>
        <w:spacing w:after="0"/>
        <w:jc w:val="both"/>
        <w:rPr>
          <w:rFonts w:ascii="Arial" w:hAnsi="Arial" w:cs="Arial"/>
          <w:b/>
          <w:bCs/>
          <w:color w:val="1F497D" w:themeColor="text2"/>
        </w:rPr>
      </w:pPr>
      <w:r w:rsidRPr="002A57B8">
        <w:rPr>
          <w:rFonts w:ascii="Arial" w:hAnsi="Arial" w:cs="Arial"/>
          <w:b/>
          <w:bCs/>
          <w:color w:val="1F497D" w:themeColor="text2"/>
          <w:highlight w:val="yellow"/>
        </w:rPr>
        <w:t>V CONCLUSIONES</w:t>
      </w:r>
    </w:p>
    <w:p w14:paraId="2D04897B" w14:textId="221AF4A6" w:rsidR="002A57B8" w:rsidRDefault="002A57B8" w:rsidP="002A57B8">
      <w:pPr>
        <w:pStyle w:val="BodyText"/>
        <w:spacing w:after="0"/>
        <w:jc w:val="both"/>
        <w:rPr>
          <w:rFonts w:ascii="Arial" w:hAnsi="Arial" w:cs="Arial"/>
          <w:b/>
          <w:bCs/>
          <w:color w:val="1F497D" w:themeColor="text2"/>
        </w:rPr>
      </w:pPr>
    </w:p>
    <w:p w14:paraId="7F284A49" w14:textId="77777777" w:rsidR="002A57B8" w:rsidRDefault="002A57B8" w:rsidP="002A57B8">
      <w:pPr>
        <w:pStyle w:val="BodyText"/>
        <w:spacing w:after="0"/>
        <w:jc w:val="both"/>
        <w:rPr>
          <w:rFonts w:ascii="Arial" w:hAnsi="Arial" w:cs="Arial"/>
          <w:b/>
          <w:bCs/>
          <w:color w:val="1F497D" w:themeColor="text2"/>
        </w:rPr>
      </w:pPr>
    </w:p>
    <w:p w14:paraId="18D15BCA" w14:textId="77777777" w:rsidR="002A57B8" w:rsidRDefault="002A57B8">
      <w:pPr>
        <w:pStyle w:val="BodyText"/>
        <w:spacing w:after="0"/>
        <w:jc w:val="both"/>
        <w:rPr>
          <w:rFonts w:ascii="Arial" w:hAnsi="Arial" w:cs="Arial"/>
        </w:rPr>
      </w:pPr>
    </w:p>
    <w:p w14:paraId="788832F7" w14:textId="77777777" w:rsidR="00CB2DDF" w:rsidRDefault="00CB2DDF">
      <w:pPr>
        <w:pStyle w:val="BodyText"/>
        <w:spacing w:after="0"/>
        <w:jc w:val="both"/>
        <w:rPr>
          <w:rFonts w:ascii="Arial" w:hAnsi="Arial" w:cs="Arial"/>
        </w:rPr>
      </w:pPr>
    </w:p>
    <w:p w14:paraId="1C18326E" w14:textId="77777777"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77777777" w:rsidR="00CB2DDF" w:rsidRDefault="00B14064">
      <w:pPr>
        <w:pStyle w:val="BodyText"/>
        <w:spacing w:after="0"/>
        <w:jc w:val="both"/>
        <w:rPr>
          <w:rFonts w:ascii="Arial" w:hAnsi="Arial" w:cs="Arial"/>
        </w:rPr>
      </w:pPr>
      <w:r>
        <w:rPr>
          <w:rFonts w:ascii="Arial" w:hAnsi="Arial" w:cs="Arial"/>
        </w:rPr>
        <w:t xml:space="preserve">Fecha: </w:t>
      </w:r>
    </w:p>
    <w:p w14:paraId="078EC1D7" w14:textId="77777777" w:rsidR="00CB2DDF" w:rsidRDefault="00CB2DDF">
      <w:pPr>
        <w:pStyle w:val="BodyText"/>
        <w:spacing w:after="0"/>
        <w:jc w:val="both"/>
      </w:pPr>
    </w:p>
    <w:sectPr w:rsidR="00CB2DDF">
      <w:headerReference w:type="default" r:id="rId10"/>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A2574" w14:textId="77777777" w:rsidR="00E6063F" w:rsidRDefault="00E6063F">
      <w:pPr>
        <w:spacing w:after="0" w:line="240" w:lineRule="auto"/>
      </w:pPr>
      <w:r>
        <w:separator/>
      </w:r>
    </w:p>
  </w:endnote>
  <w:endnote w:type="continuationSeparator" w:id="0">
    <w:p w14:paraId="0FDB8F79" w14:textId="77777777" w:rsidR="00E6063F" w:rsidRDefault="00E60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7D467" w14:textId="77777777" w:rsidR="00E6063F" w:rsidRDefault="00E6063F">
      <w:pPr>
        <w:spacing w:after="0" w:line="240" w:lineRule="auto"/>
      </w:pPr>
      <w:r>
        <w:separator/>
      </w:r>
    </w:p>
  </w:footnote>
  <w:footnote w:type="continuationSeparator" w:id="0">
    <w:p w14:paraId="25204B37" w14:textId="77777777" w:rsidR="00E6063F" w:rsidRDefault="00E60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5E3C0210" w:rsidR="00CB2DDF" w:rsidRDefault="00B14064">
    <w:pPr>
      <w:pStyle w:val="Header"/>
      <w:rPr>
        <w:b/>
        <w:bCs/>
        <w:lang w:val="es-EC"/>
      </w:rPr>
    </w:pPr>
    <w:r>
      <w:rPr>
        <w:b/>
        <w:bCs/>
        <w:lang w:val="es-EC"/>
      </w:rPr>
      <w:t>Al 31 de septiembre del 2020</w:t>
    </w:r>
  </w:p>
  <w:p w14:paraId="3F280929" w14:textId="77777777" w:rsidR="00831583" w:rsidRDefault="00831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066A33"/>
    <w:rsid w:val="0012668F"/>
    <w:rsid w:val="001369F3"/>
    <w:rsid w:val="00193525"/>
    <w:rsid w:val="001A2763"/>
    <w:rsid w:val="001E6815"/>
    <w:rsid w:val="00204A59"/>
    <w:rsid w:val="0024757B"/>
    <w:rsid w:val="002A57B8"/>
    <w:rsid w:val="002B2874"/>
    <w:rsid w:val="002E0DB8"/>
    <w:rsid w:val="00355A51"/>
    <w:rsid w:val="00373235"/>
    <w:rsid w:val="00442D59"/>
    <w:rsid w:val="00507454"/>
    <w:rsid w:val="006363E9"/>
    <w:rsid w:val="0064174C"/>
    <w:rsid w:val="00641B4C"/>
    <w:rsid w:val="00667AE7"/>
    <w:rsid w:val="00672676"/>
    <w:rsid w:val="006A6EC4"/>
    <w:rsid w:val="006E5825"/>
    <w:rsid w:val="00717D9B"/>
    <w:rsid w:val="0073545C"/>
    <w:rsid w:val="00744B07"/>
    <w:rsid w:val="007466A0"/>
    <w:rsid w:val="00831583"/>
    <w:rsid w:val="00885ADB"/>
    <w:rsid w:val="008A370E"/>
    <w:rsid w:val="008D554F"/>
    <w:rsid w:val="00941101"/>
    <w:rsid w:val="00965AC7"/>
    <w:rsid w:val="009C2FF1"/>
    <w:rsid w:val="00AB7FB0"/>
    <w:rsid w:val="00AD111D"/>
    <w:rsid w:val="00B14064"/>
    <w:rsid w:val="00B26896"/>
    <w:rsid w:val="00B803A4"/>
    <w:rsid w:val="00CB2DDF"/>
    <w:rsid w:val="00D5661D"/>
    <w:rsid w:val="00D70FE9"/>
    <w:rsid w:val="00D8510B"/>
    <w:rsid w:val="00DA4D1F"/>
    <w:rsid w:val="00DC796A"/>
    <w:rsid w:val="00E6063F"/>
    <w:rsid w:val="00EF5781"/>
    <w:rsid w:val="00F43BC7"/>
    <w:rsid w:val="00FB2DD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8</Pages>
  <Words>2527</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45</cp:revision>
  <dcterms:created xsi:type="dcterms:W3CDTF">2020-10-13T16:54:00Z</dcterms:created>
  <dcterms:modified xsi:type="dcterms:W3CDTF">2021-02-23T19:56:00Z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