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26BD2" w14:textId="77777777" w:rsidR="00CB2DDF" w:rsidRDefault="00CB2DDF" w:rsidP="0024757B">
      <w:pPr>
        <w:pStyle w:val="Heading2"/>
        <w:spacing w:before="0"/>
        <w:rPr>
          <w:rFonts w:ascii="Arial" w:hAnsi="Arial" w:cs="Arial"/>
          <w:sz w:val="22"/>
          <w:szCs w:val="22"/>
        </w:rPr>
      </w:pPr>
    </w:p>
    <w:p w14:paraId="163F09CB" w14:textId="6683CD65" w:rsidR="00CB2DDF" w:rsidRDefault="00B14064" w:rsidP="009C2FF1">
      <w:pPr>
        <w:pStyle w:val="Heading2"/>
        <w:spacing w:before="0"/>
        <w:rPr>
          <w:rFonts w:ascii="Arial" w:hAnsi="Arial" w:cs="Arial"/>
          <w:sz w:val="22"/>
          <w:szCs w:val="22"/>
        </w:rPr>
      </w:pPr>
      <w:r>
        <w:rPr>
          <w:rFonts w:ascii="Arial" w:hAnsi="Arial" w:cs="Arial"/>
          <w:sz w:val="22"/>
          <w:szCs w:val="22"/>
        </w:rPr>
        <w:t>I NATURALEZA DE LA ENTIDAD</w:t>
      </w:r>
    </w:p>
    <w:p w14:paraId="696B9107" w14:textId="77777777" w:rsidR="009C2FF1" w:rsidRPr="009C2FF1" w:rsidRDefault="009C2FF1" w:rsidP="009C2FF1">
      <w:pPr>
        <w:spacing w:after="0"/>
      </w:pPr>
    </w:p>
    <w:p w14:paraId="0B67748F" w14:textId="5C6AE0EE" w:rsidR="00CB2DDF" w:rsidRDefault="00B14064" w:rsidP="009C2FF1">
      <w:pPr>
        <w:pStyle w:val="BodyText"/>
        <w:numPr>
          <w:ilvl w:val="0"/>
          <w:numId w:val="1"/>
        </w:numPr>
        <w:spacing w:after="0"/>
        <w:ind w:left="708"/>
        <w:jc w:val="both"/>
        <w:rPr>
          <w:rFonts w:ascii="Arial" w:hAnsi="Arial" w:cs="Arial"/>
        </w:rPr>
      </w:pPr>
      <w:r>
        <w:rPr>
          <w:rFonts w:ascii="Arial" w:hAnsi="Arial" w:cs="Arial"/>
          <w:u w:val="single"/>
        </w:rPr>
        <w:t>Operaciones</w:t>
      </w:r>
      <w:r>
        <w:rPr>
          <w:rFonts w:ascii="Arial" w:hAnsi="Arial" w:cs="Arial"/>
        </w:rPr>
        <w:t xml:space="preserve"> </w:t>
      </w:r>
      <w:r w:rsidR="000274AC">
        <w:rPr>
          <w:rFonts w:ascii="Arial" w:hAnsi="Arial" w:cs="Arial"/>
        </w:rPr>
        <w:t>–</w:t>
      </w:r>
      <w:r>
        <w:rPr>
          <w:rFonts w:ascii="Arial" w:hAnsi="Arial" w:cs="Arial"/>
        </w:rPr>
        <w:t xml:space="preserve"> </w:t>
      </w:r>
      <w:r w:rsidR="000274AC">
        <w:rPr>
          <w:rFonts w:ascii="Arial" w:hAnsi="Arial" w:cs="Arial"/>
        </w:rPr>
        <w:t xml:space="preserve">Servicios </w:t>
      </w:r>
      <w:r w:rsidR="00941101">
        <w:rPr>
          <w:rFonts w:ascii="Arial" w:hAnsi="Arial" w:cs="Arial"/>
        </w:rPr>
        <w:t>Telcodata</w:t>
      </w:r>
      <w:r>
        <w:rPr>
          <w:rFonts w:ascii="Arial" w:hAnsi="Arial" w:cs="Arial"/>
        </w:rPr>
        <w:t xml:space="preserve"> S.A. es una empresa privada</w:t>
      </w:r>
      <w:r w:rsidR="00DC796A">
        <w:rPr>
          <w:rFonts w:ascii="Arial" w:hAnsi="Arial" w:cs="Arial"/>
        </w:rPr>
        <w:t xml:space="preserve"> constituida en el año 1979,</w:t>
      </w:r>
      <w:r>
        <w:rPr>
          <w:rFonts w:ascii="Arial" w:hAnsi="Arial" w:cs="Arial"/>
        </w:rPr>
        <w:t xml:space="preserve"> con sede principal en Guayaquil</w:t>
      </w:r>
      <w:r w:rsidR="00DC796A">
        <w:rPr>
          <w:rFonts w:ascii="Arial" w:hAnsi="Arial" w:cs="Arial"/>
        </w:rPr>
        <w:t>,</w:t>
      </w:r>
      <w:r>
        <w:rPr>
          <w:rFonts w:ascii="Arial" w:hAnsi="Arial" w:cs="Arial"/>
        </w:rPr>
        <w:t xml:space="preserve"> que se dedica principalmente a la venta al por mayor de computadoras y equipos periféricos para pequeñas y grandes empresas</w:t>
      </w:r>
      <w:r w:rsidR="00941101">
        <w:rPr>
          <w:rFonts w:ascii="Arial" w:hAnsi="Arial" w:cs="Arial"/>
        </w:rPr>
        <w:t>, incluyendo también</w:t>
      </w:r>
      <w:r>
        <w:rPr>
          <w:rFonts w:ascii="Arial" w:hAnsi="Arial" w:cs="Arial"/>
        </w:rPr>
        <w:t xml:space="preserve"> la venta de centrales telefónicas y telefonía IP además de sistemas de seguridad</w:t>
      </w:r>
      <w:r w:rsidR="00941101">
        <w:rPr>
          <w:rFonts w:ascii="Arial" w:hAnsi="Arial" w:cs="Arial"/>
        </w:rPr>
        <w:t xml:space="preserve"> y el mantenimiento de</w:t>
      </w:r>
      <w:r>
        <w:rPr>
          <w:rFonts w:ascii="Arial" w:hAnsi="Arial" w:cs="Arial"/>
        </w:rPr>
        <w:t xml:space="preserve"> instalaciones de redes. </w:t>
      </w:r>
    </w:p>
    <w:p w14:paraId="1AEF5430" w14:textId="77777777" w:rsidR="00CB2DDF" w:rsidRDefault="00CB2DDF">
      <w:pPr>
        <w:pStyle w:val="BodyText"/>
        <w:spacing w:after="0"/>
        <w:ind w:left="708"/>
        <w:jc w:val="both"/>
        <w:rPr>
          <w:rFonts w:ascii="Arial" w:hAnsi="Arial" w:cs="Arial"/>
          <w:u w:val="single"/>
        </w:rPr>
      </w:pPr>
    </w:p>
    <w:p w14:paraId="6A7D7ECA" w14:textId="11510417" w:rsidR="00CB2DDF" w:rsidRDefault="00B14064">
      <w:pPr>
        <w:pStyle w:val="BodyText"/>
        <w:spacing w:after="0"/>
        <w:ind w:left="708"/>
        <w:jc w:val="both"/>
        <w:rPr>
          <w:rFonts w:ascii="Arial" w:hAnsi="Arial" w:cs="Arial"/>
        </w:rPr>
      </w:pPr>
      <w:r>
        <w:rPr>
          <w:rFonts w:ascii="Arial" w:hAnsi="Arial" w:cs="Arial"/>
        </w:rPr>
        <w:t>Telcodata forma parte del grupo Telconet</w:t>
      </w:r>
      <w:r w:rsidR="00941101">
        <w:rPr>
          <w:rFonts w:ascii="Arial" w:hAnsi="Arial" w:cs="Arial"/>
        </w:rPr>
        <w:t xml:space="preserve">, compañía relacionada que es su </w:t>
      </w:r>
      <w:r w:rsidR="00641B4C">
        <w:rPr>
          <w:rFonts w:ascii="Arial" w:hAnsi="Arial" w:cs="Arial"/>
        </w:rPr>
        <w:t>único cliente pues todos los equipos que se venden se instalan en clientes de Telconet</w:t>
      </w:r>
      <w:r w:rsidR="00DC796A">
        <w:rPr>
          <w:rFonts w:ascii="Arial" w:hAnsi="Arial" w:cs="Arial"/>
        </w:rPr>
        <w:t xml:space="preserve"> y se facturan a esta última.</w:t>
      </w:r>
      <w:r w:rsidR="000274AC">
        <w:rPr>
          <w:rFonts w:ascii="Arial" w:hAnsi="Arial" w:cs="Arial"/>
        </w:rPr>
        <w:t xml:space="preserve"> </w:t>
      </w:r>
      <w:r w:rsidR="000274AC" w:rsidRPr="000274AC">
        <w:rPr>
          <w:rFonts w:ascii="Arial" w:hAnsi="Arial" w:cs="Arial"/>
        </w:rPr>
        <w:t>La empresa no tiene trabajadores en relación de dependencia</w:t>
      </w:r>
      <w:r w:rsidR="000274AC">
        <w:rPr>
          <w:rFonts w:ascii="Arial" w:hAnsi="Arial" w:cs="Arial"/>
        </w:rPr>
        <w:t>; l</w:t>
      </w:r>
      <w:r w:rsidR="000274AC" w:rsidRPr="000274AC">
        <w:rPr>
          <w:rFonts w:ascii="Arial" w:hAnsi="Arial" w:cs="Arial"/>
        </w:rPr>
        <w:t>a contabilidad, administración, ventas y operaciones son realizadas por trabajadores en relación de dependencia con Telconet</w:t>
      </w:r>
      <w:r w:rsidR="0012668F">
        <w:rPr>
          <w:rFonts w:ascii="Arial" w:hAnsi="Arial" w:cs="Arial"/>
        </w:rPr>
        <w:t xml:space="preserve"> y utilizando la infraestructura de ésta,</w:t>
      </w:r>
      <w:r w:rsidR="000274AC" w:rsidRPr="000274AC">
        <w:rPr>
          <w:rFonts w:ascii="Arial" w:hAnsi="Arial" w:cs="Arial"/>
        </w:rPr>
        <w:t xml:space="preserve"> no</w:t>
      </w:r>
      <w:r w:rsidR="00DC796A">
        <w:rPr>
          <w:rFonts w:ascii="Arial" w:hAnsi="Arial" w:cs="Arial"/>
        </w:rPr>
        <w:t xml:space="preserve"> existe contrato o convenio entre las partes para efecto de reflejar costos laborales o de servicios recibidos</w:t>
      </w:r>
      <w:r w:rsidR="0012668F">
        <w:rPr>
          <w:rFonts w:ascii="Arial" w:hAnsi="Arial" w:cs="Arial"/>
        </w:rPr>
        <w:t xml:space="preserve"> y</w:t>
      </w:r>
      <w:r w:rsidR="00DC796A">
        <w:rPr>
          <w:rFonts w:ascii="Arial" w:hAnsi="Arial" w:cs="Arial"/>
        </w:rPr>
        <w:t xml:space="preserve"> tampoco existe contrato de arrendamiento de oficinas ni bodegas.</w:t>
      </w:r>
    </w:p>
    <w:p w14:paraId="6B7604EA" w14:textId="5EA7A49D" w:rsidR="00CB2DDF" w:rsidRDefault="00CB2DDF">
      <w:pPr>
        <w:pStyle w:val="BodyText"/>
        <w:spacing w:after="0"/>
        <w:ind w:left="708"/>
        <w:jc w:val="both"/>
        <w:rPr>
          <w:rFonts w:ascii="Arial" w:hAnsi="Arial" w:cs="Arial"/>
        </w:rPr>
      </w:pPr>
    </w:p>
    <w:p w14:paraId="60630A87" w14:textId="0688D2CC" w:rsidR="009C2FF1" w:rsidRDefault="009C2FF1">
      <w:pPr>
        <w:pStyle w:val="BodyText"/>
        <w:spacing w:after="0"/>
        <w:ind w:left="708"/>
        <w:jc w:val="both"/>
        <w:rPr>
          <w:rFonts w:ascii="Arial" w:hAnsi="Arial" w:cs="Arial"/>
        </w:rPr>
      </w:pPr>
      <w:r w:rsidRPr="009C2FF1">
        <w:rPr>
          <w:rFonts w:ascii="Arial" w:hAnsi="Arial" w:cs="Arial"/>
          <w:highlight w:val="yellow"/>
        </w:rPr>
        <w:t>Para efectos legales la empresa registra en su RUC la dirección: Edificio Torres de la Merced, Piso 2, Oficina 10</w:t>
      </w:r>
      <w:r w:rsidR="00DC796A">
        <w:rPr>
          <w:rFonts w:ascii="Arial" w:hAnsi="Arial" w:cs="Arial"/>
        </w:rPr>
        <w:t>.</w:t>
      </w:r>
    </w:p>
    <w:p w14:paraId="22EDBB27" w14:textId="50110965" w:rsidR="009C2FF1" w:rsidRDefault="009C2FF1">
      <w:pPr>
        <w:pStyle w:val="BodyText"/>
        <w:spacing w:after="0"/>
        <w:ind w:left="708"/>
        <w:jc w:val="both"/>
        <w:rPr>
          <w:rFonts w:ascii="Arial" w:hAnsi="Arial" w:cs="Arial"/>
        </w:rPr>
      </w:pPr>
    </w:p>
    <w:p w14:paraId="38A25935" w14:textId="1644047B" w:rsidR="009C2FF1" w:rsidRDefault="009C2FF1">
      <w:pPr>
        <w:pStyle w:val="BodyText"/>
        <w:spacing w:after="0"/>
        <w:ind w:left="708"/>
        <w:jc w:val="both"/>
        <w:rPr>
          <w:rFonts w:ascii="Arial" w:hAnsi="Arial" w:cs="Arial"/>
        </w:rPr>
      </w:pPr>
      <w:r>
        <w:rPr>
          <w:rFonts w:ascii="Arial" w:hAnsi="Arial" w:cs="Arial"/>
        </w:rPr>
        <w:t>En febrero del 2019 la compañía fue sujeta de intervención por parte de la Superintendencia de Compañías</w:t>
      </w:r>
      <w:r w:rsidR="002B2874">
        <w:rPr>
          <w:rFonts w:ascii="Arial" w:hAnsi="Arial" w:cs="Arial"/>
        </w:rPr>
        <w:t xml:space="preserve"> que, en su resolución de dicha fecha, indicaba que Telcodata se encontraba incursa en las causales establecidas en los numerales 2 y 3 del Art. 354 de la Ley de Compañías; dicha intervención fue levantada mediante resolución del 13 de noviembre del 2020.</w:t>
      </w:r>
    </w:p>
    <w:p w14:paraId="42FE1E1B" w14:textId="77777777" w:rsidR="009C2FF1" w:rsidRDefault="009C2FF1">
      <w:pPr>
        <w:pStyle w:val="BodyText"/>
        <w:spacing w:after="0"/>
        <w:ind w:left="708"/>
        <w:jc w:val="both"/>
        <w:rPr>
          <w:rFonts w:ascii="Arial" w:hAnsi="Arial" w:cs="Arial"/>
        </w:rPr>
      </w:pPr>
    </w:p>
    <w:p w14:paraId="18809375" w14:textId="008E2EB7" w:rsidR="00CB2DDF" w:rsidRDefault="00B14064" w:rsidP="0024757B">
      <w:pPr>
        <w:pStyle w:val="BodyText"/>
        <w:numPr>
          <w:ilvl w:val="0"/>
          <w:numId w:val="1"/>
        </w:numPr>
        <w:spacing w:after="0"/>
        <w:jc w:val="both"/>
        <w:rPr>
          <w:rFonts w:ascii="Arial" w:hAnsi="Arial" w:cs="Arial"/>
        </w:rPr>
      </w:pPr>
      <w:r>
        <w:rPr>
          <w:rFonts w:ascii="Arial" w:hAnsi="Arial" w:cs="Arial"/>
          <w:u w:val="single"/>
        </w:rPr>
        <w:t>Propiedad y Gobierno</w:t>
      </w:r>
      <w:r>
        <w:rPr>
          <w:rFonts w:ascii="Arial" w:hAnsi="Arial" w:cs="Arial"/>
        </w:rPr>
        <w:t xml:space="preserve"> – La compañía es de propiedad privada siendo sus principales </w:t>
      </w:r>
      <w:r w:rsidR="0073545C">
        <w:rPr>
          <w:rFonts w:ascii="Arial" w:hAnsi="Arial" w:cs="Arial"/>
        </w:rPr>
        <w:t>a</w:t>
      </w:r>
      <w:r>
        <w:rPr>
          <w:rFonts w:ascii="Arial" w:hAnsi="Arial" w:cs="Arial"/>
        </w:rPr>
        <w:t xml:space="preserve">ccionistas: Marion </w:t>
      </w:r>
      <w:bookmarkStart w:id="0" w:name="_Hlk36646886"/>
      <w:r>
        <w:rPr>
          <w:rFonts w:ascii="Arial" w:hAnsi="Arial" w:cs="Arial"/>
        </w:rPr>
        <w:t xml:space="preserve">Tomislav </w:t>
      </w:r>
      <w:bookmarkEnd w:id="0"/>
      <w:r>
        <w:rPr>
          <w:rFonts w:ascii="Arial" w:hAnsi="Arial" w:cs="Arial"/>
        </w:rPr>
        <w:t xml:space="preserve">Topic Granados (99%) y su </w:t>
      </w:r>
      <w:r w:rsidR="00641B4C">
        <w:rPr>
          <w:rFonts w:ascii="Arial" w:hAnsi="Arial" w:cs="Arial"/>
        </w:rPr>
        <w:t>h</w:t>
      </w:r>
      <w:r>
        <w:rPr>
          <w:rFonts w:ascii="Arial" w:hAnsi="Arial" w:cs="Arial"/>
        </w:rPr>
        <w:t xml:space="preserve">ermana: Maria Ljubica Topic Granados (1%). Los administradores de la empresa son: Marion Tomislav Topic Granados como Presidente Ejecutivo y Javier Alfredo Galarza Benítez como principal </w:t>
      </w:r>
      <w:r w:rsidR="00641B4C">
        <w:rPr>
          <w:rFonts w:ascii="Arial" w:hAnsi="Arial" w:cs="Arial"/>
        </w:rPr>
        <w:t>A</w:t>
      </w:r>
      <w:r>
        <w:rPr>
          <w:rFonts w:ascii="Arial" w:hAnsi="Arial" w:cs="Arial"/>
        </w:rPr>
        <w:t>dministrador y Gerente General de la empresa. No existe Directorio.</w:t>
      </w:r>
    </w:p>
    <w:p w14:paraId="69A2CBFD" w14:textId="77777777" w:rsidR="0024757B" w:rsidRPr="0024757B" w:rsidRDefault="0024757B" w:rsidP="0024757B">
      <w:pPr>
        <w:pStyle w:val="BodyText"/>
        <w:spacing w:after="0"/>
        <w:ind w:left="720"/>
        <w:jc w:val="both"/>
        <w:rPr>
          <w:rFonts w:ascii="Arial" w:hAnsi="Arial" w:cs="Arial"/>
        </w:rPr>
      </w:pPr>
    </w:p>
    <w:p w14:paraId="09FFF3EA" w14:textId="4D3DFBC8" w:rsidR="0024757B" w:rsidRDefault="0024757B" w:rsidP="0024757B">
      <w:pPr>
        <w:pStyle w:val="BodyText"/>
        <w:numPr>
          <w:ilvl w:val="0"/>
          <w:numId w:val="1"/>
        </w:numPr>
        <w:spacing w:after="0"/>
        <w:jc w:val="both"/>
        <w:rPr>
          <w:rFonts w:ascii="Arial" w:hAnsi="Arial" w:cs="Arial"/>
          <w:u w:val="single"/>
        </w:rPr>
      </w:pPr>
      <w:r>
        <w:rPr>
          <w:rFonts w:ascii="Arial" w:hAnsi="Arial" w:cs="Arial"/>
          <w:u w:val="single"/>
        </w:rPr>
        <w:t>Partes Relacionadas</w:t>
      </w:r>
      <w:r w:rsidRPr="0024757B">
        <w:rPr>
          <w:rFonts w:ascii="Arial" w:hAnsi="Arial" w:cs="Arial"/>
        </w:rPr>
        <w:t xml:space="preserve"> </w:t>
      </w:r>
      <w:r w:rsidR="00667AE7">
        <w:rPr>
          <w:rFonts w:ascii="Arial" w:hAnsi="Arial" w:cs="Arial"/>
        </w:rPr>
        <w:t>–</w:t>
      </w:r>
      <w:r>
        <w:rPr>
          <w:rFonts w:ascii="Arial" w:hAnsi="Arial" w:cs="Arial"/>
        </w:rPr>
        <w:t xml:space="preserve"> </w:t>
      </w:r>
      <w:r w:rsidR="00667AE7">
        <w:rPr>
          <w:rFonts w:ascii="Arial" w:hAnsi="Arial" w:cs="Arial"/>
        </w:rPr>
        <w:t>Las transacciones con partes relacionadas corresponden principalmente a las compras a Telconet y saldos por cobrar y por pagar con la misma.</w:t>
      </w:r>
      <w:r w:rsidR="002B2874">
        <w:rPr>
          <w:rFonts w:ascii="Arial" w:hAnsi="Arial" w:cs="Arial"/>
        </w:rPr>
        <w:t xml:space="preserve"> En adición, desde el año 2018 la empresa mantiene un saldo pendiente de cobro a Jan Topic Feraud por US$61 mil.</w:t>
      </w:r>
    </w:p>
    <w:p w14:paraId="1FD4B494" w14:textId="77777777" w:rsidR="0024757B" w:rsidRDefault="0024757B" w:rsidP="0024757B">
      <w:pPr>
        <w:pStyle w:val="BodyText"/>
        <w:spacing w:after="0"/>
        <w:ind w:left="720"/>
        <w:jc w:val="both"/>
        <w:rPr>
          <w:rFonts w:ascii="Arial" w:hAnsi="Arial" w:cs="Arial"/>
          <w:u w:val="single"/>
        </w:rPr>
      </w:pPr>
    </w:p>
    <w:p w14:paraId="57D9E466" w14:textId="631E634F" w:rsidR="00CB2DDF" w:rsidRPr="0024757B" w:rsidRDefault="00B14064" w:rsidP="0024757B">
      <w:pPr>
        <w:pStyle w:val="BodyText"/>
        <w:numPr>
          <w:ilvl w:val="0"/>
          <w:numId w:val="1"/>
        </w:numPr>
        <w:spacing w:after="0"/>
        <w:jc w:val="both"/>
        <w:rPr>
          <w:rFonts w:ascii="Arial" w:hAnsi="Arial" w:cs="Arial"/>
          <w:u w:val="single"/>
        </w:rPr>
      </w:pPr>
      <w:r>
        <w:rPr>
          <w:rFonts w:ascii="Arial" w:hAnsi="Arial" w:cs="Arial"/>
          <w:u w:val="single"/>
        </w:rPr>
        <w:t>Estructura y Financiamiento</w:t>
      </w:r>
      <w:r>
        <w:rPr>
          <w:rFonts w:ascii="Arial" w:hAnsi="Arial" w:cs="Arial"/>
        </w:rPr>
        <w:t xml:space="preserve"> –</w:t>
      </w:r>
      <w:r w:rsidR="0024757B">
        <w:rPr>
          <w:rFonts w:ascii="Arial" w:hAnsi="Arial" w:cs="Arial"/>
          <w:u w:val="single"/>
        </w:rPr>
        <w:t xml:space="preserve"> </w:t>
      </w:r>
      <w:r w:rsidRPr="0024757B">
        <w:rPr>
          <w:rFonts w:ascii="Arial" w:hAnsi="Arial" w:cs="Arial"/>
        </w:rPr>
        <w:t>La estructura de financiamiento de la compañía es de 7</w:t>
      </w:r>
      <w:r w:rsidR="00FB2DD8" w:rsidRPr="0024757B">
        <w:rPr>
          <w:rFonts w:ascii="Arial" w:hAnsi="Arial" w:cs="Arial"/>
        </w:rPr>
        <w:t>5</w:t>
      </w:r>
      <w:r w:rsidRPr="0024757B">
        <w:rPr>
          <w:rFonts w:ascii="Arial" w:hAnsi="Arial" w:cs="Arial"/>
        </w:rPr>
        <w:t>% mediante el patrimonio de los Accionistas</w:t>
      </w:r>
      <w:r w:rsidR="00FB2DD8" w:rsidRPr="0024757B">
        <w:rPr>
          <w:rFonts w:ascii="Arial" w:hAnsi="Arial" w:cs="Arial"/>
        </w:rPr>
        <w:t>; l</w:t>
      </w:r>
      <w:r w:rsidRPr="0024757B">
        <w:rPr>
          <w:rFonts w:ascii="Arial" w:hAnsi="Arial" w:cs="Arial"/>
        </w:rPr>
        <w:t>a empresa no mantiene endeudamiento con instituciones financieras</w:t>
      </w:r>
      <w:r w:rsidR="00FB2DD8" w:rsidRPr="0024757B">
        <w:rPr>
          <w:rFonts w:ascii="Arial" w:hAnsi="Arial" w:cs="Arial"/>
        </w:rPr>
        <w:t xml:space="preserve"> y en el 2019 y 2018 sus flujos operacionales han sido de -$48 mil y -$57 mil</w:t>
      </w:r>
      <w:r w:rsidR="0024757B" w:rsidRPr="0024757B">
        <w:rPr>
          <w:rFonts w:ascii="Arial" w:hAnsi="Arial" w:cs="Arial"/>
        </w:rPr>
        <w:t xml:space="preserve">; a pesar de esto último, la empresa </w:t>
      </w:r>
      <w:r w:rsidR="0024757B" w:rsidRPr="0024757B">
        <w:rPr>
          <w:rFonts w:ascii="Arial" w:hAnsi="Arial" w:cs="Arial"/>
        </w:rPr>
        <w:lastRenderedPageBreak/>
        <w:t>mantiene importantes cuentas por cobrar corrientes a compañías relacionadas por US$335 mil que representan el 60% de los activos totales</w:t>
      </w:r>
    </w:p>
    <w:p w14:paraId="5D1C1384" w14:textId="1B6D04B9" w:rsidR="00CB2DDF" w:rsidRDefault="00CB2DDF">
      <w:pPr>
        <w:pStyle w:val="BodyText"/>
        <w:spacing w:after="0"/>
        <w:ind w:left="720"/>
        <w:jc w:val="both"/>
        <w:rPr>
          <w:rFonts w:ascii="Arial" w:hAnsi="Arial" w:cs="Arial"/>
        </w:rPr>
      </w:pPr>
    </w:p>
    <w:p w14:paraId="76CA7788" w14:textId="77777777" w:rsidR="0024757B" w:rsidRDefault="00B14064">
      <w:pPr>
        <w:pStyle w:val="BodyText"/>
        <w:numPr>
          <w:ilvl w:val="0"/>
          <w:numId w:val="1"/>
        </w:numPr>
        <w:spacing w:after="0"/>
        <w:jc w:val="both"/>
        <w:rPr>
          <w:rFonts w:ascii="Arial" w:hAnsi="Arial" w:cs="Arial"/>
        </w:rPr>
      </w:pPr>
      <w:r>
        <w:rPr>
          <w:rFonts w:ascii="Arial" w:hAnsi="Arial" w:cs="Arial"/>
          <w:u w:val="single"/>
        </w:rPr>
        <w:t>Políticas Contables</w:t>
      </w:r>
      <w:r>
        <w:rPr>
          <w:rFonts w:ascii="Arial" w:hAnsi="Arial" w:cs="Arial"/>
        </w:rPr>
        <w:t xml:space="preserve"> – </w:t>
      </w:r>
      <w:r w:rsidR="0024757B">
        <w:rPr>
          <w:rFonts w:ascii="Arial" w:hAnsi="Arial" w:cs="Arial"/>
        </w:rPr>
        <w:t>Hemos identificados las siguientes políticas contables significativas:</w:t>
      </w:r>
    </w:p>
    <w:p w14:paraId="7374134B" w14:textId="77777777" w:rsidR="0024757B" w:rsidRDefault="0024757B" w:rsidP="0024757B">
      <w:pPr>
        <w:pStyle w:val="BodyText"/>
        <w:spacing w:after="0"/>
        <w:ind w:left="720"/>
        <w:jc w:val="both"/>
        <w:rPr>
          <w:rFonts w:ascii="Arial" w:hAnsi="Arial" w:cs="Arial"/>
          <w:u w:val="single"/>
        </w:rPr>
      </w:pPr>
    </w:p>
    <w:p w14:paraId="19258F77" w14:textId="70F21E98" w:rsidR="00CB2DDF" w:rsidRDefault="0024757B" w:rsidP="0024757B">
      <w:pPr>
        <w:pStyle w:val="BodyText"/>
        <w:spacing w:after="0"/>
        <w:ind w:left="720"/>
        <w:jc w:val="both"/>
        <w:rPr>
          <w:rFonts w:ascii="Arial" w:hAnsi="Arial" w:cs="Arial"/>
        </w:rPr>
      </w:pPr>
      <w:r w:rsidRPr="0024757B">
        <w:rPr>
          <w:rFonts w:ascii="Arial" w:hAnsi="Arial" w:cs="Arial"/>
          <w:i/>
          <w:iCs/>
        </w:rPr>
        <w:t>Ingresos -</w:t>
      </w:r>
      <w:r w:rsidRPr="0024757B">
        <w:rPr>
          <w:rFonts w:ascii="Arial" w:hAnsi="Arial" w:cs="Arial"/>
        </w:rPr>
        <w:t xml:space="preserve"> </w:t>
      </w:r>
      <w:r w:rsidR="00B14064">
        <w:rPr>
          <w:rFonts w:ascii="Arial" w:hAnsi="Arial" w:cs="Arial"/>
        </w:rPr>
        <w:t xml:space="preserve">Los ingresos por ventas de inventarios se reconocen cuando son facturados y los equipos son entregados al cliente. Los ingresos por prestación de servicios son delegados a una empresa </w:t>
      </w:r>
      <w:r>
        <w:rPr>
          <w:rFonts w:ascii="Arial" w:hAnsi="Arial" w:cs="Arial"/>
        </w:rPr>
        <w:t>relacion</w:t>
      </w:r>
      <w:r w:rsidR="00B14064">
        <w:rPr>
          <w:rFonts w:ascii="Arial" w:hAnsi="Arial" w:cs="Arial"/>
        </w:rPr>
        <w:t>ada</w:t>
      </w:r>
      <w:r>
        <w:rPr>
          <w:rFonts w:ascii="Arial" w:hAnsi="Arial" w:cs="Arial"/>
        </w:rPr>
        <w:t xml:space="preserve"> (Telconet)</w:t>
      </w:r>
      <w:r w:rsidR="00B14064">
        <w:rPr>
          <w:rFonts w:ascii="Arial" w:hAnsi="Arial" w:cs="Arial"/>
        </w:rPr>
        <w:t xml:space="preserve"> para la elaboración del trabajo y estos son facturados en base a lo facturado por </w:t>
      </w:r>
      <w:r>
        <w:rPr>
          <w:rFonts w:ascii="Arial" w:hAnsi="Arial" w:cs="Arial"/>
        </w:rPr>
        <w:t>dich</w:t>
      </w:r>
      <w:r w:rsidR="00B14064">
        <w:rPr>
          <w:rFonts w:ascii="Arial" w:hAnsi="Arial" w:cs="Arial"/>
        </w:rPr>
        <w:t xml:space="preserve">a empresa </w:t>
      </w:r>
      <w:r>
        <w:rPr>
          <w:rFonts w:ascii="Arial" w:hAnsi="Arial" w:cs="Arial"/>
        </w:rPr>
        <w:t>relacionada</w:t>
      </w:r>
      <w:r w:rsidR="00B14064">
        <w:rPr>
          <w:rFonts w:ascii="Arial" w:hAnsi="Arial" w:cs="Arial"/>
        </w:rPr>
        <w:t>.</w:t>
      </w:r>
    </w:p>
    <w:p w14:paraId="50FD79E8" w14:textId="5D58B14E" w:rsidR="00CB2DDF" w:rsidRDefault="00CB2DDF">
      <w:pPr>
        <w:pStyle w:val="BodyText"/>
        <w:spacing w:after="0"/>
        <w:ind w:left="720"/>
        <w:jc w:val="both"/>
        <w:rPr>
          <w:rFonts w:ascii="Arial" w:hAnsi="Arial" w:cs="Arial"/>
        </w:rPr>
      </w:pPr>
    </w:p>
    <w:p w14:paraId="56AC29CA" w14:textId="6E87981A" w:rsidR="0024757B" w:rsidRDefault="0024757B" w:rsidP="0024757B">
      <w:pPr>
        <w:pStyle w:val="BodyText"/>
        <w:spacing w:after="0"/>
        <w:ind w:left="720"/>
        <w:jc w:val="both"/>
        <w:rPr>
          <w:rFonts w:ascii="Arial" w:hAnsi="Arial" w:cs="Arial"/>
        </w:rPr>
      </w:pPr>
      <w:r w:rsidRPr="00DC796A">
        <w:rPr>
          <w:rFonts w:ascii="Arial" w:hAnsi="Arial" w:cs="Arial"/>
          <w:i/>
          <w:iCs/>
          <w:highlight w:val="yellow"/>
        </w:rPr>
        <w:t>Inventarios</w:t>
      </w:r>
      <w:r w:rsidR="00667AE7" w:rsidRPr="00DC796A">
        <w:rPr>
          <w:rFonts w:ascii="Arial" w:hAnsi="Arial" w:cs="Arial"/>
          <w:i/>
          <w:iCs/>
          <w:highlight w:val="yellow"/>
        </w:rPr>
        <w:t xml:space="preserve"> y costo de ventas</w:t>
      </w:r>
      <w:r w:rsidRPr="00DC796A">
        <w:rPr>
          <w:rFonts w:ascii="Arial" w:hAnsi="Arial" w:cs="Arial"/>
          <w:i/>
          <w:iCs/>
          <w:highlight w:val="yellow"/>
        </w:rPr>
        <w:t xml:space="preserve"> – </w:t>
      </w:r>
      <w:r w:rsidRPr="00DC796A">
        <w:rPr>
          <w:rFonts w:ascii="Arial" w:hAnsi="Arial" w:cs="Arial"/>
          <w:highlight w:val="yellow"/>
        </w:rPr>
        <w:t xml:space="preserve">La empresa no mantiene registros de inventarios, todas las compras a son cargadas </w:t>
      </w:r>
      <w:r w:rsidR="00885ADB" w:rsidRPr="00DC796A">
        <w:rPr>
          <w:rFonts w:ascii="Arial" w:hAnsi="Arial" w:cs="Arial"/>
          <w:highlight w:val="yellow"/>
        </w:rPr>
        <w:t>direc</w:t>
      </w:r>
      <w:r w:rsidRPr="00DC796A">
        <w:rPr>
          <w:rFonts w:ascii="Arial" w:hAnsi="Arial" w:cs="Arial"/>
          <w:highlight w:val="yellow"/>
        </w:rPr>
        <w:t>tamente a costo de ventas pues no existen compras para stock</w:t>
      </w:r>
      <w:r>
        <w:rPr>
          <w:rFonts w:ascii="Arial" w:hAnsi="Arial" w:cs="Arial"/>
        </w:rPr>
        <w:t>.</w:t>
      </w:r>
    </w:p>
    <w:p w14:paraId="006C002E" w14:textId="4A4FA2E7" w:rsidR="00667AE7" w:rsidRDefault="00667AE7" w:rsidP="0024757B">
      <w:pPr>
        <w:pStyle w:val="BodyText"/>
        <w:spacing w:after="0"/>
        <w:ind w:left="720"/>
        <w:jc w:val="both"/>
        <w:rPr>
          <w:rFonts w:ascii="Arial" w:hAnsi="Arial" w:cs="Arial"/>
        </w:rPr>
      </w:pPr>
    </w:p>
    <w:p w14:paraId="273AA388" w14:textId="6E414529" w:rsidR="00CB2DDF" w:rsidRDefault="00667AE7">
      <w:pPr>
        <w:pStyle w:val="BodyText"/>
        <w:spacing w:after="0"/>
        <w:ind w:left="720"/>
        <w:jc w:val="both"/>
        <w:rPr>
          <w:rFonts w:ascii="Arial" w:hAnsi="Arial" w:cs="Arial"/>
        </w:rPr>
      </w:pPr>
      <w:r>
        <w:rPr>
          <w:rFonts w:ascii="Arial" w:hAnsi="Arial" w:cs="Arial"/>
          <w:i/>
          <w:iCs/>
        </w:rPr>
        <w:t>P</w:t>
      </w:r>
      <w:r w:rsidR="0024757B" w:rsidRPr="0024757B">
        <w:rPr>
          <w:rFonts w:ascii="Arial" w:hAnsi="Arial" w:cs="Arial"/>
          <w:i/>
          <w:iCs/>
        </w:rPr>
        <w:t>rovisión por deterioro de cartera</w:t>
      </w:r>
      <w:r w:rsidR="0024757B">
        <w:rPr>
          <w:rFonts w:ascii="Arial" w:hAnsi="Arial" w:cs="Arial"/>
        </w:rPr>
        <w:t xml:space="preserve"> - </w:t>
      </w:r>
      <w:r w:rsidR="00B14064">
        <w:rPr>
          <w:rFonts w:ascii="Arial" w:hAnsi="Arial" w:cs="Arial"/>
        </w:rPr>
        <w:t xml:space="preserve">La provisión para cuentas incobrables generalmente es baja o no existe pues </w:t>
      </w:r>
      <w:r w:rsidR="0024757B">
        <w:rPr>
          <w:rFonts w:ascii="Arial" w:hAnsi="Arial" w:cs="Arial"/>
        </w:rPr>
        <w:t>el mercado de</w:t>
      </w:r>
      <w:r w:rsidR="00B14064">
        <w:rPr>
          <w:rFonts w:ascii="Arial" w:hAnsi="Arial" w:cs="Arial"/>
        </w:rPr>
        <w:t xml:space="preserve"> clientes de Telcodata son corporaciones, multinacionales y empresas grandes, principalmente Telconet S.A.</w:t>
      </w:r>
    </w:p>
    <w:p w14:paraId="0FA0619D" w14:textId="77777777" w:rsidR="00CB2DDF" w:rsidRDefault="00CB2DDF">
      <w:pPr>
        <w:pStyle w:val="BodyText"/>
        <w:spacing w:after="0"/>
        <w:ind w:left="720"/>
        <w:jc w:val="both"/>
        <w:rPr>
          <w:rFonts w:ascii="Arial" w:hAnsi="Arial" w:cs="Arial"/>
        </w:rPr>
      </w:pPr>
    </w:p>
    <w:p w14:paraId="620DBE1C" w14:textId="77777777" w:rsidR="00CB2DDF" w:rsidRDefault="00B14064" w:rsidP="00667AE7">
      <w:pPr>
        <w:pStyle w:val="Heading2"/>
        <w:spacing w:before="0"/>
        <w:jc w:val="both"/>
        <w:rPr>
          <w:rFonts w:ascii="Arial" w:hAnsi="Arial" w:cs="Arial"/>
          <w:sz w:val="22"/>
          <w:szCs w:val="22"/>
        </w:rPr>
      </w:pPr>
      <w:bookmarkStart w:id="1" w:name="_Hlk34652855"/>
      <w:r>
        <w:rPr>
          <w:rFonts w:ascii="Arial" w:hAnsi="Arial" w:cs="Arial"/>
          <w:sz w:val="22"/>
          <w:szCs w:val="22"/>
        </w:rPr>
        <w:t xml:space="preserve">II FACTORES DE LA INDUSTRIA, REGULACIONES Y OTROS FACTORES </w:t>
      </w:r>
      <w:bookmarkEnd w:id="1"/>
      <w:r>
        <w:rPr>
          <w:rFonts w:ascii="Arial" w:hAnsi="Arial" w:cs="Arial"/>
          <w:sz w:val="22"/>
          <w:szCs w:val="22"/>
        </w:rPr>
        <w:t>EXTERNOS</w:t>
      </w:r>
    </w:p>
    <w:p w14:paraId="44431704" w14:textId="77777777" w:rsidR="00CB2DDF" w:rsidRDefault="00CB2DDF" w:rsidP="00667AE7">
      <w:pPr>
        <w:pStyle w:val="BodyText"/>
        <w:spacing w:after="0"/>
        <w:jc w:val="both"/>
        <w:rPr>
          <w:rFonts w:ascii="Arial" w:hAnsi="Arial" w:cs="Arial"/>
          <w:b/>
        </w:rPr>
      </w:pPr>
    </w:p>
    <w:p w14:paraId="5CD6DC27" w14:textId="77777777" w:rsidR="00CB2DDF" w:rsidRDefault="00B14064" w:rsidP="00667AE7">
      <w:pPr>
        <w:pStyle w:val="BodyText"/>
        <w:numPr>
          <w:ilvl w:val="0"/>
          <w:numId w:val="2"/>
        </w:numPr>
        <w:spacing w:after="0"/>
        <w:jc w:val="both"/>
        <w:rPr>
          <w:rFonts w:ascii="Arial" w:hAnsi="Arial" w:cs="Arial"/>
          <w:bCs/>
        </w:rPr>
      </w:pPr>
      <w:r>
        <w:rPr>
          <w:rFonts w:ascii="Arial" w:hAnsi="Arial" w:cs="Arial"/>
          <w:bCs/>
          <w:u w:val="single"/>
        </w:rPr>
        <w:t>Principales clientes</w:t>
      </w:r>
      <w:r>
        <w:rPr>
          <w:rFonts w:ascii="Arial" w:hAnsi="Arial" w:cs="Arial"/>
          <w:bCs/>
        </w:rPr>
        <w:t xml:space="preserve"> – En el presente año 2019, Servicios Telcodata S.A. realizo un total en ventas de US$ 565mil, distribuidos de la siguiente manera:</w:t>
      </w:r>
    </w:p>
    <w:p w14:paraId="39C8ACFE" w14:textId="77777777" w:rsidR="00CB2DDF" w:rsidRDefault="00CB2DDF" w:rsidP="00667AE7">
      <w:pPr>
        <w:pStyle w:val="BodyText"/>
        <w:spacing w:after="0"/>
        <w:ind w:left="720"/>
        <w:jc w:val="both"/>
        <w:rPr>
          <w:rFonts w:ascii="Arial" w:hAnsi="Arial" w:cs="Arial"/>
          <w:bCs/>
        </w:rPr>
      </w:pPr>
    </w:p>
    <w:tbl>
      <w:tblPr>
        <w:tblW w:w="6200" w:type="dxa"/>
        <w:jc w:val="center"/>
        <w:tblBorders>
          <w:top w:val="single" w:sz="4" w:space="0" w:color="000000"/>
          <w:left w:val="single" w:sz="4" w:space="0" w:color="000000"/>
        </w:tblBorders>
        <w:tblCellMar>
          <w:left w:w="65" w:type="dxa"/>
          <w:right w:w="70" w:type="dxa"/>
        </w:tblCellMar>
        <w:tblLook w:val="04A0" w:firstRow="1" w:lastRow="0" w:firstColumn="1" w:lastColumn="0" w:noHBand="0" w:noVBand="1"/>
      </w:tblPr>
      <w:tblGrid>
        <w:gridCol w:w="3519"/>
        <w:gridCol w:w="1480"/>
        <w:gridCol w:w="1201"/>
      </w:tblGrid>
      <w:tr w:rsidR="00CB2DDF" w14:paraId="23985E22" w14:textId="77777777">
        <w:trPr>
          <w:trHeight w:val="300"/>
          <w:jc w:val="center"/>
        </w:trPr>
        <w:tc>
          <w:tcPr>
            <w:tcW w:w="3519" w:type="dxa"/>
            <w:tcBorders>
              <w:top w:val="single" w:sz="4" w:space="0" w:color="000000"/>
              <w:left w:val="single" w:sz="4" w:space="0" w:color="000000"/>
            </w:tcBorders>
            <w:shd w:val="clear" w:color="auto" w:fill="auto"/>
            <w:vAlign w:val="bottom"/>
          </w:tcPr>
          <w:p w14:paraId="62A16A88"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lang w:val="es-EC" w:eastAsia="es-EC"/>
              </w:rPr>
              <w:t xml:space="preserve">      </w:t>
            </w:r>
            <w:r>
              <w:rPr>
                <w:rFonts w:eastAsia="Times New Roman" w:cs="Calibri"/>
                <w:color w:val="000000"/>
                <w:highlight w:val="yellow"/>
                <w:lang w:val="es-EC" w:eastAsia="es-EC"/>
              </w:rPr>
              <w:t>CLIENTES LOCALES</w:t>
            </w:r>
          </w:p>
        </w:tc>
        <w:tc>
          <w:tcPr>
            <w:tcW w:w="1480" w:type="dxa"/>
            <w:tcBorders>
              <w:top w:val="single" w:sz="4" w:space="0" w:color="000000"/>
              <w:left w:val="single" w:sz="4" w:space="0" w:color="000000"/>
              <w:right w:val="single" w:sz="4" w:space="0" w:color="000000"/>
            </w:tcBorders>
            <w:shd w:val="clear" w:color="auto" w:fill="auto"/>
            <w:vAlign w:val="bottom"/>
          </w:tcPr>
          <w:p w14:paraId="6580D093" w14:textId="77777777" w:rsidR="00CB2DDF" w:rsidRDefault="00B14064">
            <w:pPr>
              <w:spacing w:after="0" w:line="240" w:lineRule="auto"/>
              <w:jc w:val="right"/>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$189.984</w:t>
            </w:r>
          </w:p>
        </w:tc>
        <w:tc>
          <w:tcPr>
            <w:tcW w:w="1201" w:type="dxa"/>
            <w:tcBorders>
              <w:top w:val="single" w:sz="4" w:space="0" w:color="000000"/>
              <w:right w:val="single" w:sz="4" w:space="0" w:color="000000"/>
            </w:tcBorders>
            <w:shd w:val="clear" w:color="auto" w:fill="auto"/>
            <w:vAlign w:val="bottom"/>
          </w:tcPr>
          <w:p w14:paraId="19CE8A32" w14:textId="77777777" w:rsidR="00CB2DDF" w:rsidRDefault="00B14064">
            <w:pPr>
              <w:spacing w:after="0" w:line="240" w:lineRule="auto"/>
              <w:jc w:val="right"/>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34%</w:t>
            </w:r>
          </w:p>
        </w:tc>
      </w:tr>
      <w:tr w:rsidR="00CB2DDF" w14:paraId="3FCD5B40" w14:textId="77777777">
        <w:trPr>
          <w:trHeight w:val="300"/>
          <w:jc w:val="center"/>
        </w:trPr>
        <w:tc>
          <w:tcPr>
            <w:tcW w:w="3519" w:type="dxa"/>
            <w:tcBorders>
              <w:left w:val="single" w:sz="4" w:space="0" w:color="000000"/>
            </w:tcBorders>
            <w:shd w:val="clear" w:color="auto" w:fill="auto"/>
            <w:vAlign w:val="bottom"/>
          </w:tcPr>
          <w:p w14:paraId="275FFA25"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 xml:space="preserve">      TELCONET</w:t>
            </w:r>
          </w:p>
        </w:tc>
        <w:tc>
          <w:tcPr>
            <w:tcW w:w="1480" w:type="dxa"/>
            <w:tcBorders>
              <w:left w:val="single" w:sz="4" w:space="0" w:color="000000"/>
              <w:right w:val="single" w:sz="4" w:space="0" w:color="000000"/>
            </w:tcBorders>
            <w:shd w:val="clear" w:color="auto" w:fill="auto"/>
            <w:vAlign w:val="bottom"/>
          </w:tcPr>
          <w:p w14:paraId="280C3556"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 xml:space="preserve">            $78.620</w:t>
            </w:r>
          </w:p>
        </w:tc>
        <w:tc>
          <w:tcPr>
            <w:tcW w:w="1201" w:type="dxa"/>
            <w:tcBorders>
              <w:right w:val="single" w:sz="4" w:space="0" w:color="000000"/>
            </w:tcBorders>
            <w:shd w:val="clear" w:color="auto" w:fill="auto"/>
            <w:vAlign w:val="bottom"/>
          </w:tcPr>
          <w:p w14:paraId="7766DA30" w14:textId="77777777" w:rsidR="00CB2DDF" w:rsidRDefault="00B14064">
            <w:pPr>
              <w:spacing w:after="0" w:line="240" w:lineRule="auto"/>
              <w:jc w:val="right"/>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14%</w:t>
            </w:r>
          </w:p>
        </w:tc>
      </w:tr>
      <w:tr w:rsidR="00CB2DDF" w14:paraId="1D87BA77" w14:textId="77777777">
        <w:trPr>
          <w:trHeight w:val="300"/>
          <w:jc w:val="center"/>
        </w:trPr>
        <w:tc>
          <w:tcPr>
            <w:tcW w:w="3519" w:type="dxa"/>
            <w:tcBorders>
              <w:left w:val="single" w:sz="4" w:space="0" w:color="000000"/>
            </w:tcBorders>
            <w:shd w:val="clear" w:color="auto" w:fill="auto"/>
            <w:vAlign w:val="bottom"/>
          </w:tcPr>
          <w:p w14:paraId="44326ACF"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 xml:space="preserve">      TELSOTERRA S.A.</w:t>
            </w:r>
          </w:p>
        </w:tc>
        <w:tc>
          <w:tcPr>
            <w:tcW w:w="1480" w:type="dxa"/>
            <w:tcBorders>
              <w:left w:val="single" w:sz="4" w:space="0" w:color="000000"/>
              <w:right w:val="single" w:sz="4" w:space="0" w:color="000000"/>
            </w:tcBorders>
            <w:shd w:val="clear" w:color="auto" w:fill="auto"/>
            <w:vAlign w:val="bottom"/>
          </w:tcPr>
          <w:p w14:paraId="5D3868C1"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 xml:space="preserve">             $4.870</w:t>
            </w:r>
          </w:p>
        </w:tc>
        <w:tc>
          <w:tcPr>
            <w:tcW w:w="1201" w:type="dxa"/>
            <w:tcBorders>
              <w:right w:val="single" w:sz="4" w:space="0" w:color="000000"/>
            </w:tcBorders>
            <w:shd w:val="clear" w:color="auto" w:fill="auto"/>
            <w:vAlign w:val="bottom"/>
          </w:tcPr>
          <w:p w14:paraId="5817A0FC" w14:textId="77777777" w:rsidR="00CB2DDF" w:rsidRDefault="00B14064">
            <w:pPr>
              <w:spacing w:after="0" w:line="240" w:lineRule="auto"/>
              <w:jc w:val="right"/>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1%</w:t>
            </w:r>
          </w:p>
        </w:tc>
      </w:tr>
      <w:tr w:rsidR="00CB2DDF" w14:paraId="7CBDB1DF" w14:textId="77777777">
        <w:trPr>
          <w:trHeight w:val="300"/>
          <w:jc w:val="center"/>
        </w:trPr>
        <w:tc>
          <w:tcPr>
            <w:tcW w:w="3519" w:type="dxa"/>
            <w:tcBorders>
              <w:left w:val="single" w:sz="4" w:space="0" w:color="000000"/>
              <w:bottom w:val="single" w:sz="4" w:space="0" w:color="000000"/>
            </w:tcBorders>
            <w:shd w:val="clear" w:color="auto" w:fill="auto"/>
            <w:vAlign w:val="bottom"/>
          </w:tcPr>
          <w:p w14:paraId="7B0935AD" w14:textId="77777777" w:rsidR="00CB2DDF" w:rsidRDefault="00CB2DDF">
            <w:pPr>
              <w:spacing w:after="0" w:line="240" w:lineRule="auto"/>
              <w:rPr>
                <w:rFonts w:ascii="Calibri" w:eastAsia="Times New Roman" w:hAnsi="Calibri" w:cs="Calibri"/>
                <w:color w:val="000000"/>
                <w:highlight w:val="yellow"/>
                <w:lang w:val="es-EC" w:eastAsia="es-EC"/>
              </w:rPr>
            </w:pPr>
          </w:p>
        </w:tc>
        <w:tc>
          <w:tcPr>
            <w:tcW w:w="1480" w:type="dxa"/>
            <w:tcBorders>
              <w:left w:val="single" w:sz="4" w:space="0" w:color="000000"/>
              <w:bottom w:val="single" w:sz="4" w:space="0" w:color="000000"/>
              <w:right w:val="single" w:sz="4" w:space="0" w:color="000000"/>
            </w:tcBorders>
            <w:shd w:val="clear" w:color="auto" w:fill="auto"/>
            <w:vAlign w:val="bottom"/>
          </w:tcPr>
          <w:p w14:paraId="2B5D34DF" w14:textId="77777777" w:rsidR="00CB2DDF" w:rsidRDefault="00CB2DDF">
            <w:pPr>
              <w:spacing w:after="0" w:line="240" w:lineRule="auto"/>
              <w:jc w:val="right"/>
              <w:rPr>
                <w:rFonts w:ascii="Calibri" w:eastAsia="Times New Roman" w:hAnsi="Calibri" w:cs="Calibri"/>
                <w:color w:val="000000"/>
                <w:highlight w:val="red"/>
                <w:lang w:val="es-EC" w:eastAsia="es-EC"/>
              </w:rPr>
            </w:pPr>
          </w:p>
        </w:tc>
        <w:tc>
          <w:tcPr>
            <w:tcW w:w="1201" w:type="dxa"/>
            <w:tcBorders>
              <w:bottom w:val="single" w:sz="4" w:space="0" w:color="000000"/>
              <w:right w:val="single" w:sz="4" w:space="0" w:color="000000"/>
            </w:tcBorders>
            <w:shd w:val="clear" w:color="auto" w:fill="auto"/>
            <w:vAlign w:val="bottom"/>
          </w:tcPr>
          <w:p w14:paraId="31C20EC7" w14:textId="77777777" w:rsidR="00CB2DDF" w:rsidRDefault="00CB2DDF">
            <w:pPr>
              <w:spacing w:after="0" w:line="240" w:lineRule="auto"/>
              <w:jc w:val="right"/>
              <w:rPr>
                <w:rFonts w:ascii="Calibri" w:eastAsia="Times New Roman" w:hAnsi="Calibri" w:cs="Calibri"/>
                <w:color w:val="000000"/>
                <w:highlight w:val="yellow"/>
                <w:lang w:val="es-EC" w:eastAsia="es-EC"/>
              </w:rPr>
            </w:pPr>
          </w:p>
        </w:tc>
      </w:tr>
    </w:tbl>
    <w:p w14:paraId="145DA017" w14:textId="77777777" w:rsidR="00CB2DDF" w:rsidRDefault="00CB2DDF">
      <w:pPr>
        <w:pStyle w:val="BodyText"/>
        <w:spacing w:after="0"/>
        <w:ind w:left="720"/>
        <w:jc w:val="both"/>
        <w:rPr>
          <w:rFonts w:ascii="Arial" w:hAnsi="Arial" w:cs="Arial"/>
          <w:bCs/>
        </w:rPr>
      </w:pPr>
    </w:p>
    <w:p w14:paraId="66D3515E" w14:textId="77777777" w:rsidR="00CB2DDF" w:rsidRDefault="00CB2DDF">
      <w:pPr>
        <w:pStyle w:val="BodyText"/>
        <w:spacing w:after="0"/>
        <w:ind w:left="720"/>
        <w:jc w:val="both"/>
        <w:rPr>
          <w:rFonts w:ascii="Arial" w:hAnsi="Arial" w:cs="Arial"/>
          <w:bCs/>
        </w:rPr>
      </w:pPr>
    </w:p>
    <w:p w14:paraId="53E57A22" w14:textId="77777777" w:rsidR="00CB2DDF" w:rsidRDefault="00B14064">
      <w:pPr>
        <w:pStyle w:val="BodyText"/>
        <w:spacing w:after="0"/>
        <w:ind w:left="720"/>
        <w:jc w:val="both"/>
        <w:rPr>
          <w:rFonts w:ascii="Arial" w:hAnsi="Arial" w:cs="Arial"/>
          <w:bCs/>
        </w:rPr>
      </w:pPr>
      <w:r>
        <w:rPr>
          <w:rFonts w:ascii="Arial" w:hAnsi="Arial" w:cs="Arial"/>
          <w:bCs/>
        </w:rPr>
        <w:t>Como puede observarse, la compañía se ha dedicado a la venta de equipos mayormente las ventas incurridas son realizadas a empresas que se pueden permitir realizar compras de contado con el 52% de las ventas netas dándole a la empresa un flujo constante de dinero, otro 34% a empresas pequeñas de forma diversificada y teniendo como principal cliente a Telconet con el 14% de sus ventas netas y a Telsoterra S.A. con el 1%, teniendo en cuenta que estas dos empresas son empresas asociadas al grupo Telconet en al cual Telcodata forma parte.</w:t>
      </w:r>
    </w:p>
    <w:p w14:paraId="258B5547" w14:textId="77777777" w:rsidR="00CB2DDF" w:rsidRDefault="00CB2DDF">
      <w:pPr>
        <w:pStyle w:val="BodyText"/>
        <w:spacing w:after="0"/>
        <w:ind w:left="720"/>
        <w:jc w:val="both"/>
        <w:rPr>
          <w:rFonts w:ascii="Arial" w:hAnsi="Arial" w:cs="Arial"/>
          <w:bCs/>
        </w:rPr>
      </w:pPr>
    </w:p>
    <w:p w14:paraId="6D533FFC" w14:textId="2E8E4C00" w:rsidR="00CB2DDF" w:rsidRDefault="00B14064">
      <w:pPr>
        <w:pStyle w:val="BodyText"/>
        <w:spacing w:after="0"/>
        <w:ind w:left="720"/>
        <w:jc w:val="both"/>
        <w:rPr>
          <w:rFonts w:ascii="Arial" w:hAnsi="Arial" w:cs="Arial"/>
          <w:bCs/>
        </w:rPr>
      </w:pPr>
      <w:r>
        <w:rPr>
          <w:rFonts w:ascii="Arial" w:hAnsi="Arial" w:cs="Arial"/>
          <w:bCs/>
        </w:rPr>
        <w:t xml:space="preserve">Gracias a que la empresa tuvo una cartera amplia de clientes se </w:t>
      </w:r>
      <w:r w:rsidR="00672676">
        <w:rPr>
          <w:rFonts w:ascii="Arial" w:hAnsi="Arial" w:cs="Arial"/>
          <w:bCs/>
        </w:rPr>
        <w:t>logró</w:t>
      </w:r>
      <w:r>
        <w:rPr>
          <w:rFonts w:ascii="Arial" w:hAnsi="Arial" w:cs="Arial"/>
          <w:bCs/>
        </w:rPr>
        <w:t xml:space="preserve"> obtener solo en este año una ganancia de US$ 63mil, logrando así compensar las pérdidas acumuladas años anteriores que son de aproximadamente de US$ 122mil, aunque no logra una total recuperación forma parte de un avance significativo para los próximos años. </w:t>
      </w:r>
    </w:p>
    <w:p w14:paraId="2DCA936B" w14:textId="77777777" w:rsidR="00CB2DDF" w:rsidRDefault="00CB2DDF">
      <w:pPr>
        <w:pStyle w:val="BodyText"/>
        <w:spacing w:after="0"/>
        <w:ind w:left="720"/>
        <w:jc w:val="both"/>
        <w:rPr>
          <w:rFonts w:ascii="Arial" w:hAnsi="Arial" w:cs="Arial"/>
          <w:bCs/>
        </w:rPr>
      </w:pPr>
    </w:p>
    <w:p w14:paraId="190612EE" w14:textId="0667EC01" w:rsidR="00CB2DDF" w:rsidRDefault="00B14064" w:rsidP="00672676">
      <w:pPr>
        <w:pStyle w:val="BodyText"/>
        <w:numPr>
          <w:ilvl w:val="0"/>
          <w:numId w:val="2"/>
        </w:numPr>
        <w:spacing w:after="0"/>
        <w:jc w:val="both"/>
        <w:rPr>
          <w:rFonts w:ascii="Arial" w:hAnsi="Arial" w:cs="Arial"/>
          <w:u w:val="single"/>
        </w:rPr>
      </w:pPr>
      <w:r>
        <w:rPr>
          <w:rFonts w:ascii="Arial" w:hAnsi="Arial" w:cs="Arial"/>
          <w:bCs/>
          <w:u w:val="single"/>
        </w:rPr>
        <w:t>Principales proveedores</w:t>
      </w:r>
      <w:r>
        <w:rPr>
          <w:rFonts w:ascii="Arial" w:hAnsi="Arial" w:cs="Arial"/>
          <w:bCs/>
        </w:rPr>
        <w:t xml:space="preserve"> – </w:t>
      </w:r>
      <w:r w:rsidR="00672676">
        <w:rPr>
          <w:rFonts w:ascii="Arial" w:hAnsi="Arial" w:cs="Arial"/>
          <w:bCs/>
        </w:rPr>
        <w:t xml:space="preserve">La mercadería que comercializa la empresa viene del exterior y se importa de China siendo Shenzhen </w:t>
      </w:r>
      <w:proofErr w:type="spellStart"/>
      <w:r w:rsidR="00672676">
        <w:rPr>
          <w:rFonts w:ascii="Arial" w:hAnsi="Arial" w:cs="Arial"/>
          <w:bCs/>
        </w:rPr>
        <w:t>EverExceed</w:t>
      </w:r>
      <w:proofErr w:type="spellEnd"/>
      <w:r w:rsidR="00672676">
        <w:rPr>
          <w:rFonts w:ascii="Arial" w:hAnsi="Arial" w:cs="Arial"/>
          <w:bCs/>
        </w:rPr>
        <w:t xml:space="preserve"> Industrial Co. Ltda. el proveedor</w:t>
      </w:r>
    </w:p>
    <w:p w14:paraId="1910F487" w14:textId="77777777" w:rsidR="00CB2DDF" w:rsidRDefault="00CB2DDF">
      <w:pPr>
        <w:pStyle w:val="BodyText"/>
        <w:spacing w:after="0"/>
        <w:ind w:left="720"/>
        <w:jc w:val="both"/>
        <w:rPr>
          <w:rFonts w:ascii="Arial" w:hAnsi="Arial" w:cs="Arial"/>
          <w:u w:val="single"/>
        </w:rPr>
      </w:pPr>
    </w:p>
    <w:p w14:paraId="3A819E22" w14:textId="77777777" w:rsidR="00CB2DDF" w:rsidRDefault="00B14064">
      <w:pPr>
        <w:pStyle w:val="BodyText"/>
        <w:numPr>
          <w:ilvl w:val="0"/>
          <w:numId w:val="2"/>
        </w:numPr>
        <w:spacing w:after="0"/>
        <w:jc w:val="both"/>
        <w:rPr>
          <w:rFonts w:ascii="Arial" w:hAnsi="Arial" w:cs="Arial"/>
        </w:rPr>
      </w:pPr>
      <w:r>
        <w:rPr>
          <w:rFonts w:ascii="Arial" w:hAnsi="Arial" w:cs="Arial"/>
          <w:bCs/>
          <w:u w:val="single"/>
        </w:rPr>
        <w:t>Entorno competitivo</w:t>
      </w:r>
      <w:r>
        <w:rPr>
          <w:rFonts w:ascii="Arial" w:hAnsi="Arial" w:cs="Arial"/>
          <w:bCs/>
        </w:rPr>
        <w:t xml:space="preserve"> – Debido a la participación de la tecnología tiene mucho impacto en cada empresa este mercado se encuentra sobre explotado con la abundancia de empresas que se dedican a brindar servicios similares a los que ofrece Telcodata por lo que la compañía considera como sus principales competidores a </w:t>
      </w:r>
      <w:proofErr w:type="spellStart"/>
      <w:r>
        <w:rPr>
          <w:rFonts w:ascii="Arial" w:hAnsi="Arial" w:cs="Arial"/>
          <w:bCs/>
        </w:rPr>
        <w:t>Service</w:t>
      </w:r>
      <w:proofErr w:type="spellEnd"/>
      <w:r>
        <w:rPr>
          <w:rFonts w:ascii="Arial" w:hAnsi="Arial" w:cs="Arial"/>
          <w:bCs/>
        </w:rPr>
        <w:t xml:space="preserve"> </w:t>
      </w:r>
      <w:proofErr w:type="spellStart"/>
      <w:r>
        <w:rPr>
          <w:rFonts w:ascii="Arial" w:hAnsi="Arial" w:cs="Arial"/>
          <w:bCs/>
        </w:rPr>
        <w:t>Bussiness</w:t>
      </w:r>
      <w:proofErr w:type="spellEnd"/>
      <w:r>
        <w:rPr>
          <w:rFonts w:ascii="Arial" w:hAnsi="Arial" w:cs="Arial"/>
          <w:bCs/>
        </w:rPr>
        <w:t xml:space="preserve"> &amp; Project </w:t>
      </w:r>
      <w:proofErr w:type="spellStart"/>
      <w:r>
        <w:rPr>
          <w:rFonts w:ascii="Arial" w:hAnsi="Arial" w:cs="Arial"/>
          <w:bCs/>
        </w:rPr>
        <w:t>Corp</w:t>
      </w:r>
      <w:proofErr w:type="spellEnd"/>
      <w:r>
        <w:rPr>
          <w:rFonts w:ascii="Arial" w:hAnsi="Arial" w:cs="Arial"/>
          <w:bCs/>
        </w:rPr>
        <w:t xml:space="preserve"> S.B.P, Servicios 3.Q. S.A. </w:t>
      </w:r>
      <w:proofErr w:type="spellStart"/>
      <w:r>
        <w:rPr>
          <w:rFonts w:ascii="Arial" w:hAnsi="Arial" w:cs="Arial"/>
          <w:bCs/>
        </w:rPr>
        <w:t>Sinort</w:t>
      </w:r>
      <w:proofErr w:type="spellEnd"/>
      <w:r>
        <w:rPr>
          <w:rFonts w:ascii="Arial" w:hAnsi="Arial" w:cs="Arial"/>
          <w:bCs/>
        </w:rPr>
        <w:t xml:space="preserve"> S.A, </w:t>
      </w:r>
      <w:proofErr w:type="spellStart"/>
      <w:r>
        <w:rPr>
          <w:rFonts w:ascii="Arial" w:hAnsi="Arial" w:cs="Arial"/>
          <w:bCs/>
        </w:rPr>
        <w:t>Memocenter</w:t>
      </w:r>
      <w:proofErr w:type="spellEnd"/>
      <w:r>
        <w:rPr>
          <w:rFonts w:ascii="Arial" w:hAnsi="Arial" w:cs="Arial"/>
          <w:bCs/>
        </w:rPr>
        <w:t xml:space="preserve"> S.A, </w:t>
      </w:r>
      <w:proofErr w:type="spellStart"/>
      <w:r>
        <w:rPr>
          <w:rFonts w:ascii="Arial" w:hAnsi="Arial" w:cs="Arial"/>
          <w:bCs/>
        </w:rPr>
        <w:t>Silec</w:t>
      </w:r>
      <w:proofErr w:type="spellEnd"/>
      <w:r>
        <w:rPr>
          <w:rFonts w:ascii="Arial" w:hAnsi="Arial" w:cs="Arial"/>
          <w:bCs/>
        </w:rPr>
        <w:t xml:space="preserve"> S.A., </w:t>
      </w:r>
      <w:proofErr w:type="spellStart"/>
      <w:r>
        <w:rPr>
          <w:rFonts w:ascii="Arial" w:hAnsi="Arial" w:cs="Arial"/>
          <w:bCs/>
        </w:rPr>
        <w:t>Viacompu</w:t>
      </w:r>
      <w:proofErr w:type="spellEnd"/>
      <w:r>
        <w:rPr>
          <w:rFonts w:ascii="Arial" w:hAnsi="Arial" w:cs="Arial"/>
          <w:bCs/>
        </w:rPr>
        <w:t xml:space="preserve"> S.A., entre muchas otras empresas no mencionadas.</w:t>
      </w:r>
    </w:p>
    <w:p w14:paraId="199C55F2" w14:textId="77777777" w:rsidR="00CB2DDF" w:rsidRDefault="00CB2DDF">
      <w:pPr>
        <w:pStyle w:val="BodyText"/>
        <w:spacing w:after="0"/>
        <w:ind w:left="720"/>
        <w:jc w:val="both"/>
        <w:rPr>
          <w:rFonts w:ascii="Arial" w:hAnsi="Arial" w:cs="Arial"/>
        </w:rPr>
      </w:pPr>
    </w:p>
    <w:p w14:paraId="1D99E55B" w14:textId="77777777" w:rsidR="00CB2DDF" w:rsidRDefault="00B14064">
      <w:pPr>
        <w:pStyle w:val="BodyText"/>
        <w:numPr>
          <w:ilvl w:val="0"/>
          <w:numId w:val="2"/>
        </w:numPr>
        <w:spacing w:after="0"/>
        <w:jc w:val="both"/>
        <w:rPr>
          <w:rFonts w:ascii="Arial" w:hAnsi="Arial" w:cs="Arial"/>
        </w:rPr>
      </w:pPr>
      <w:r>
        <w:rPr>
          <w:rFonts w:ascii="Arial" w:hAnsi="Arial" w:cs="Arial"/>
          <w:u w:val="single"/>
        </w:rPr>
        <w:t>Desarrollos Tecnológicos</w:t>
      </w:r>
      <w:r>
        <w:rPr>
          <w:rFonts w:ascii="Arial" w:hAnsi="Arial" w:cs="Arial"/>
        </w:rPr>
        <w:t xml:space="preserve"> – Al pertenecer al grupo Telconet están obligado a llevar el mismo sistema contable, el cual tiene un mejor control y organización al llevar todo en un mismo sistema el cual es favorable para todas las compañías pertenecientes al grupo Telconet.</w:t>
      </w:r>
    </w:p>
    <w:p w14:paraId="34008FA1" w14:textId="77777777" w:rsidR="00CB2DDF" w:rsidRDefault="00CB2DDF">
      <w:pPr>
        <w:pStyle w:val="BodyText"/>
        <w:spacing w:after="0"/>
        <w:ind w:left="720"/>
        <w:jc w:val="both"/>
        <w:rPr>
          <w:rFonts w:ascii="Arial" w:hAnsi="Arial" w:cs="Arial"/>
        </w:rPr>
      </w:pPr>
    </w:p>
    <w:p w14:paraId="1492D67A" w14:textId="156C7EE2" w:rsidR="00CB2DDF" w:rsidRDefault="00B14064">
      <w:pPr>
        <w:pStyle w:val="BodyText"/>
        <w:numPr>
          <w:ilvl w:val="0"/>
          <w:numId w:val="2"/>
        </w:numPr>
        <w:spacing w:after="0"/>
        <w:jc w:val="both"/>
        <w:rPr>
          <w:rFonts w:ascii="Arial" w:hAnsi="Arial" w:cs="Arial"/>
        </w:rPr>
      </w:pPr>
      <w:r>
        <w:rPr>
          <w:rFonts w:ascii="Arial" w:hAnsi="Arial" w:cs="Arial"/>
          <w:u w:val="single"/>
        </w:rPr>
        <w:t>Marco de referencia de Información Financiera</w:t>
      </w:r>
      <w:r>
        <w:rPr>
          <w:rFonts w:ascii="Arial" w:hAnsi="Arial" w:cs="Arial"/>
        </w:rPr>
        <w:t xml:space="preserve"> – TELCODATA S.A. es una empresa mediana y aplica NIIF para PYMES desde el año 2015</w:t>
      </w:r>
      <w:r w:rsidR="00667AE7">
        <w:rPr>
          <w:rFonts w:ascii="Arial" w:hAnsi="Arial" w:cs="Arial"/>
        </w:rPr>
        <w:t>; e</w:t>
      </w:r>
      <w:r>
        <w:rPr>
          <w:rFonts w:ascii="Arial" w:hAnsi="Arial" w:cs="Arial"/>
        </w:rPr>
        <w:t>l informe de auditoría utiliza este marco de referencia.</w:t>
      </w:r>
    </w:p>
    <w:p w14:paraId="603AC8A1" w14:textId="77777777" w:rsidR="00CB2DDF" w:rsidRDefault="00CB2DDF">
      <w:pPr>
        <w:pStyle w:val="BodyText"/>
        <w:spacing w:after="0"/>
        <w:ind w:left="720"/>
        <w:jc w:val="both"/>
        <w:rPr>
          <w:rFonts w:ascii="Arial" w:hAnsi="Arial" w:cs="Arial"/>
        </w:rPr>
      </w:pPr>
    </w:p>
    <w:p w14:paraId="4A2FBF2D" w14:textId="77777777" w:rsidR="00CB2DDF" w:rsidRDefault="00B14064">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No existen cambios en las NIIF para PYMES y se mantienen las que fueran emitidas por IAASB en el año 2015. Tampoco identificamos regulaciones contables nuevas que haya emitido la Superintendencia de Compañías o el SRI, que afecten el reporte de la información financiera. Desde el año 2019 se aumentó la tarifa de impuesto a la renta corporativo al 25% (antes 22%) y se mantiene sin cambios.</w:t>
      </w:r>
    </w:p>
    <w:p w14:paraId="24C5F066" w14:textId="77777777" w:rsidR="00CB2DDF" w:rsidRDefault="00CB2DDF">
      <w:pPr>
        <w:pStyle w:val="BodyText"/>
        <w:spacing w:after="0"/>
        <w:ind w:left="720"/>
        <w:jc w:val="both"/>
        <w:rPr>
          <w:rFonts w:ascii="Arial" w:hAnsi="Arial" w:cs="Arial"/>
          <w:u w:val="single"/>
        </w:rPr>
      </w:pPr>
    </w:p>
    <w:p w14:paraId="58A444BB" w14:textId="77777777" w:rsidR="00CB2DDF" w:rsidRDefault="00B14064">
      <w:pPr>
        <w:pStyle w:val="BodyText"/>
        <w:spacing w:after="0"/>
        <w:ind w:left="720"/>
        <w:jc w:val="both"/>
        <w:rPr>
          <w:rFonts w:ascii="Arial" w:hAnsi="Arial" w:cs="Arial"/>
        </w:rPr>
      </w:pPr>
      <w:r>
        <w:rPr>
          <w:rFonts w:ascii="Arial" w:hAnsi="Arial" w:cs="Arial"/>
        </w:rPr>
        <w:t>A pesar de lo mencionado, la normativa tributaria se modifica todos los años por parte del Gobierno, generalmente a efectos de aumentar la recaudación para financiar el déficit fiscal del País. Estaremos atentos a la aprobación de nuevas regulaciones tributarias que se emitan hasta fin del 2019, y que puedan tener afectación a la Compañía.</w:t>
      </w:r>
    </w:p>
    <w:p w14:paraId="30EDA54F" w14:textId="77777777" w:rsidR="00CB2DDF" w:rsidRDefault="00CB2DDF">
      <w:pPr>
        <w:pStyle w:val="BodyText"/>
        <w:spacing w:after="0"/>
        <w:ind w:left="720"/>
        <w:jc w:val="both"/>
        <w:rPr>
          <w:rFonts w:ascii="Arial" w:hAnsi="Arial" w:cs="Arial"/>
        </w:rPr>
      </w:pPr>
    </w:p>
    <w:p w14:paraId="27EB8657" w14:textId="77777777" w:rsidR="00CB2DDF" w:rsidRDefault="00B14064">
      <w:pPr>
        <w:pStyle w:val="BodyText"/>
        <w:numPr>
          <w:ilvl w:val="0"/>
          <w:numId w:val="2"/>
        </w:numPr>
        <w:spacing w:after="0"/>
        <w:rPr>
          <w:rFonts w:ascii="Arial" w:hAnsi="Arial" w:cs="Arial"/>
        </w:rPr>
      </w:pPr>
      <w:r>
        <w:rPr>
          <w:rFonts w:ascii="Arial" w:hAnsi="Arial" w:cs="Arial"/>
          <w:u w:val="single"/>
        </w:rPr>
        <w:lastRenderedPageBreak/>
        <w:t>Condiciones económicas generales</w:t>
      </w:r>
      <w:r>
        <w:rPr>
          <w:rFonts w:ascii="Arial" w:hAnsi="Arial" w:cs="Arial"/>
          <w:highlight w:val="green"/>
        </w:rPr>
        <w:t xml:space="preserve">  </w:t>
      </w:r>
      <w:r>
        <w:rPr>
          <w:rFonts w:ascii="Arial" w:hAnsi="Arial" w:cs="Arial"/>
          <w:noProof/>
        </w:rPr>
        <w:drawing>
          <wp:inline distT="0" distB="0" distL="0" distR="0" wp14:anchorId="0AAF0F54" wp14:editId="78EBC229">
            <wp:extent cx="5400040" cy="22479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7"/>
                    <a:stretch>
                      <a:fillRect/>
                    </a:stretch>
                  </pic:blipFill>
                  <pic:spPr bwMode="auto">
                    <a:xfrm>
                      <a:off x="0" y="0"/>
                      <a:ext cx="5400040" cy="2247900"/>
                    </a:xfrm>
                    <a:prstGeom prst="rect">
                      <a:avLst/>
                    </a:prstGeom>
                  </pic:spPr>
                </pic:pic>
              </a:graphicData>
            </a:graphic>
          </wp:inline>
        </w:drawing>
      </w:r>
      <w:r>
        <w:rPr>
          <w:rFonts w:ascii="Arial" w:hAnsi="Arial" w:cs="Arial"/>
          <w:sz w:val="18"/>
          <w:szCs w:val="18"/>
        </w:rPr>
        <w:t>Indicadores macroeconómicos seleccionados por el FMI: Real hasta 2019, proyección del 2020 en adelante</w:t>
      </w:r>
    </w:p>
    <w:p w14:paraId="118D8BC1" w14:textId="77777777" w:rsidR="00CB2DDF" w:rsidRDefault="00CB2DDF">
      <w:pPr>
        <w:pStyle w:val="BodyText"/>
        <w:spacing w:after="0"/>
        <w:ind w:left="720"/>
        <w:jc w:val="both"/>
        <w:rPr>
          <w:rFonts w:ascii="Arial" w:hAnsi="Arial" w:cs="Arial"/>
        </w:rPr>
      </w:pPr>
    </w:p>
    <w:p w14:paraId="7E371DE9" w14:textId="52F0AD1E" w:rsidR="00CB2DDF" w:rsidRDefault="00B14064">
      <w:pPr>
        <w:pStyle w:val="BodyText"/>
        <w:spacing w:after="0"/>
        <w:ind w:left="720"/>
        <w:jc w:val="both"/>
        <w:rPr>
          <w:rFonts w:ascii="Arial" w:hAnsi="Arial" w:cs="Arial"/>
        </w:rPr>
      </w:pPr>
      <w:r>
        <w:rPr>
          <w:rFonts w:ascii="Arial" w:hAnsi="Arial" w:cs="Arial"/>
          <w:i/>
          <w:iCs/>
          <w:u w:val="single"/>
        </w:rPr>
        <w:t>Crecimiento del PIB</w:t>
      </w:r>
      <w:r>
        <w:rPr>
          <w:rFonts w:ascii="Arial" w:hAnsi="Arial" w:cs="Arial"/>
          <w:i/>
          <w:iCs/>
        </w:rPr>
        <w:t xml:space="preserve"> -</w:t>
      </w:r>
      <w:r>
        <w:rPr>
          <w:rFonts w:ascii="Arial" w:hAnsi="Arial" w:cs="Arial"/>
        </w:rPr>
        <w:t xml:space="preserve"> Antes de la pandemia del covid-19 la economía ecuatoriana ya </w:t>
      </w:r>
      <w:r w:rsidR="00667AE7">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14:paraId="238379B1" w14:textId="77777777" w:rsidR="00CB2DDF" w:rsidRDefault="00CB2DDF">
      <w:pPr>
        <w:pStyle w:val="BodyText"/>
        <w:spacing w:after="0"/>
        <w:ind w:left="720"/>
        <w:jc w:val="both"/>
        <w:rPr>
          <w:rFonts w:ascii="Arial" w:hAnsi="Arial" w:cs="Arial"/>
        </w:rPr>
      </w:pPr>
    </w:p>
    <w:p w14:paraId="05E0537F" w14:textId="77777777" w:rsidR="00CB2DDF" w:rsidRDefault="00B14064">
      <w:pPr>
        <w:pStyle w:val="BodyText"/>
        <w:spacing w:after="0"/>
        <w:ind w:left="720"/>
        <w:jc w:val="both"/>
        <w:rPr>
          <w:rFonts w:ascii="Arial" w:hAnsi="Arial" w:cs="Arial"/>
        </w:rPr>
      </w:pPr>
      <w:r>
        <w:rPr>
          <w:rFonts w:ascii="Arial" w:hAnsi="Arial" w:cs="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14:paraId="09EFDA99" w14:textId="77777777" w:rsidR="00CB2DDF" w:rsidRDefault="00CB2DDF">
      <w:pPr>
        <w:pStyle w:val="BodyText"/>
        <w:spacing w:after="0"/>
        <w:ind w:left="720"/>
        <w:jc w:val="both"/>
        <w:rPr>
          <w:rFonts w:ascii="Arial" w:hAnsi="Arial" w:cs="Arial"/>
          <w:u w:val="single"/>
        </w:rPr>
      </w:pPr>
    </w:p>
    <w:p w14:paraId="51A1E08B" w14:textId="77777777" w:rsidR="00CB2DDF" w:rsidRDefault="00B14064">
      <w:pPr>
        <w:pStyle w:val="BodyText"/>
        <w:spacing w:after="0"/>
        <w:ind w:left="720"/>
        <w:jc w:val="both"/>
        <w:rPr>
          <w:rFonts w:ascii="Arial" w:hAnsi="Arial" w:cs="Arial"/>
        </w:rPr>
      </w:pPr>
      <w:r>
        <w:rPr>
          <w:rFonts w:ascii="Arial" w:hAnsi="Arial" w:cs="Arial"/>
          <w:i/>
          <w:iCs/>
          <w:u w:val="single"/>
        </w:rPr>
        <w:t>COVID-19</w:t>
      </w:r>
      <w:r>
        <w:rPr>
          <w:rFonts w:ascii="Arial" w:hAnsi="Arial" w:cs="Arial"/>
          <w:i/>
          <w:iCs/>
        </w:rPr>
        <w:t xml:space="preserve"> - </w:t>
      </w:r>
      <w:r>
        <w:rPr>
          <w:rFonts w:ascii="Arial" w:hAnsi="Arial" w:cs="Arial"/>
        </w:rPr>
        <w:t>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14:paraId="4A3020D8" w14:textId="77777777" w:rsidR="00CB2DDF" w:rsidRDefault="00CB2DDF">
      <w:pPr>
        <w:pStyle w:val="BodyText"/>
        <w:spacing w:after="0"/>
        <w:ind w:left="720"/>
        <w:jc w:val="both"/>
        <w:rPr>
          <w:rFonts w:ascii="Arial" w:hAnsi="Arial" w:cs="Arial"/>
          <w:u w:val="single"/>
        </w:rPr>
      </w:pPr>
    </w:p>
    <w:p w14:paraId="5BD4155D" w14:textId="0EC09527" w:rsidR="00CB2DDF" w:rsidRDefault="00B14064" w:rsidP="00667AE7">
      <w:pPr>
        <w:pStyle w:val="BodyText"/>
        <w:spacing w:after="0"/>
        <w:ind w:left="720"/>
        <w:jc w:val="both"/>
        <w:rPr>
          <w:rFonts w:ascii="Arial" w:hAnsi="Arial" w:cs="Arial"/>
        </w:rPr>
      </w:pPr>
      <w:r>
        <w:rPr>
          <w:rFonts w:ascii="Arial" w:hAnsi="Arial" w:cs="Arial"/>
        </w:rPr>
        <w:t xml:space="preserve">Las empresas ecuatorianas tienen una capacidad limitada de adaptación a una situación como esta; por ejemplo, en base a los estados financieros de estas se ha estimado que podrían resistir hasta 33 días, siendo los sectores </w:t>
      </w:r>
      <w:r w:rsidR="00667AE7">
        <w:rPr>
          <w:rFonts w:ascii="Arial" w:hAnsi="Arial" w:cs="Arial"/>
        </w:rPr>
        <w:t>más</w:t>
      </w:r>
      <w:r>
        <w:rPr>
          <w:rFonts w:ascii="Arial" w:hAnsi="Arial" w:cs="Arial"/>
        </w:rPr>
        <w:t xml:space="preserve"> afectados: </w:t>
      </w:r>
      <w:r>
        <w:rPr>
          <w:rFonts w:ascii="Arial" w:hAnsi="Arial" w:cs="Arial"/>
        </w:rPr>
        <w:lastRenderedPageBreak/>
        <w:t xml:space="preserve">construcción, manufactura, turismo, </w:t>
      </w:r>
      <w:proofErr w:type="gramStart"/>
      <w:r>
        <w:rPr>
          <w:rFonts w:ascii="Arial" w:hAnsi="Arial" w:cs="Arial"/>
        </w:rPr>
        <w:t xml:space="preserve">servicios </w:t>
      </w:r>
      <w:r w:rsidR="00667AE7">
        <w:rPr>
          <w:rFonts w:ascii="Arial" w:hAnsi="Arial" w:cs="Arial"/>
        </w:rPr>
        <w:t xml:space="preserve"> </w:t>
      </w:r>
      <w:r>
        <w:rPr>
          <w:rFonts w:ascii="Arial" w:hAnsi="Arial" w:cs="Arial"/>
        </w:rPr>
        <w:t>A</w:t>
      </w:r>
      <w:proofErr w:type="gramEnd"/>
      <w:r>
        <w:rPr>
          <w:rFonts w:ascii="Arial" w:hAnsi="Arial" w:cs="Arial"/>
        </w:rPr>
        <w:t xml:space="preserve"> septiembre del 2020 Ecuador mantiene una tasa de aproximadamente 10 nuevos contagios por cada 100,000 habitantes, por debajo de economías como EE. UU., Colombia, México, Brasil, Chile y Perú.</w:t>
      </w:r>
    </w:p>
    <w:p w14:paraId="7244690C" w14:textId="77777777" w:rsidR="00CB2DDF" w:rsidRDefault="00CB2DDF">
      <w:pPr>
        <w:pStyle w:val="BodyText"/>
        <w:spacing w:after="0"/>
        <w:ind w:left="720"/>
        <w:jc w:val="both"/>
        <w:rPr>
          <w:rFonts w:ascii="Arial" w:hAnsi="Arial" w:cs="Arial"/>
        </w:rPr>
      </w:pPr>
    </w:p>
    <w:p w14:paraId="457EF083" w14:textId="77777777" w:rsidR="00CB2DDF" w:rsidRDefault="00B14064">
      <w:pPr>
        <w:pStyle w:val="BodyText"/>
        <w:numPr>
          <w:ilvl w:val="0"/>
          <w:numId w:val="2"/>
        </w:numPr>
        <w:spacing w:after="0"/>
        <w:jc w:val="both"/>
        <w:rPr>
          <w:rFonts w:ascii="Arial" w:hAnsi="Arial" w:cs="Arial"/>
        </w:rPr>
      </w:pPr>
      <w:r>
        <w:rPr>
          <w:rFonts w:ascii="Arial" w:hAnsi="Arial" w:cs="Arial"/>
          <w:noProof/>
        </w:rPr>
        <w:drawing>
          <wp:inline distT="0" distB="635" distL="0" distR="0" wp14:anchorId="07848507" wp14:editId="10DA2BC2">
            <wp:extent cx="5400040" cy="229552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8"/>
                    <a:stretch>
                      <a:fillRect/>
                    </a:stretch>
                  </pic:blipFill>
                  <pic:spPr bwMode="auto">
                    <a:xfrm>
                      <a:off x="0" y="0"/>
                      <a:ext cx="5400040" cy="2295525"/>
                    </a:xfrm>
                    <a:prstGeom prst="rect">
                      <a:avLst/>
                    </a:prstGeom>
                  </pic:spPr>
                </pic:pic>
              </a:graphicData>
            </a:graphic>
          </wp:inline>
        </w:drawing>
      </w:r>
    </w:p>
    <w:p w14:paraId="21709C57" w14:textId="7A99661E" w:rsidR="00CB2DDF" w:rsidRDefault="00B14064">
      <w:pPr>
        <w:pStyle w:val="BodyText"/>
        <w:spacing w:after="0"/>
        <w:ind w:left="720"/>
        <w:jc w:val="both"/>
        <w:rPr>
          <w:rFonts w:ascii="Arial" w:hAnsi="Arial" w:cs="Arial"/>
        </w:rPr>
      </w:pPr>
      <w:r>
        <w:rPr>
          <w:rFonts w:ascii="Arial" w:hAnsi="Arial" w:cs="Arial"/>
          <w:i/>
          <w:iCs/>
          <w:u w:val="single"/>
        </w:rPr>
        <w:t>Niveles de Empleo</w:t>
      </w:r>
      <w:r>
        <w:rPr>
          <w:rFonts w:ascii="Arial" w:hAnsi="Arial" w:cs="Arial"/>
          <w:i/>
          <w:iCs/>
        </w:rPr>
        <w:t xml:space="preserve"> – </w:t>
      </w:r>
      <w:r>
        <w:rPr>
          <w:rFonts w:ascii="Arial" w:hAnsi="Arial" w:cs="Arial"/>
        </w:rPr>
        <w:t xml:space="preserve">Tanto las empresas privadas, así como el sector gubernamental se han visto obligados a prescindir de trabajadores debido a la inactividad económica durante la pandemia. Según la información de </w:t>
      </w:r>
      <w:r w:rsidR="00667AE7">
        <w:rPr>
          <w:rFonts w:ascii="Arial" w:hAnsi="Arial" w:cs="Arial"/>
        </w:rPr>
        <w:t>número</w:t>
      </w:r>
      <w:r>
        <w:rPr>
          <w:rFonts w:ascii="Arial" w:hAnsi="Arial" w:cs="Arial"/>
        </w:rPr>
        <w:t xml:space="preserve"> de afiliados al IESS, de marzo a agosto del 2020 el empleo formal se ha reducido en 300,000 personas, principalmente en el sector privado.</w:t>
      </w:r>
    </w:p>
    <w:p w14:paraId="69EF968A" w14:textId="77777777" w:rsidR="00667AE7" w:rsidRDefault="00667AE7">
      <w:pPr>
        <w:pStyle w:val="BodyText"/>
        <w:spacing w:after="0"/>
        <w:ind w:left="720"/>
        <w:jc w:val="both"/>
        <w:rPr>
          <w:rFonts w:ascii="Arial" w:hAnsi="Arial" w:cs="Arial"/>
        </w:rPr>
      </w:pPr>
    </w:p>
    <w:p w14:paraId="782A7A76" w14:textId="77777777" w:rsidR="00CB2DDF" w:rsidRDefault="00B14064">
      <w:pPr>
        <w:pStyle w:val="BodyText"/>
        <w:spacing w:after="0"/>
        <w:ind w:left="720"/>
        <w:jc w:val="both"/>
        <w:rPr>
          <w:rFonts w:ascii="Arial" w:hAnsi="Arial" w:cs="Arial"/>
        </w:rPr>
      </w:pPr>
      <w:r>
        <w:rPr>
          <w:rFonts w:ascii="Arial" w:hAnsi="Arial" w:cs="Arial"/>
          <w:noProof/>
        </w:rPr>
        <w:drawing>
          <wp:inline distT="0" distB="0" distL="0" distR="0" wp14:anchorId="6F5CDA6C" wp14:editId="09053633">
            <wp:extent cx="4914900" cy="20097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stretch>
                      <a:fillRect/>
                    </a:stretch>
                  </pic:blipFill>
                  <pic:spPr bwMode="auto">
                    <a:xfrm>
                      <a:off x="0" y="0"/>
                      <a:ext cx="4914900" cy="2009775"/>
                    </a:xfrm>
                    <a:prstGeom prst="rect">
                      <a:avLst/>
                    </a:prstGeom>
                  </pic:spPr>
                </pic:pic>
              </a:graphicData>
            </a:graphic>
          </wp:inline>
        </w:drawing>
      </w:r>
    </w:p>
    <w:p w14:paraId="10A8FE4D" w14:textId="77777777" w:rsidR="00CB2DDF" w:rsidRDefault="00CB2DDF">
      <w:pPr>
        <w:pStyle w:val="BodyText"/>
        <w:spacing w:after="0"/>
        <w:ind w:left="720"/>
        <w:jc w:val="both"/>
        <w:rPr>
          <w:rFonts w:ascii="Arial" w:hAnsi="Arial" w:cs="Arial"/>
          <w:u w:val="single"/>
        </w:rPr>
      </w:pPr>
    </w:p>
    <w:p w14:paraId="3E308625" w14:textId="77777777" w:rsidR="00CB2DDF" w:rsidRDefault="00B14064">
      <w:pPr>
        <w:pStyle w:val="BodyText"/>
        <w:spacing w:after="0"/>
        <w:ind w:left="720"/>
        <w:jc w:val="both"/>
        <w:rPr>
          <w:rFonts w:ascii="Arial" w:hAnsi="Arial" w:cs="Arial"/>
        </w:rPr>
      </w:pPr>
      <w:r>
        <w:rPr>
          <w:rFonts w:ascii="Arial" w:hAnsi="Arial" w:cs="Arial"/>
        </w:rPr>
        <w:t>Las leyes laborales vigentes son poco flexibles y el desgaste del gobierno, baja popularidad del presidente Moreno y la fragmentación política en la Asamblea Nacional impiden que se implementen reformas laborales para facilitar nuevas formas de contratación.</w:t>
      </w:r>
    </w:p>
    <w:p w14:paraId="66971FCB" w14:textId="77777777" w:rsidR="00CB2DDF" w:rsidRDefault="00CB2DDF">
      <w:pPr>
        <w:pStyle w:val="BodyText"/>
        <w:spacing w:after="0"/>
        <w:ind w:left="720"/>
        <w:jc w:val="both"/>
        <w:rPr>
          <w:rFonts w:ascii="Arial" w:hAnsi="Arial" w:cs="Arial"/>
          <w:u w:val="single"/>
        </w:rPr>
      </w:pPr>
    </w:p>
    <w:p w14:paraId="4EAB8D3B" w14:textId="1FD9A631" w:rsidR="00CB2DDF" w:rsidRDefault="00B14064">
      <w:pPr>
        <w:pStyle w:val="BodyText"/>
        <w:spacing w:after="0"/>
        <w:ind w:left="720"/>
        <w:jc w:val="both"/>
        <w:rPr>
          <w:rFonts w:ascii="Arial" w:hAnsi="Arial" w:cs="Arial"/>
        </w:rPr>
      </w:pPr>
      <w:r>
        <w:rPr>
          <w:rFonts w:ascii="Arial" w:hAnsi="Arial" w:cs="Arial"/>
          <w:i/>
          <w:iCs/>
          <w:u w:val="single"/>
        </w:rPr>
        <w:t>Gasto Público y Endeudamiento</w:t>
      </w:r>
      <w:r>
        <w:rPr>
          <w:rFonts w:ascii="Arial" w:hAnsi="Arial" w:cs="Arial"/>
          <w:i/>
          <w:iCs/>
        </w:rPr>
        <w:t xml:space="preserve"> -</w:t>
      </w:r>
      <w:r>
        <w:rPr>
          <w:rFonts w:ascii="Arial" w:hAnsi="Arial" w:cs="Arial"/>
        </w:rPr>
        <w:t xml:space="preserve"> El gasto público ha venido creciendo en base a endeudamiento externo y ha subido de US$20,084 millones en 2015 (20% del PIB) a US$35,541 millones en 2018 (33% del PIB) y US$55,336 millones en 2019 (52% </w:t>
      </w:r>
      <w:r>
        <w:rPr>
          <w:rFonts w:ascii="Arial" w:hAnsi="Arial" w:cs="Arial"/>
        </w:rPr>
        <w:lastRenderedPageBreak/>
        <w:t xml:space="preserve">del PIB) incluyendo, en el año 2019, un cambio en la metodología para contabilizar la deuda externa pública que aparentemente estaba subvaluada por el anterior gobierno debido al </w:t>
      </w:r>
      <w:r w:rsidR="00667AE7">
        <w:rPr>
          <w:rFonts w:ascii="Arial" w:hAnsi="Arial" w:cs="Arial"/>
        </w:rPr>
        <w:t>límite</w:t>
      </w:r>
      <w:r>
        <w:rPr>
          <w:rFonts w:ascii="Arial" w:hAnsi="Arial" w:cs="Arial"/>
        </w:rPr>
        <w:t xml:space="preserve"> de 40% en la relación deuda/PIB que establece la constitución.</w:t>
      </w:r>
    </w:p>
    <w:p w14:paraId="2655EC26" w14:textId="4A80B5AD" w:rsidR="00CB2DDF" w:rsidRDefault="00CB2DDF">
      <w:pPr>
        <w:pStyle w:val="BodyText"/>
        <w:spacing w:after="0"/>
        <w:ind w:left="720"/>
        <w:jc w:val="both"/>
        <w:rPr>
          <w:rFonts w:ascii="Arial" w:hAnsi="Arial" w:cs="Arial"/>
        </w:rPr>
      </w:pPr>
    </w:p>
    <w:p w14:paraId="46C67FD2" w14:textId="679DE015" w:rsidR="00667AE7" w:rsidRDefault="00667AE7">
      <w:pPr>
        <w:pStyle w:val="BodyText"/>
        <w:spacing w:after="0"/>
        <w:ind w:left="720"/>
        <w:jc w:val="both"/>
        <w:rPr>
          <w:rFonts w:ascii="Arial" w:hAnsi="Arial" w:cs="Arial"/>
        </w:rPr>
      </w:pPr>
      <w:r>
        <w:rPr>
          <w:rFonts w:ascii="Arial" w:hAnsi="Arial" w:cs="Arial"/>
          <w:noProof/>
        </w:rPr>
        <w:drawing>
          <wp:inline distT="0" distB="0" distL="0" distR="0" wp14:anchorId="781930B5" wp14:editId="10416070">
            <wp:extent cx="5151755"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755" cy="2352675"/>
                    </a:xfrm>
                    <a:prstGeom prst="rect">
                      <a:avLst/>
                    </a:prstGeom>
                    <a:noFill/>
                  </pic:spPr>
                </pic:pic>
              </a:graphicData>
            </a:graphic>
          </wp:inline>
        </w:drawing>
      </w:r>
    </w:p>
    <w:p w14:paraId="6B50978A" w14:textId="77777777" w:rsidR="00667AE7" w:rsidRDefault="00667AE7">
      <w:pPr>
        <w:pStyle w:val="BodyText"/>
        <w:spacing w:after="0"/>
        <w:ind w:left="720"/>
        <w:jc w:val="both"/>
        <w:rPr>
          <w:rFonts w:ascii="Arial" w:hAnsi="Arial" w:cs="Arial"/>
        </w:rPr>
      </w:pPr>
    </w:p>
    <w:p w14:paraId="49512DDE" w14:textId="77777777" w:rsidR="00CB2DDF" w:rsidRDefault="00B14064">
      <w:pPr>
        <w:pStyle w:val="BodyText"/>
        <w:spacing w:after="0"/>
        <w:ind w:left="720"/>
        <w:jc w:val="both"/>
        <w:rPr>
          <w:rFonts w:ascii="Arial" w:hAnsi="Arial" w:cs="Arial"/>
        </w:rPr>
      </w:pPr>
      <w:r>
        <w:rPr>
          <w:rFonts w:ascii="Arial" w:hAnsi="Arial" w:cs="Arial"/>
        </w:rPr>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4A59831A" w14:textId="77777777" w:rsidR="00CB2DDF" w:rsidRDefault="00CB2DDF">
      <w:pPr>
        <w:pStyle w:val="BodyText"/>
        <w:spacing w:after="0"/>
        <w:ind w:left="720"/>
        <w:jc w:val="both"/>
        <w:rPr>
          <w:rFonts w:ascii="Arial" w:hAnsi="Arial" w:cs="Arial"/>
        </w:rPr>
      </w:pPr>
    </w:p>
    <w:p w14:paraId="67075409" w14:textId="77777777" w:rsidR="00CB2DDF" w:rsidRDefault="00B14064">
      <w:pPr>
        <w:pStyle w:val="BodyText"/>
        <w:spacing w:after="0"/>
        <w:ind w:left="720"/>
        <w:jc w:val="both"/>
        <w:rPr>
          <w:rFonts w:ascii="Arial" w:hAnsi="Arial" w:cs="Arial"/>
        </w:rPr>
      </w:pPr>
      <w:r>
        <w:rPr>
          <w:rFonts w:ascii="Arial" w:hAnsi="Arial" w:cs="Arial"/>
          <w:noProof/>
        </w:rPr>
        <w:drawing>
          <wp:inline distT="0" distB="0" distL="0" distR="0" wp14:anchorId="67E4E3E7" wp14:editId="5307F75F">
            <wp:extent cx="5400040" cy="1657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a:stretch>
                      <a:fillRect/>
                    </a:stretch>
                  </pic:blipFill>
                  <pic:spPr bwMode="auto">
                    <a:xfrm>
                      <a:off x="0" y="0"/>
                      <a:ext cx="5400040" cy="1657350"/>
                    </a:xfrm>
                    <a:prstGeom prst="rect">
                      <a:avLst/>
                    </a:prstGeom>
                  </pic:spPr>
                </pic:pic>
              </a:graphicData>
            </a:graphic>
          </wp:inline>
        </w:drawing>
      </w:r>
    </w:p>
    <w:p w14:paraId="1F2FC413" w14:textId="77777777" w:rsidR="00CB2DDF" w:rsidRDefault="00B14064">
      <w:pPr>
        <w:pStyle w:val="BodyText"/>
        <w:spacing w:after="0"/>
        <w:ind w:left="720"/>
        <w:jc w:val="both"/>
        <w:rPr>
          <w:rFonts w:ascii="Arial" w:hAnsi="Arial" w:cs="Arial"/>
        </w:rPr>
      </w:pPr>
      <w:r>
        <w:rPr>
          <w:rFonts w:ascii="Arial" w:hAnsi="Arial" w:cs="Arial"/>
          <w:i/>
          <w:iCs/>
          <w:u w:val="single"/>
        </w:rPr>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0681C879" w14:textId="77777777" w:rsidR="00CB2DDF" w:rsidRDefault="00CB2DDF">
      <w:pPr>
        <w:pStyle w:val="BodyText"/>
        <w:spacing w:after="0"/>
        <w:ind w:left="720"/>
        <w:jc w:val="both"/>
        <w:rPr>
          <w:rFonts w:ascii="Arial" w:hAnsi="Arial" w:cs="Arial"/>
        </w:rPr>
      </w:pPr>
    </w:p>
    <w:p w14:paraId="3BF48CF2" w14:textId="77777777" w:rsidR="00CB2DDF" w:rsidRDefault="00B14064">
      <w:pPr>
        <w:pStyle w:val="BodyText"/>
        <w:spacing w:after="0"/>
        <w:ind w:left="720"/>
        <w:jc w:val="both"/>
      </w:pPr>
      <w:r>
        <w:rPr>
          <w:rFonts w:ascii="Arial" w:hAnsi="Arial" w:cs="Arial"/>
        </w:rPr>
        <w:t xml:space="preserve">La inflación promedio de los tres últimos años es 0.4% (2017), -0.2% (2018), y   -0.07% en el 2019; no se espera que existe incremento del nivel general de precios en el año 2020: 0.00% (productos que conforman la canasta básica) </w:t>
      </w:r>
    </w:p>
    <w:p w14:paraId="6D278661" w14:textId="77777777" w:rsidR="00667AE7" w:rsidRDefault="00667AE7">
      <w:pPr>
        <w:pStyle w:val="BodyText"/>
        <w:spacing w:after="0"/>
        <w:ind w:left="720"/>
        <w:jc w:val="both"/>
        <w:rPr>
          <w:rFonts w:ascii="Arial" w:hAnsi="Arial" w:cs="Arial"/>
          <w:i/>
          <w:iCs/>
          <w:u w:val="single"/>
        </w:rPr>
      </w:pPr>
    </w:p>
    <w:p w14:paraId="2FCFE23A" w14:textId="276F1FE6" w:rsidR="00CB2DDF" w:rsidRDefault="00B14064">
      <w:pPr>
        <w:pStyle w:val="BodyText"/>
        <w:spacing w:after="0"/>
        <w:ind w:left="720"/>
        <w:jc w:val="both"/>
      </w:pPr>
      <w:r>
        <w:rPr>
          <w:rFonts w:ascii="Arial" w:hAnsi="Arial" w:cs="Arial"/>
          <w:i/>
          <w:iCs/>
          <w:u w:val="single"/>
        </w:rPr>
        <w:t>Riesgo País</w:t>
      </w:r>
      <w:r>
        <w:rPr>
          <w:rFonts w:ascii="Arial" w:hAnsi="Arial" w:cs="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14:paraId="1AD484B4" w14:textId="77777777" w:rsidR="00CB2DDF" w:rsidRDefault="00CB2DDF">
      <w:pPr>
        <w:pStyle w:val="BodyText"/>
        <w:spacing w:after="0"/>
        <w:jc w:val="both"/>
        <w:rPr>
          <w:rFonts w:ascii="Arial" w:hAnsi="Arial" w:cs="Arial"/>
        </w:rPr>
      </w:pPr>
    </w:p>
    <w:p w14:paraId="65F3B266" w14:textId="77777777" w:rsidR="00CB2DDF" w:rsidRDefault="00B14064">
      <w:pPr>
        <w:pStyle w:val="BodyText"/>
        <w:spacing w:after="0"/>
        <w:jc w:val="both"/>
        <w:rPr>
          <w:rFonts w:ascii="Arial" w:hAnsi="Arial" w:cs="Arial"/>
          <w:b/>
          <w:bCs/>
          <w:color w:val="1F497D" w:themeColor="text2"/>
        </w:rPr>
      </w:pPr>
      <w:r>
        <w:rPr>
          <w:rFonts w:ascii="Arial" w:hAnsi="Arial" w:cs="Arial"/>
          <w:b/>
          <w:bCs/>
          <w:color w:val="1F497D" w:themeColor="text2"/>
        </w:rPr>
        <w:t>III OBJETIVOS, ESTRATEGIAS Y RIESGOS DEL NEGOCIO</w:t>
      </w:r>
      <w:bookmarkStart w:id="2" w:name="_Hlk34654799"/>
      <w:bookmarkEnd w:id="2"/>
    </w:p>
    <w:p w14:paraId="510FD80F" w14:textId="77777777" w:rsidR="00CB2DDF" w:rsidRDefault="00CB2DDF">
      <w:pPr>
        <w:pStyle w:val="BodyText"/>
        <w:spacing w:after="0"/>
        <w:jc w:val="both"/>
        <w:rPr>
          <w:rFonts w:ascii="Arial" w:hAnsi="Arial" w:cs="Arial"/>
          <w:b/>
          <w:bCs/>
          <w:color w:val="1F497D" w:themeColor="text2"/>
        </w:rPr>
      </w:pPr>
    </w:p>
    <w:p w14:paraId="67E08B97" w14:textId="03FB6967" w:rsidR="00CB2DDF" w:rsidRDefault="00B14064">
      <w:pPr>
        <w:pStyle w:val="BodyText"/>
        <w:spacing w:after="0"/>
        <w:jc w:val="both"/>
        <w:rPr>
          <w:rFonts w:ascii="Arial" w:hAnsi="Arial" w:cs="Arial"/>
        </w:rPr>
      </w:pPr>
      <w:r>
        <w:rPr>
          <w:rFonts w:ascii="Arial" w:hAnsi="Arial" w:cs="Arial"/>
        </w:rPr>
        <w:t>T</w:t>
      </w:r>
      <w:r w:rsidR="00667AE7">
        <w:rPr>
          <w:rFonts w:ascii="Arial" w:hAnsi="Arial" w:cs="Arial"/>
        </w:rPr>
        <w:t>elcodata</w:t>
      </w:r>
      <w:r>
        <w:rPr>
          <w:rFonts w:ascii="Arial" w:hAnsi="Arial" w:cs="Arial"/>
        </w:rPr>
        <w:t xml:space="preserve">, al igual que la mayoría de las PYMES, no tiene planes o procesos formales para identificar los riesgos del negocio y tampoco se preparan presupuestos o proyecciones financieras. A pesar de esta falta de documentación, según las conversaciones mantenidas con la </w:t>
      </w:r>
      <w:r w:rsidR="00667AE7">
        <w:rPr>
          <w:rFonts w:ascii="Arial" w:hAnsi="Arial" w:cs="Arial"/>
        </w:rPr>
        <w:t>Gerencia</w:t>
      </w:r>
      <w:r>
        <w:rPr>
          <w:rFonts w:ascii="Arial" w:hAnsi="Arial" w:cs="Arial"/>
        </w:rPr>
        <w:t xml:space="preserve"> y como resultado de nuestra observación, destacamos:</w:t>
      </w:r>
    </w:p>
    <w:p w14:paraId="5581D320" w14:textId="77777777" w:rsidR="00667AE7" w:rsidRDefault="00667AE7">
      <w:pPr>
        <w:pStyle w:val="BodyText"/>
        <w:spacing w:after="0"/>
        <w:jc w:val="both"/>
        <w:rPr>
          <w:rFonts w:ascii="Arial" w:hAnsi="Arial" w:cs="Arial"/>
        </w:rPr>
      </w:pPr>
    </w:p>
    <w:p w14:paraId="4BB8D249" w14:textId="77777777" w:rsidR="00CB2DDF" w:rsidRDefault="00B14064">
      <w:pPr>
        <w:pStyle w:val="BodyText"/>
        <w:numPr>
          <w:ilvl w:val="0"/>
          <w:numId w:val="3"/>
        </w:numPr>
        <w:spacing w:after="0"/>
        <w:jc w:val="both"/>
        <w:rPr>
          <w:rFonts w:ascii="Arial" w:hAnsi="Arial" w:cs="Arial"/>
        </w:rPr>
      </w:pPr>
      <w:r>
        <w:rPr>
          <w:rFonts w:ascii="Arial" w:hAnsi="Arial" w:cs="Arial"/>
        </w:rPr>
        <w:t>Impulsar campañas de Marketing Digital, para fomentar la diversificación de cartera de clientes.</w:t>
      </w:r>
    </w:p>
    <w:p w14:paraId="0C6812A4" w14:textId="77777777" w:rsidR="00CB2DDF" w:rsidRDefault="00B14064">
      <w:pPr>
        <w:pStyle w:val="BodyText"/>
        <w:numPr>
          <w:ilvl w:val="0"/>
          <w:numId w:val="3"/>
        </w:numPr>
        <w:spacing w:after="0"/>
        <w:jc w:val="both"/>
        <w:rPr>
          <w:rFonts w:ascii="Arial" w:hAnsi="Arial" w:cs="Arial"/>
        </w:rPr>
      </w:pPr>
      <w:r>
        <w:rPr>
          <w:rFonts w:ascii="Arial" w:hAnsi="Arial" w:cs="Arial"/>
        </w:rPr>
        <w:t>La creación de una página web para facilitar el E-Commerce y poder llegar a los mercados de las empresas pequeñas dando a conocer así los productos y servicios que la empresa puede brindar.</w:t>
      </w:r>
    </w:p>
    <w:p w14:paraId="0F9FC212" w14:textId="77777777" w:rsidR="00CB2DDF" w:rsidRDefault="00B14064">
      <w:pPr>
        <w:pStyle w:val="BodyText"/>
        <w:numPr>
          <w:ilvl w:val="0"/>
          <w:numId w:val="3"/>
        </w:numPr>
        <w:spacing w:after="0"/>
        <w:jc w:val="both"/>
        <w:rPr>
          <w:rFonts w:ascii="Arial" w:hAnsi="Arial" w:cs="Arial"/>
        </w:rPr>
      </w:pPr>
      <w:r>
        <w:rPr>
          <w:rFonts w:ascii="Arial" w:hAnsi="Arial" w:cs="Arial"/>
        </w:rPr>
        <w:t>Recuperarse de las pérdidas de años pasados y lograr, en el 2019, llegar por lo menos al punto de equilibrio.</w:t>
      </w:r>
    </w:p>
    <w:p w14:paraId="7EE4F19F" w14:textId="77777777" w:rsidR="00CB2DDF" w:rsidRDefault="00B14064">
      <w:pPr>
        <w:pStyle w:val="BodyText"/>
        <w:numPr>
          <w:ilvl w:val="0"/>
          <w:numId w:val="3"/>
        </w:numPr>
        <w:spacing w:after="0"/>
        <w:jc w:val="both"/>
        <w:rPr>
          <w:rFonts w:ascii="Arial" w:hAnsi="Arial" w:cs="Arial"/>
        </w:rPr>
      </w:pPr>
      <w:r>
        <w:rPr>
          <w:rFonts w:ascii="Arial" w:hAnsi="Arial" w:cs="Arial"/>
        </w:rPr>
        <w:t>Crear un inventario robusto para mantener el abastecimiento y poder suplir las necesidades inmediatas de los clientes y evitar mantener inventario estacionado en aduana debido a los largos periodos de tiempo que se necesita para des -</w:t>
      </w:r>
      <w:proofErr w:type="spellStart"/>
      <w:r>
        <w:rPr>
          <w:rFonts w:ascii="Arial" w:hAnsi="Arial" w:cs="Arial"/>
        </w:rPr>
        <w:t>aduanizar</w:t>
      </w:r>
      <w:proofErr w:type="spellEnd"/>
      <w:r>
        <w:rPr>
          <w:rFonts w:ascii="Arial" w:hAnsi="Arial" w:cs="Arial"/>
        </w:rPr>
        <w:t xml:space="preserve"> la mercadería.</w:t>
      </w:r>
    </w:p>
    <w:p w14:paraId="30164CBC" w14:textId="77777777" w:rsidR="00CB2DDF" w:rsidRDefault="00B14064">
      <w:pPr>
        <w:pStyle w:val="BodyText"/>
        <w:numPr>
          <w:ilvl w:val="0"/>
          <w:numId w:val="3"/>
        </w:numPr>
        <w:spacing w:after="0"/>
        <w:jc w:val="both"/>
        <w:rPr>
          <w:rFonts w:ascii="Arial" w:hAnsi="Arial" w:cs="Arial"/>
        </w:rPr>
      </w:pPr>
      <w:r>
        <w:rPr>
          <w:rFonts w:ascii="Arial" w:hAnsi="Arial" w:cs="Arial"/>
        </w:rPr>
        <w:t xml:space="preserve">Pese a que la economía del país se estime que no crezca para el 2019, el mercado de la tecnología nunca deja de decrecer por lo que invertir en nuevas tecnologías y darlas a conocer de manera inmediata puede mejorar los resultados integrales de Telcodata S.A.   </w:t>
      </w:r>
    </w:p>
    <w:p w14:paraId="628A9865" w14:textId="77777777" w:rsidR="00CB2DDF" w:rsidRDefault="00B14064">
      <w:pPr>
        <w:pStyle w:val="BodyText"/>
        <w:numPr>
          <w:ilvl w:val="0"/>
          <w:numId w:val="3"/>
        </w:numPr>
        <w:spacing w:after="0"/>
        <w:jc w:val="both"/>
        <w:rPr>
          <w:rFonts w:ascii="Arial" w:hAnsi="Arial" w:cs="Arial"/>
        </w:rPr>
      </w:pPr>
      <w:r>
        <w:rPr>
          <w:rFonts w:ascii="Arial" w:hAnsi="Arial" w:cs="Arial"/>
        </w:rPr>
        <w:t>Debido a las condiciones del mercado, el crecimiento de Telcodata a efectos de recuperarse de las pérdidas acumuladas requerirá más financiamiento, ya sea de parte de los Accionistas o con Bancos y, estos últimos, pudieran no estar dispuesto a conceder préstamos en vista de los malos resultados de los últimos años. La posible falta de capital de trabajo se constituye en un riesgo del negocio.</w:t>
      </w:r>
    </w:p>
    <w:p w14:paraId="7A053B32" w14:textId="77777777" w:rsidR="00CB2DDF" w:rsidRDefault="00CB2DDF">
      <w:pPr>
        <w:pStyle w:val="BodyText"/>
        <w:spacing w:after="0"/>
        <w:jc w:val="both"/>
        <w:rPr>
          <w:rFonts w:ascii="Arial" w:hAnsi="Arial" w:cs="Arial"/>
        </w:rPr>
      </w:pPr>
    </w:p>
    <w:p w14:paraId="35BCEB92" w14:textId="77777777" w:rsidR="00CB2DDF" w:rsidRDefault="00B14064">
      <w:pPr>
        <w:pStyle w:val="BodyText"/>
        <w:spacing w:after="0"/>
        <w:jc w:val="both"/>
        <w:rPr>
          <w:rFonts w:ascii="Arial" w:hAnsi="Arial" w:cs="Arial"/>
          <w:b/>
          <w:bCs/>
          <w:color w:val="1F497D" w:themeColor="text2"/>
        </w:rPr>
      </w:pPr>
      <w:r>
        <w:rPr>
          <w:rFonts w:ascii="Arial" w:hAnsi="Arial" w:cs="Arial"/>
          <w:b/>
          <w:bCs/>
          <w:color w:val="1F497D" w:themeColor="text2"/>
        </w:rPr>
        <w:t>IV MEDICION Y REVISION DEL DESEMPENO FINANCIERO</w:t>
      </w:r>
    </w:p>
    <w:p w14:paraId="2BA60400" w14:textId="77777777" w:rsidR="00CB2DDF" w:rsidRDefault="00CB2DDF">
      <w:pPr>
        <w:pStyle w:val="BodyText"/>
        <w:spacing w:after="0"/>
        <w:jc w:val="both"/>
        <w:rPr>
          <w:rFonts w:ascii="Arial" w:hAnsi="Arial" w:cs="Arial"/>
          <w:b/>
          <w:bCs/>
          <w:color w:val="1F497D" w:themeColor="text2"/>
        </w:rPr>
      </w:pPr>
    </w:p>
    <w:p w14:paraId="1AF4442D" w14:textId="77777777" w:rsidR="00CB2DDF" w:rsidRDefault="00B14064">
      <w:pPr>
        <w:pStyle w:val="BodyText"/>
        <w:spacing w:after="0"/>
        <w:jc w:val="both"/>
        <w:rPr>
          <w:rFonts w:ascii="Arial" w:hAnsi="Arial" w:cs="Arial"/>
        </w:rPr>
      </w:pPr>
      <w:r>
        <w:rPr>
          <w:rFonts w:ascii="Arial" w:hAnsi="Arial" w:cs="Arial"/>
        </w:rPr>
        <w:t>Al igual que otras PYMES, Servicios Telcodata S.A. no tiene procesos formales, sin embargo, la Administración confía en ciertos indicadores clave que revisa continuamente:</w:t>
      </w:r>
    </w:p>
    <w:p w14:paraId="27E83376" w14:textId="77777777" w:rsidR="00CB2DDF" w:rsidRDefault="00CB2DDF">
      <w:pPr>
        <w:pStyle w:val="BodyText"/>
        <w:spacing w:after="0"/>
        <w:jc w:val="both"/>
        <w:rPr>
          <w:rFonts w:ascii="Arial" w:hAnsi="Arial" w:cs="Arial"/>
        </w:rPr>
      </w:pPr>
    </w:p>
    <w:p w14:paraId="120B09CA" w14:textId="77777777" w:rsidR="00CB2DDF" w:rsidRDefault="00B14064">
      <w:pPr>
        <w:pStyle w:val="BodyText"/>
        <w:numPr>
          <w:ilvl w:val="0"/>
          <w:numId w:val="4"/>
        </w:numPr>
        <w:spacing w:after="0"/>
        <w:jc w:val="both"/>
        <w:rPr>
          <w:rFonts w:ascii="Arial" w:hAnsi="Arial" w:cs="Arial"/>
        </w:rPr>
      </w:pPr>
      <w:r>
        <w:rPr>
          <w:rFonts w:ascii="Arial" w:hAnsi="Arial" w:cs="Arial"/>
        </w:rPr>
        <w:lastRenderedPageBreak/>
        <w:t>El Contador prepara mensualmente un paquete de información financiera que complementa los escasos reportes que surgen del sistema contable. Este paquete de información contiene información como: Ventas por cliente y estadística de los últimos años, estado de antigüedad de cartera y de cuentas por pagar a proveedores, movimiento del patrimonio y de los activos fijos, estados de resultados mensuales comparativos de enero a la fecha y acumulados del año presente vs. el año anterior, etc.</w:t>
      </w:r>
    </w:p>
    <w:p w14:paraId="4C834EA4" w14:textId="77777777" w:rsidR="00CB2DDF" w:rsidRDefault="00CB2DDF">
      <w:pPr>
        <w:pStyle w:val="BodyText"/>
        <w:spacing w:after="0"/>
        <w:ind w:left="720"/>
        <w:jc w:val="both"/>
        <w:rPr>
          <w:rFonts w:ascii="Arial" w:hAnsi="Arial" w:cs="Arial"/>
        </w:rPr>
      </w:pPr>
    </w:p>
    <w:p w14:paraId="646CD59F" w14:textId="77777777" w:rsidR="00CB2DDF" w:rsidRDefault="00B14064">
      <w:pPr>
        <w:pStyle w:val="BodyText"/>
        <w:numPr>
          <w:ilvl w:val="0"/>
          <w:numId w:val="4"/>
        </w:numPr>
        <w:spacing w:after="0"/>
        <w:jc w:val="both"/>
        <w:rPr>
          <w:rFonts w:ascii="Arial" w:hAnsi="Arial" w:cs="Arial"/>
        </w:rPr>
      </w:pPr>
      <w:r>
        <w:rPr>
          <w:rFonts w:ascii="Arial" w:hAnsi="Arial" w:cs="Arial"/>
        </w:rPr>
        <w:t>Monitoreo a la calidad de los equipos comercializados así reducir el impacto de productos que puedan ser devueltos por daños de fabrica u ocasionados por el trasporte o el bodegaje.</w:t>
      </w:r>
    </w:p>
    <w:p w14:paraId="3E4C321E" w14:textId="77777777" w:rsidR="00CB2DDF" w:rsidRDefault="00CB2DDF">
      <w:pPr>
        <w:pStyle w:val="BodyText"/>
        <w:spacing w:after="0"/>
        <w:ind w:left="720"/>
        <w:jc w:val="both"/>
        <w:rPr>
          <w:rFonts w:ascii="Arial" w:hAnsi="Arial" w:cs="Arial"/>
        </w:rPr>
      </w:pPr>
    </w:p>
    <w:p w14:paraId="0C2B7E52" w14:textId="77777777" w:rsidR="00CB2DDF" w:rsidRDefault="00B14064">
      <w:pPr>
        <w:pStyle w:val="BodyText"/>
        <w:numPr>
          <w:ilvl w:val="0"/>
          <w:numId w:val="4"/>
        </w:numPr>
        <w:spacing w:after="0"/>
        <w:jc w:val="both"/>
        <w:rPr>
          <w:rFonts w:ascii="Arial" w:hAnsi="Arial" w:cs="Arial"/>
        </w:rPr>
      </w:pPr>
      <w:r>
        <w:rPr>
          <w:rFonts w:ascii="Arial" w:hAnsi="Arial" w:cs="Arial"/>
        </w:rPr>
        <w:t>El costo de la nómina, que es el más importante, es fijo y fácil de controlar pues no hay incrementos salariales ni de trabajadores.</w:t>
      </w:r>
    </w:p>
    <w:p w14:paraId="7B99C5F5" w14:textId="77777777" w:rsidR="00CB2DDF" w:rsidRDefault="00CB2DDF">
      <w:pPr>
        <w:pStyle w:val="BodyText"/>
        <w:spacing w:after="0"/>
        <w:jc w:val="both"/>
        <w:rPr>
          <w:rFonts w:ascii="Arial" w:hAnsi="Arial" w:cs="Arial"/>
        </w:rPr>
      </w:pPr>
    </w:p>
    <w:p w14:paraId="554C54B8" w14:textId="77777777" w:rsidR="00CB2DDF" w:rsidRDefault="00B14064">
      <w:pPr>
        <w:pStyle w:val="BodyText"/>
        <w:numPr>
          <w:ilvl w:val="0"/>
          <w:numId w:val="4"/>
        </w:numPr>
        <w:spacing w:after="0"/>
        <w:jc w:val="both"/>
        <w:rPr>
          <w:rFonts w:ascii="Arial" w:hAnsi="Arial" w:cs="Arial"/>
        </w:rPr>
      </w:pPr>
      <w:r>
        <w:rPr>
          <w:rFonts w:ascii="Arial" w:hAnsi="Arial" w:cs="Arial"/>
        </w:rPr>
        <w:t>Realizar controles de calidad sobre los servicios que Telcodata contrata para la realización de las instalaciones y así evitar imperfecciones en los trabajos realizados.</w:t>
      </w:r>
    </w:p>
    <w:p w14:paraId="6C5AF57A" w14:textId="77777777" w:rsidR="00CB2DDF" w:rsidRDefault="00CB2DDF">
      <w:pPr>
        <w:pStyle w:val="BodyText"/>
        <w:spacing w:after="0"/>
        <w:jc w:val="both"/>
        <w:rPr>
          <w:rFonts w:ascii="Arial" w:hAnsi="Arial" w:cs="Arial"/>
        </w:rPr>
      </w:pPr>
    </w:p>
    <w:p w14:paraId="788832F7" w14:textId="77777777" w:rsidR="00CB2DDF" w:rsidRDefault="00CB2DDF">
      <w:pPr>
        <w:pStyle w:val="BodyText"/>
        <w:spacing w:after="0"/>
        <w:jc w:val="both"/>
        <w:rPr>
          <w:rFonts w:ascii="Arial" w:hAnsi="Arial" w:cs="Arial"/>
        </w:rPr>
      </w:pPr>
    </w:p>
    <w:p w14:paraId="1C18326E" w14:textId="77777777" w:rsidR="00CB2DDF" w:rsidRDefault="00B14064">
      <w:pPr>
        <w:pStyle w:val="BodyText"/>
        <w:spacing w:after="0"/>
        <w:jc w:val="both"/>
        <w:rPr>
          <w:rFonts w:ascii="Arial" w:hAnsi="Arial" w:cs="Arial"/>
        </w:rPr>
      </w:pPr>
      <w:r>
        <w:rPr>
          <w:rFonts w:ascii="Arial" w:hAnsi="Arial" w:cs="Arial"/>
        </w:rPr>
        <w:t>Preparado por: Carlos G. Almeida (Socio)</w:t>
      </w:r>
    </w:p>
    <w:p w14:paraId="675373CF" w14:textId="77777777" w:rsidR="00CB2DDF" w:rsidRDefault="00B14064">
      <w:pPr>
        <w:pStyle w:val="BodyText"/>
        <w:spacing w:after="0"/>
        <w:jc w:val="both"/>
        <w:rPr>
          <w:rFonts w:ascii="Arial" w:hAnsi="Arial" w:cs="Arial"/>
        </w:rPr>
      </w:pPr>
      <w:r>
        <w:rPr>
          <w:rFonts w:ascii="Arial" w:hAnsi="Arial" w:cs="Arial"/>
        </w:rPr>
        <w:t xml:space="preserve">Fecha: </w:t>
      </w:r>
    </w:p>
    <w:p w14:paraId="078EC1D7" w14:textId="77777777" w:rsidR="00CB2DDF" w:rsidRDefault="00CB2DDF">
      <w:pPr>
        <w:pStyle w:val="BodyText"/>
        <w:spacing w:after="0"/>
        <w:jc w:val="both"/>
      </w:pPr>
    </w:p>
    <w:sectPr w:rsidR="00CB2DDF">
      <w:headerReference w:type="default" r:id="rId12"/>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0572A" w14:textId="77777777" w:rsidR="00D70FE9" w:rsidRDefault="00D70FE9">
      <w:pPr>
        <w:spacing w:after="0" w:line="240" w:lineRule="auto"/>
      </w:pPr>
      <w:r>
        <w:separator/>
      </w:r>
    </w:p>
  </w:endnote>
  <w:endnote w:type="continuationSeparator" w:id="0">
    <w:p w14:paraId="3FD08499" w14:textId="77777777" w:rsidR="00D70FE9" w:rsidRDefault="00D70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76245" w14:textId="77777777" w:rsidR="00D70FE9" w:rsidRDefault="00D70FE9">
      <w:pPr>
        <w:spacing w:after="0" w:line="240" w:lineRule="auto"/>
      </w:pPr>
      <w:r>
        <w:separator/>
      </w:r>
    </w:p>
  </w:footnote>
  <w:footnote w:type="continuationSeparator" w:id="0">
    <w:p w14:paraId="08476CFC" w14:textId="77777777" w:rsidR="00D70FE9" w:rsidRDefault="00D70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04448" w14:textId="0E606DFB" w:rsidR="00CB2DDF" w:rsidRDefault="000274AC">
    <w:pPr>
      <w:pStyle w:val="Header"/>
      <w:rPr>
        <w:b/>
        <w:bCs/>
        <w:u w:val="single"/>
        <w:lang w:val="es-EC"/>
      </w:rPr>
    </w:pPr>
    <w:r>
      <w:rPr>
        <w:b/>
        <w:bCs/>
        <w:u w:val="single"/>
        <w:lang w:val="es-EC"/>
      </w:rPr>
      <w:t xml:space="preserve">SERVICIOS </w:t>
    </w:r>
    <w:r w:rsidR="00B14064">
      <w:rPr>
        <w:b/>
        <w:bCs/>
        <w:u w:val="single"/>
        <w:lang w:val="es-EC"/>
      </w:rPr>
      <w:t>TELCODATA S.A.</w:t>
    </w:r>
  </w:p>
  <w:p w14:paraId="0668317C" w14:textId="77777777" w:rsidR="00CB2DDF" w:rsidRDefault="00B14064">
    <w:pPr>
      <w:pStyle w:val="Header"/>
      <w:rPr>
        <w:b/>
        <w:bCs/>
        <w:lang w:val="es-EC"/>
      </w:rPr>
    </w:pPr>
    <w:r>
      <w:rPr>
        <w:b/>
        <w:bCs/>
        <w:lang w:val="es-EC"/>
      </w:rPr>
      <w:t>ENTENDIMIENTO DE LA ENTIDAD Y SU ENTORNO</w:t>
    </w:r>
  </w:p>
  <w:p w14:paraId="663F25C8" w14:textId="77777777" w:rsidR="00CB2DDF" w:rsidRDefault="00B14064">
    <w:pPr>
      <w:pStyle w:val="Header"/>
    </w:pPr>
    <w:r>
      <w:rPr>
        <w:b/>
        <w:bCs/>
        <w:lang w:val="es-EC"/>
      </w:rPr>
      <w:t>Al 31 de septiembre del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9343D"/>
    <w:multiLevelType w:val="multilevel"/>
    <w:tmpl w:val="924871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4E1386"/>
    <w:multiLevelType w:val="multilevel"/>
    <w:tmpl w:val="4A96A8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15C56E0"/>
    <w:multiLevelType w:val="multilevel"/>
    <w:tmpl w:val="38183D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1E6D70"/>
    <w:multiLevelType w:val="multilevel"/>
    <w:tmpl w:val="5588A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1E12765"/>
    <w:multiLevelType w:val="multilevel"/>
    <w:tmpl w:val="ED22DC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DDF"/>
    <w:rsid w:val="000274AC"/>
    <w:rsid w:val="0012668F"/>
    <w:rsid w:val="001E6815"/>
    <w:rsid w:val="0024757B"/>
    <w:rsid w:val="002B2874"/>
    <w:rsid w:val="00373235"/>
    <w:rsid w:val="00641B4C"/>
    <w:rsid w:val="00667AE7"/>
    <w:rsid w:val="00672676"/>
    <w:rsid w:val="006A6EC4"/>
    <w:rsid w:val="0073545C"/>
    <w:rsid w:val="00885ADB"/>
    <w:rsid w:val="00941101"/>
    <w:rsid w:val="00965AC7"/>
    <w:rsid w:val="009C2FF1"/>
    <w:rsid w:val="00B14064"/>
    <w:rsid w:val="00CB2DDF"/>
    <w:rsid w:val="00D70FE9"/>
    <w:rsid w:val="00DA4D1F"/>
    <w:rsid w:val="00DC796A"/>
    <w:rsid w:val="00FB2DD8"/>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5A2C"/>
  <w15:docId w15:val="{FB78BB6A-F799-43A0-A023-D62A4275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styleId="CommentReference">
    <w:name w:val="annotation reference"/>
    <w:basedOn w:val="DefaultParagraphFont"/>
    <w:uiPriority w:val="99"/>
    <w:semiHidden/>
    <w:unhideWhenUsed/>
    <w:qFormat/>
    <w:rsid w:val="00E572BC"/>
    <w:rPr>
      <w:sz w:val="16"/>
      <w:szCs w:val="16"/>
    </w:rPr>
  </w:style>
  <w:style w:type="character" w:customStyle="1" w:styleId="CommentTextChar">
    <w:name w:val="Comment Text Char"/>
    <w:basedOn w:val="DefaultParagraphFont"/>
    <w:link w:val="CommentText"/>
    <w:uiPriority w:val="99"/>
    <w:semiHidden/>
    <w:qFormat/>
    <w:rsid w:val="00E572BC"/>
    <w:rPr>
      <w:sz w:val="20"/>
      <w:szCs w:val="20"/>
    </w:rPr>
  </w:style>
  <w:style w:type="character" w:customStyle="1" w:styleId="CommentSubjectChar">
    <w:name w:val="Comment Subject Char"/>
    <w:basedOn w:val="CommentTextChar"/>
    <w:link w:val="CommentSubject"/>
    <w:uiPriority w:val="99"/>
    <w:semiHidden/>
    <w:qFormat/>
    <w:rsid w:val="00E572B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paragraph" w:styleId="CommentText">
    <w:name w:val="annotation text"/>
    <w:basedOn w:val="Normal"/>
    <w:link w:val="CommentTextChar"/>
    <w:uiPriority w:val="99"/>
    <w:semiHidden/>
    <w:unhideWhenUsed/>
    <w:qFormat/>
    <w:rsid w:val="00E572B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E572BC"/>
    <w:rPr>
      <w:b/>
      <w:bCs/>
    </w:rPr>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8</Pages>
  <Words>2233</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29</cp:revision>
  <dcterms:created xsi:type="dcterms:W3CDTF">2020-10-13T16:54:00Z</dcterms:created>
  <dcterms:modified xsi:type="dcterms:W3CDTF">2021-01-29T16:38:00Z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