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94" w:type="dxa"/>
        <w:tblLook w:val="04A0" w:firstRow="1" w:lastRow="0" w:firstColumn="1" w:lastColumn="0" w:noHBand="0" w:noVBand="1"/>
      </w:tblPr>
      <w:tblGrid>
        <w:gridCol w:w="5524"/>
        <w:gridCol w:w="5244"/>
        <w:gridCol w:w="1953"/>
        <w:gridCol w:w="1273"/>
      </w:tblGrid>
      <w:tr w:rsidR="008B7567" w14:paraId="5ECE120B" w14:textId="7D2A4337" w:rsidTr="008B7567">
        <w:tc>
          <w:tcPr>
            <w:tcW w:w="5524" w:type="dxa"/>
          </w:tcPr>
          <w:p w14:paraId="79A095D5" w14:textId="74313545" w:rsidR="008B7567" w:rsidRDefault="008B7567" w:rsidP="00CE3B64">
            <w:pPr>
              <w:jc w:val="both"/>
            </w:pPr>
            <w:r>
              <w:t>Corte de operaciones inadecuada asociación de ingresos y gastos en los estados financieros interinos; determinación de los eventos en curso al fin del ejercicio</w:t>
            </w:r>
          </w:p>
        </w:tc>
        <w:tc>
          <w:tcPr>
            <w:tcW w:w="5244" w:type="dxa"/>
          </w:tcPr>
          <w:p w14:paraId="10932D00" w14:textId="788F9264" w:rsidR="008B7567" w:rsidRDefault="008B7567" w:rsidP="00CE3B64">
            <w:pPr>
              <w:jc w:val="both"/>
            </w:pPr>
            <w:r>
              <w:t>La última semana de diciembre realizaremos un corte de documentos: tres últimas facturas emitidas, tres últimos cheques girados y números de presupuestos por eventos a clientes</w:t>
            </w:r>
          </w:p>
          <w:p w14:paraId="2CD259D9" w14:textId="77777777" w:rsidR="008B7567" w:rsidRDefault="008B7567" w:rsidP="00CE3B64">
            <w:pPr>
              <w:jc w:val="both"/>
            </w:pPr>
          </w:p>
          <w:p w14:paraId="20A115CD" w14:textId="54E31F1D" w:rsidR="008B7567" w:rsidRDefault="008B7567" w:rsidP="00CE3B64">
            <w:pPr>
              <w:jc w:val="both"/>
            </w:pPr>
            <w:r>
              <w:t>Exam</w:t>
            </w:r>
            <w:r w:rsidR="00297A83">
              <w:t>inaremos</w:t>
            </w:r>
            <w:r>
              <w:t xml:space="preserve"> de pagos posteriores </w:t>
            </w:r>
            <w:r w:rsidR="00297A83">
              <w:t xml:space="preserve">que se realicen en el año 2021 </w:t>
            </w:r>
            <w:r>
              <w:t>para detectar posibles pagos por costos que corresponden al año 2020 y, si existen, verificar que hayan sido apropiadamente provisionados</w:t>
            </w:r>
          </w:p>
        </w:tc>
        <w:tc>
          <w:tcPr>
            <w:tcW w:w="1953" w:type="dxa"/>
          </w:tcPr>
          <w:p w14:paraId="2479CB02" w14:textId="77777777" w:rsidR="008B7567" w:rsidRDefault="00297A83" w:rsidP="00CE3B64">
            <w:pPr>
              <w:jc w:val="both"/>
            </w:pPr>
            <w:r>
              <w:t>Corte</w:t>
            </w:r>
          </w:p>
          <w:p w14:paraId="085D2E2A" w14:textId="4413C25C" w:rsidR="000909AC" w:rsidRDefault="000909AC" w:rsidP="00CE3B64">
            <w:pPr>
              <w:jc w:val="both"/>
            </w:pPr>
            <w:r>
              <w:t>Integridad</w:t>
            </w:r>
          </w:p>
        </w:tc>
        <w:tc>
          <w:tcPr>
            <w:tcW w:w="1273" w:type="dxa"/>
          </w:tcPr>
          <w:p w14:paraId="59619196" w14:textId="78BD11B4" w:rsidR="008B7567" w:rsidRDefault="008B7567" w:rsidP="00CE3B64">
            <w:pPr>
              <w:jc w:val="both"/>
            </w:pPr>
          </w:p>
        </w:tc>
      </w:tr>
      <w:tr w:rsidR="008B7567" w14:paraId="1ADFA223" w14:textId="0F1B0408" w:rsidTr="008B7567">
        <w:tc>
          <w:tcPr>
            <w:tcW w:w="5524" w:type="dxa"/>
          </w:tcPr>
          <w:p w14:paraId="22970F28" w14:textId="35C95FC5" w:rsidR="008B7567" w:rsidRDefault="008B7567" w:rsidP="00CE3B64">
            <w:pPr>
              <w:jc w:val="both"/>
            </w:pPr>
            <w:r>
              <w:t>Reforma tributaria legal que obliga a eliminar las reservas para jubilación patronal y desahucio</w:t>
            </w:r>
          </w:p>
        </w:tc>
        <w:tc>
          <w:tcPr>
            <w:tcW w:w="5244" w:type="dxa"/>
          </w:tcPr>
          <w:p w14:paraId="759A13EE" w14:textId="2CDFC40B" w:rsidR="008B7567" w:rsidRDefault="008B7567" w:rsidP="00C755BA">
            <w:pPr>
              <w:jc w:val="both"/>
            </w:pPr>
            <w:r>
              <w:t>Ya hemos informado a la Gerencia de que este asunto constituirá una excepción en nuestra opinión.</w:t>
            </w:r>
          </w:p>
          <w:p w14:paraId="75BFD325" w14:textId="77777777" w:rsidR="008B7567" w:rsidRDefault="008B7567" w:rsidP="00C755BA">
            <w:pPr>
              <w:jc w:val="both"/>
            </w:pPr>
          </w:p>
          <w:p w14:paraId="182D3F3C" w14:textId="5FBE538D" w:rsidR="008B7567" w:rsidRDefault="008B7567" w:rsidP="00C755BA">
            <w:pPr>
              <w:jc w:val="both"/>
            </w:pPr>
            <w:r>
              <w:t>Solicitaremos que se contrate el estudio actuarial a diciembre 2020 para poder conocer el monto de las reservas que no se registraron de acuerdo con NIIF</w:t>
            </w:r>
          </w:p>
        </w:tc>
        <w:tc>
          <w:tcPr>
            <w:tcW w:w="1953" w:type="dxa"/>
          </w:tcPr>
          <w:p w14:paraId="263B8282" w14:textId="77777777" w:rsidR="008B7567" w:rsidRDefault="00297A83" w:rsidP="00CE3B64">
            <w:pPr>
              <w:jc w:val="both"/>
            </w:pPr>
            <w:r>
              <w:t>Integridad</w:t>
            </w:r>
          </w:p>
          <w:p w14:paraId="03992CFD" w14:textId="77777777" w:rsidR="00297A83" w:rsidRDefault="00297A83" w:rsidP="00CE3B64">
            <w:pPr>
              <w:jc w:val="both"/>
            </w:pPr>
            <w:r>
              <w:t>Exactitud</w:t>
            </w:r>
          </w:p>
          <w:p w14:paraId="71A5D92C" w14:textId="6A3A3C80" w:rsidR="00297A83" w:rsidRDefault="00297A83" w:rsidP="00CE3B64">
            <w:pPr>
              <w:jc w:val="both"/>
            </w:pPr>
            <w:r>
              <w:t>Presentación</w:t>
            </w:r>
          </w:p>
        </w:tc>
        <w:tc>
          <w:tcPr>
            <w:tcW w:w="1273" w:type="dxa"/>
          </w:tcPr>
          <w:p w14:paraId="1A7666E6" w14:textId="79C0B9D3" w:rsidR="008B7567" w:rsidRDefault="008B7567" w:rsidP="00CE3B64">
            <w:pPr>
              <w:jc w:val="both"/>
            </w:pPr>
          </w:p>
        </w:tc>
      </w:tr>
      <w:tr w:rsidR="008B7567" w14:paraId="6839C67A" w14:textId="4B563DAD" w:rsidTr="008B7567">
        <w:tc>
          <w:tcPr>
            <w:tcW w:w="5524" w:type="dxa"/>
          </w:tcPr>
          <w:p w14:paraId="105BDB2E" w14:textId="6DD83588" w:rsidR="008B7567" w:rsidRDefault="008B7567" w:rsidP="00CE3B64">
            <w:pPr>
              <w:jc w:val="both"/>
            </w:pPr>
            <w:r>
              <w:t>Inventario de mobiliario para eventos, no amortizados</w:t>
            </w:r>
          </w:p>
        </w:tc>
        <w:tc>
          <w:tcPr>
            <w:tcW w:w="5244" w:type="dxa"/>
          </w:tcPr>
          <w:p w14:paraId="7DA0A250" w14:textId="13B69B6F" w:rsidR="008B7567" w:rsidRDefault="008B7567" w:rsidP="00CE3B64">
            <w:pPr>
              <w:jc w:val="both"/>
            </w:pPr>
            <w:r>
              <w:t xml:space="preserve">Realizaremos observación física de estos inventarios en diciembre o primeros días de enero 2021 para verificar su existencia y estado (condiciones físicas) </w:t>
            </w:r>
          </w:p>
          <w:p w14:paraId="57C40358" w14:textId="77777777" w:rsidR="008B7567" w:rsidRDefault="008B7567" w:rsidP="00CE3B64">
            <w:pPr>
              <w:jc w:val="both"/>
            </w:pPr>
          </w:p>
          <w:p w14:paraId="2EF42B9C" w14:textId="106D0E90" w:rsidR="008B7567" w:rsidRDefault="008B7567" w:rsidP="00CE3B64">
            <w:pPr>
              <w:jc w:val="both"/>
            </w:pPr>
            <w:r>
              <w:t xml:space="preserve">Revisar la política establecida por la Gerencia para amortización de estos inventarios y el registro contable de dicha amortización. </w:t>
            </w:r>
          </w:p>
        </w:tc>
        <w:tc>
          <w:tcPr>
            <w:tcW w:w="1953" w:type="dxa"/>
          </w:tcPr>
          <w:p w14:paraId="2F9B9051" w14:textId="77777777" w:rsidR="008B7567" w:rsidRDefault="00297A83" w:rsidP="00CE3B64">
            <w:pPr>
              <w:jc w:val="both"/>
            </w:pPr>
            <w:r>
              <w:t>Existencia</w:t>
            </w:r>
          </w:p>
          <w:p w14:paraId="0E74D5E3" w14:textId="77777777" w:rsidR="00297A83" w:rsidRDefault="00297A83" w:rsidP="00CE3B64">
            <w:pPr>
              <w:jc w:val="both"/>
            </w:pPr>
            <w:r>
              <w:t xml:space="preserve">Exactitud </w:t>
            </w:r>
          </w:p>
          <w:p w14:paraId="6B62B0E0" w14:textId="73F8BD0F" w:rsidR="00297A83" w:rsidRDefault="00297A83" w:rsidP="00CE3B64">
            <w:pPr>
              <w:jc w:val="both"/>
            </w:pPr>
            <w:r>
              <w:t>Valuación</w:t>
            </w:r>
          </w:p>
        </w:tc>
        <w:tc>
          <w:tcPr>
            <w:tcW w:w="1273" w:type="dxa"/>
          </w:tcPr>
          <w:p w14:paraId="4688F18F" w14:textId="02896134" w:rsidR="008B7567" w:rsidRDefault="008B7567" w:rsidP="00CE3B64">
            <w:pPr>
              <w:jc w:val="both"/>
            </w:pPr>
          </w:p>
        </w:tc>
      </w:tr>
      <w:tr w:rsidR="008B7567" w14:paraId="367E3FA8" w14:textId="0EA7E161" w:rsidTr="008B7567">
        <w:tc>
          <w:tcPr>
            <w:tcW w:w="5524" w:type="dxa"/>
          </w:tcPr>
          <w:p w14:paraId="56691A71" w14:textId="77777777" w:rsidR="00297A83" w:rsidRDefault="008B7567" w:rsidP="00CE3B64">
            <w:pPr>
              <w:jc w:val="both"/>
            </w:pPr>
            <w:r>
              <w:t xml:space="preserve">Regularización legal y tributaria del pago de lunch </w:t>
            </w:r>
          </w:p>
          <w:p w14:paraId="3881C1D4" w14:textId="77777777" w:rsidR="00297A83" w:rsidRDefault="00297A83" w:rsidP="00CE3B64">
            <w:pPr>
              <w:jc w:val="both"/>
            </w:pPr>
          </w:p>
          <w:p w14:paraId="3F1B35ED" w14:textId="77777777" w:rsidR="00297A83" w:rsidRDefault="00297A83" w:rsidP="00CE3B64">
            <w:pPr>
              <w:jc w:val="both"/>
            </w:pPr>
          </w:p>
          <w:p w14:paraId="54F786EA" w14:textId="77777777" w:rsidR="00297A83" w:rsidRDefault="00297A83" w:rsidP="00CE3B64">
            <w:pPr>
              <w:jc w:val="both"/>
            </w:pPr>
          </w:p>
          <w:p w14:paraId="06699094" w14:textId="77777777" w:rsidR="00297A83" w:rsidRDefault="00297A83" w:rsidP="00CE3B64">
            <w:pPr>
              <w:jc w:val="both"/>
            </w:pPr>
          </w:p>
          <w:p w14:paraId="0AAABC99" w14:textId="77777777" w:rsidR="00297A83" w:rsidRDefault="00297A83" w:rsidP="00CE3B64">
            <w:pPr>
              <w:jc w:val="both"/>
            </w:pPr>
          </w:p>
          <w:p w14:paraId="0B80291D" w14:textId="61FCD8EE" w:rsidR="008B7567" w:rsidRDefault="00297A83" w:rsidP="00CE3B64">
            <w:pPr>
              <w:jc w:val="both"/>
            </w:pPr>
            <w:r>
              <w:t>D</w:t>
            </w:r>
            <w:r w:rsidR="008B7567">
              <w:t>espidos intempestivos de trabajadores</w:t>
            </w:r>
            <w:r>
              <w:t xml:space="preserve"> debido a la reducción de ingresos causada por la cuarentena</w:t>
            </w:r>
          </w:p>
        </w:tc>
        <w:tc>
          <w:tcPr>
            <w:tcW w:w="5244" w:type="dxa"/>
          </w:tcPr>
          <w:p w14:paraId="60F98B5F" w14:textId="7E7F00AC" w:rsidR="008B7567" w:rsidRDefault="008B7567" w:rsidP="00CE3B64">
            <w:pPr>
              <w:jc w:val="both"/>
            </w:pPr>
            <w:r>
              <w:lastRenderedPageBreak/>
              <w:t xml:space="preserve">En </w:t>
            </w:r>
            <w:r w:rsidR="00297A83">
              <w:t>las pruebas</w:t>
            </w:r>
            <w:r>
              <w:t xml:space="preserve"> de “Sueldos y </w:t>
            </w:r>
            <w:r w:rsidR="00297A83">
              <w:t xml:space="preserve">beneficios” revisaremos todas </w:t>
            </w:r>
            <w:r>
              <w:t xml:space="preserve">las actas de finiquito de los trabajadores despedidos </w:t>
            </w:r>
            <w:r w:rsidR="00297A83">
              <w:t>para confirmar</w:t>
            </w:r>
            <w:r>
              <w:t xml:space="preserve"> que se hayan efectuado de acuerdo con la normativa laboral vigente.</w:t>
            </w:r>
          </w:p>
          <w:p w14:paraId="1F3A07A8" w14:textId="10448B21" w:rsidR="008B7567" w:rsidRDefault="008B7567" w:rsidP="00CE3B64">
            <w:pPr>
              <w:jc w:val="both"/>
            </w:pPr>
          </w:p>
          <w:p w14:paraId="4EB5FB80" w14:textId="085321B8" w:rsidR="008B7567" w:rsidRDefault="008B7567" w:rsidP="00CE3B64">
            <w:pPr>
              <w:jc w:val="both"/>
            </w:pPr>
            <w:r>
              <w:t>También realizaremos revisión específica del pago de lunch a trabajadores, durante este año, para revisar su tratamiento contable y laboral. Verificaremos que cualquier ajuste que deba realizarse quede registrado en el 2020</w:t>
            </w:r>
          </w:p>
        </w:tc>
        <w:tc>
          <w:tcPr>
            <w:tcW w:w="1953" w:type="dxa"/>
          </w:tcPr>
          <w:p w14:paraId="6B12BA47" w14:textId="1CFFF784" w:rsidR="008B7567" w:rsidRDefault="00297A83" w:rsidP="00CE3B64">
            <w:pPr>
              <w:jc w:val="both"/>
            </w:pPr>
            <w:r>
              <w:lastRenderedPageBreak/>
              <w:t>Exactitud</w:t>
            </w:r>
          </w:p>
          <w:p w14:paraId="22C73682" w14:textId="3C1B1939" w:rsidR="00297A83" w:rsidRDefault="00297A83" w:rsidP="00CE3B64">
            <w:pPr>
              <w:jc w:val="both"/>
            </w:pPr>
            <w:r>
              <w:t>Derechos y obligaciones</w:t>
            </w:r>
          </w:p>
          <w:p w14:paraId="76A375B9" w14:textId="77E82820" w:rsidR="00297A83" w:rsidRDefault="00297A83" w:rsidP="00CE3B64">
            <w:pPr>
              <w:jc w:val="both"/>
            </w:pPr>
          </w:p>
          <w:p w14:paraId="20583F73" w14:textId="7486E0F0" w:rsidR="00297A83" w:rsidRDefault="00297A83" w:rsidP="00CE3B64">
            <w:pPr>
              <w:jc w:val="both"/>
            </w:pPr>
          </w:p>
          <w:p w14:paraId="75703FEF" w14:textId="6E51B1A0" w:rsidR="00297A83" w:rsidRDefault="00297A83" w:rsidP="00CE3B64">
            <w:pPr>
              <w:jc w:val="both"/>
            </w:pPr>
          </w:p>
          <w:p w14:paraId="4F18466D" w14:textId="22C60248" w:rsidR="00297A83" w:rsidRDefault="00297A83" w:rsidP="00CE3B64">
            <w:pPr>
              <w:jc w:val="both"/>
            </w:pPr>
            <w:r>
              <w:t>Exactitud</w:t>
            </w:r>
          </w:p>
          <w:p w14:paraId="5D4E3E10" w14:textId="5BC0BA93" w:rsidR="00297A83" w:rsidRPr="00297A83" w:rsidRDefault="00297A83" w:rsidP="00036740">
            <w:pPr>
              <w:jc w:val="both"/>
            </w:pPr>
            <w:r>
              <w:t>Derechos y obligaciones</w:t>
            </w:r>
          </w:p>
        </w:tc>
        <w:tc>
          <w:tcPr>
            <w:tcW w:w="1273" w:type="dxa"/>
          </w:tcPr>
          <w:p w14:paraId="597E0554" w14:textId="442868EE" w:rsidR="008B7567" w:rsidRDefault="008B7567" w:rsidP="00CE3B64">
            <w:pPr>
              <w:jc w:val="both"/>
            </w:pPr>
          </w:p>
        </w:tc>
      </w:tr>
      <w:tr w:rsidR="008B7567" w14:paraId="7D4F70E2" w14:textId="65C3A39A" w:rsidTr="008B7567">
        <w:tc>
          <w:tcPr>
            <w:tcW w:w="5524" w:type="dxa"/>
          </w:tcPr>
          <w:p w14:paraId="03C0DFB0" w14:textId="084D74CD" w:rsidR="008B7567" w:rsidRDefault="008B7567" w:rsidP="00CE3B64">
            <w:pPr>
              <w:jc w:val="both"/>
            </w:pPr>
            <w:r>
              <w:t>Provisión de vacaciones que ya no se realiza mensualmente</w:t>
            </w:r>
          </w:p>
        </w:tc>
        <w:tc>
          <w:tcPr>
            <w:tcW w:w="5244" w:type="dxa"/>
          </w:tcPr>
          <w:p w14:paraId="1952172A" w14:textId="4A348EB7" w:rsidR="008B7567" w:rsidRDefault="008B7567" w:rsidP="00CE3B64">
            <w:pPr>
              <w:jc w:val="both"/>
            </w:pPr>
            <w:r>
              <w:t>Revisaremos que a fin de año se realice el ajuste por la provisión de vacaciones devengadas y no gozadas solicitando a la Gerencia el cuadro de vacaciones pendientes de trabajadores al cierre del ejercicio</w:t>
            </w:r>
          </w:p>
        </w:tc>
        <w:tc>
          <w:tcPr>
            <w:tcW w:w="1953" w:type="dxa"/>
          </w:tcPr>
          <w:p w14:paraId="550B3009" w14:textId="77777777" w:rsidR="008B7567" w:rsidRDefault="00297A83" w:rsidP="00CE3B64">
            <w:pPr>
              <w:jc w:val="both"/>
            </w:pPr>
            <w:r>
              <w:t>Exactitud</w:t>
            </w:r>
          </w:p>
          <w:p w14:paraId="1095B339" w14:textId="77777777" w:rsidR="00297A83" w:rsidRDefault="00297A83" w:rsidP="00CE3B64">
            <w:pPr>
              <w:jc w:val="both"/>
            </w:pPr>
            <w:r>
              <w:t>Derechos y obligaciones</w:t>
            </w:r>
          </w:p>
          <w:p w14:paraId="7CD3B71A" w14:textId="6FD8658C" w:rsidR="00D046BE" w:rsidRDefault="00D046BE" w:rsidP="00CE3B64">
            <w:pPr>
              <w:jc w:val="both"/>
            </w:pPr>
            <w:r>
              <w:t>Corte</w:t>
            </w:r>
          </w:p>
        </w:tc>
        <w:tc>
          <w:tcPr>
            <w:tcW w:w="1273" w:type="dxa"/>
          </w:tcPr>
          <w:p w14:paraId="1D68344C" w14:textId="1DAFD038" w:rsidR="008B7567" w:rsidRDefault="008B7567" w:rsidP="00CE3B64">
            <w:pPr>
              <w:jc w:val="both"/>
            </w:pPr>
          </w:p>
        </w:tc>
      </w:tr>
      <w:tr w:rsidR="008B7567" w14:paraId="354D3FF5" w14:textId="77777777" w:rsidTr="008B7567">
        <w:tc>
          <w:tcPr>
            <w:tcW w:w="5524" w:type="dxa"/>
          </w:tcPr>
          <w:p w14:paraId="0DA68597" w14:textId="113FAA38" w:rsidR="008B7567" w:rsidRDefault="008B7567" w:rsidP="00CE3B64">
            <w:pPr>
              <w:jc w:val="both"/>
            </w:pPr>
            <w:r>
              <w:t>No están amortizando mensualmente las primas de seguros pagados por anticipado correspondientes al año 2020</w:t>
            </w:r>
          </w:p>
        </w:tc>
        <w:tc>
          <w:tcPr>
            <w:tcW w:w="5244" w:type="dxa"/>
          </w:tcPr>
          <w:p w14:paraId="485FBD3C" w14:textId="76D37EA4" w:rsidR="008B7567" w:rsidRDefault="008B7567" w:rsidP="00CE3B64">
            <w:pPr>
              <w:jc w:val="both"/>
            </w:pPr>
            <w:r>
              <w:t>Revisaremos que a fin de año se registre la amortización de estas primas de seguros</w:t>
            </w:r>
          </w:p>
        </w:tc>
        <w:tc>
          <w:tcPr>
            <w:tcW w:w="1953" w:type="dxa"/>
          </w:tcPr>
          <w:p w14:paraId="3C95F1E6" w14:textId="5BBC9D00" w:rsidR="008B7567" w:rsidRDefault="00297A83" w:rsidP="00CE3B64">
            <w:pPr>
              <w:jc w:val="both"/>
            </w:pPr>
            <w:r>
              <w:t>Exactitud</w:t>
            </w:r>
          </w:p>
          <w:p w14:paraId="6DDFEDA0" w14:textId="05771CFC" w:rsidR="00D046BE" w:rsidRDefault="00D046BE" w:rsidP="00CE3B64">
            <w:pPr>
              <w:jc w:val="both"/>
            </w:pPr>
            <w:r>
              <w:t>Corte</w:t>
            </w:r>
          </w:p>
          <w:p w14:paraId="4AB3BC9A" w14:textId="6EB53F79" w:rsidR="00297A83" w:rsidRDefault="00D046BE" w:rsidP="00CE3B64">
            <w:pPr>
              <w:jc w:val="both"/>
            </w:pPr>
            <w:r>
              <w:t>Derechos y obligaciones</w:t>
            </w:r>
          </w:p>
        </w:tc>
        <w:tc>
          <w:tcPr>
            <w:tcW w:w="1273" w:type="dxa"/>
          </w:tcPr>
          <w:p w14:paraId="1BEB84AA" w14:textId="61245A94" w:rsidR="008B7567" w:rsidRDefault="008B7567" w:rsidP="00CE3B64">
            <w:pPr>
              <w:jc w:val="both"/>
            </w:pPr>
          </w:p>
        </w:tc>
      </w:tr>
    </w:tbl>
    <w:p w14:paraId="0CDF8F83" w14:textId="7791583F" w:rsidR="00CE3B64" w:rsidRDefault="00CE3B64"/>
    <w:p w14:paraId="1DF369EA" w14:textId="76508E33" w:rsidR="00CE3B64" w:rsidRDefault="00092BE5" w:rsidP="00036740">
      <w:pPr>
        <w:jc w:val="both"/>
      </w:pPr>
      <w:r>
        <w:t xml:space="preserve">NOTA – En el </w:t>
      </w:r>
      <w:r w:rsidRPr="00036740">
        <w:rPr>
          <w:color w:val="FF0000"/>
          <w:sz w:val="28"/>
          <w:szCs w:val="28"/>
        </w:rPr>
        <w:t>PT 4003</w:t>
      </w:r>
      <w:r w:rsidRPr="00036740">
        <w:rPr>
          <w:color w:val="FF0000"/>
        </w:rPr>
        <w:t xml:space="preserve"> </w:t>
      </w:r>
      <w:r>
        <w:t>detallamos las pruebas y procedimientos esenciales de auditoria que realizaremos en cada una de las áreas de los estados financieros.</w:t>
      </w:r>
    </w:p>
    <w:p w14:paraId="1C56E836" w14:textId="20AFF0A7" w:rsidR="004A2504" w:rsidRDefault="00036740" w:rsidP="00036740">
      <w:pPr>
        <w:spacing w:after="0"/>
      </w:pPr>
      <w:r>
        <w:t>Preparado por: Carlos G Almeida, Socio</w:t>
      </w:r>
    </w:p>
    <w:p w14:paraId="18AFF696" w14:textId="5B201360" w:rsidR="00036740" w:rsidRDefault="00036740" w:rsidP="00036740">
      <w:pPr>
        <w:spacing w:after="0"/>
      </w:pPr>
      <w:r>
        <w:t>Fecha: 25 de noviembre del 2020</w:t>
      </w:r>
    </w:p>
    <w:p w14:paraId="47924C17" w14:textId="77777777" w:rsidR="00036740" w:rsidRPr="004A2504" w:rsidRDefault="00036740" w:rsidP="004A2504"/>
    <w:p w14:paraId="0C74ACAA" w14:textId="7310BBAA" w:rsidR="004A2504" w:rsidRPr="004A2504" w:rsidRDefault="004A2504" w:rsidP="004A2504"/>
    <w:p w14:paraId="63FC54A7" w14:textId="62487A16" w:rsidR="004A2504" w:rsidRPr="004A2504" w:rsidRDefault="004A2504" w:rsidP="004A2504"/>
    <w:p w14:paraId="11807BA8" w14:textId="09149175" w:rsidR="004A2504" w:rsidRPr="004A2504" w:rsidRDefault="004A2504" w:rsidP="004A2504">
      <w:pPr>
        <w:tabs>
          <w:tab w:val="left" w:pos="1365"/>
        </w:tabs>
      </w:pPr>
      <w:r>
        <w:tab/>
      </w:r>
    </w:p>
    <w:sectPr w:rsidR="004A2504" w:rsidRPr="004A2504" w:rsidSect="00CE3B64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A4874" w14:textId="77777777" w:rsidR="009B5DC8" w:rsidRDefault="009B5DC8" w:rsidP="00CE3B64">
      <w:pPr>
        <w:spacing w:after="0" w:line="240" w:lineRule="auto"/>
      </w:pPr>
      <w:r>
        <w:separator/>
      </w:r>
    </w:p>
  </w:endnote>
  <w:endnote w:type="continuationSeparator" w:id="0">
    <w:p w14:paraId="7009E979" w14:textId="77777777" w:rsidR="009B5DC8" w:rsidRDefault="009B5DC8" w:rsidP="00CE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980F5" w14:textId="37E15D30" w:rsidR="00297A83" w:rsidRDefault="008B7567">
    <w:pPr>
      <w:pStyle w:val="Footer"/>
      <w:rPr>
        <w:b/>
        <w:bCs/>
        <w:i/>
        <w:iCs/>
        <w:sz w:val="24"/>
        <w:szCs w:val="24"/>
      </w:rPr>
    </w:pPr>
    <w:r w:rsidRPr="00297A83">
      <w:rPr>
        <w:b/>
        <w:bCs/>
        <w:i/>
        <w:iCs/>
        <w:sz w:val="24"/>
        <w:szCs w:val="24"/>
      </w:rPr>
      <w:t>Aseveraciones</w:t>
    </w:r>
    <w:r w:rsidR="004A2504">
      <w:rPr>
        <w:b/>
        <w:bCs/>
        <w:i/>
        <w:iCs/>
        <w:sz w:val="24"/>
        <w:szCs w:val="24"/>
      </w:rPr>
      <w:t xml:space="preserve"> de los estados financieros</w:t>
    </w:r>
    <w:r w:rsidRPr="00297A83">
      <w:rPr>
        <w:b/>
        <w:bCs/>
        <w:i/>
        <w:iCs/>
        <w:sz w:val="24"/>
        <w:szCs w:val="24"/>
      </w:rPr>
      <w:t xml:space="preserve">: </w:t>
    </w:r>
  </w:p>
  <w:p w14:paraId="3593BB28" w14:textId="4EDBC536" w:rsidR="008B7567" w:rsidRPr="00297A83" w:rsidRDefault="003A7E9F">
    <w:pPr>
      <w:pStyle w:val="Footer"/>
      <w:rPr>
        <w:b/>
        <w:bCs/>
        <w:i/>
        <w:iCs/>
        <w:sz w:val="24"/>
        <w:szCs w:val="24"/>
      </w:rPr>
    </w:pPr>
    <w:r w:rsidRPr="00297A83">
      <w:rPr>
        <w:b/>
        <w:bCs/>
        <w:i/>
        <w:iCs/>
        <w:sz w:val="24"/>
        <w:szCs w:val="24"/>
      </w:rPr>
      <w:t xml:space="preserve">EV = Exactitud y valuación, C = Corte, </w:t>
    </w:r>
    <w:r w:rsidR="00297A83" w:rsidRPr="00297A83">
      <w:rPr>
        <w:b/>
        <w:bCs/>
        <w:i/>
        <w:iCs/>
        <w:sz w:val="24"/>
        <w:szCs w:val="24"/>
      </w:rPr>
      <w:t xml:space="preserve">DO = Derechos y obligaciones, </w:t>
    </w:r>
    <w:r w:rsidR="008B7567" w:rsidRPr="00297A83">
      <w:rPr>
        <w:b/>
        <w:bCs/>
        <w:i/>
        <w:iCs/>
        <w:sz w:val="24"/>
        <w:szCs w:val="24"/>
      </w:rPr>
      <w:t>I = Integridad</w:t>
    </w:r>
    <w:r w:rsidRPr="00297A83">
      <w:rPr>
        <w:b/>
        <w:bCs/>
        <w:i/>
        <w:iCs/>
        <w:sz w:val="24"/>
        <w:szCs w:val="24"/>
      </w:rPr>
      <w:t>,</w:t>
    </w:r>
    <w:r w:rsidR="008B7567" w:rsidRPr="00297A83">
      <w:rPr>
        <w:b/>
        <w:bCs/>
        <w:i/>
        <w:iCs/>
        <w:sz w:val="24"/>
        <w:szCs w:val="24"/>
      </w:rPr>
      <w:t xml:space="preserve"> E = Existencia, P = Presentación, </w:t>
    </w:r>
    <w:proofErr w:type="spellStart"/>
    <w:r w:rsidR="00297A83" w:rsidRPr="00297A83">
      <w:rPr>
        <w:b/>
        <w:bCs/>
        <w:i/>
        <w:iCs/>
        <w:sz w:val="24"/>
        <w:szCs w:val="24"/>
      </w:rPr>
      <w:t>All</w:t>
    </w:r>
    <w:proofErr w:type="spellEnd"/>
    <w:r w:rsidR="00297A83" w:rsidRPr="00297A83">
      <w:rPr>
        <w:b/>
        <w:bCs/>
        <w:i/>
        <w:iCs/>
        <w:sz w:val="24"/>
        <w:szCs w:val="24"/>
      </w:rPr>
      <w:t xml:space="preserve"> = Todas las aseveraciones</w:t>
    </w:r>
  </w:p>
  <w:p w14:paraId="636BB373" w14:textId="77777777" w:rsidR="008B7567" w:rsidRDefault="008B7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9D5E1" w14:textId="77777777" w:rsidR="009B5DC8" w:rsidRDefault="009B5DC8" w:rsidP="00CE3B64">
      <w:pPr>
        <w:spacing w:after="0" w:line="240" w:lineRule="auto"/>
      </w:pPr>
      <w:r>
        <w:separator/>
      </w:r>
    </w:p>
  </w:footnote>
  <w:footnote w:type="continuationSeparator" w:id="0">
    <w:p w14:paraId="5EED469B" w14:textId="77777777" w:rsidR="009B5DC8" w:rsidRDefault="009B5DC8" w:rsidP="00CE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51AC0" w14:textId="362978AC" w:rsidR="005F76DB" w:rsidRPr="00BD50FD" w:rsidRDefault="00030504">
    <w:pPr>
      <w:pStyle w:val="Header"/>
      <w:rPr>
        <w:u w:val="single"/>
      </w:rPr>
    </w:pPr>
    <w:r>
      <w:rPr>
        <w:u w:val="single"/>
      </w:rPr>
      <w:t>SERVICIOS TELCODATA</w:t>
    </w:r>
    <w:r w:rsidR="005F76DB" w:rsidRPr="00BD50FD">
      <w:rPr>
        <w:u w:val="single"/>
      </w:rPr>
      <w:t xml:space="preserve"> S.A.</w:t>
    </w:r>
  </w:p>
  <w:p w14:paraId="0A8907C1" w14:textId="0A0FBCE0" w:rsidR="005F76DB" w:rsidRDefault="005F76DB">
    <w:pPr>
      <w:pStyle w:val="Header"/>
    </w:pPr>
    <w:r>
      <w:t>PLAN DE AUDITORIA EN RESPUESTA A RIESGOS IDENTIFICADOS</w:t>
    </w:r>
  </w:p>
  <w:p w14:paraId="711ECE88" w14:textId="229C9563" w:rsidR="005F76DB" w:rsidRDefault="005F76DB">
    <w:pPr>
      <w:pStyle w:val="Header"/>
    </w:pPr>
    <w:r>
      <w:t>Al 31 de diciembre del 2020</w:t>
    </w:r>
  </w:p>
  <w:p w14:paraId="6C1BAF62" w14:textId="7D243A2F" w:rsidR="008B7567" w:rsidRDefault="008B7567">
    <w:pPr>
      <w:pStyle w:val="Header"/>
    </w:pPr>
  </w:p>
  <w:tbl>
    <w:tblPr>
      <w:tblStyle w:val="TableGrid"/>
      <w:tblW w:w="13994" w:type="dxa"/>
      <w:tblLook w:val="04A0" w:firstRow="1" w:lastRow="0" w:firstColumn="1" w:lastColumn="0" w:noHBand="0" w:noVBand="1"/>
    </w:tblPr>
    <w:tblGrid>
      <w:gridCol w:w="5524"/>
      <w:gridCol w:w="5244"/>
      <w:gridCol w:w="1953"/>
      <w:gridCol w:w="1273"/>
    </w:tblGrid>
    <w:tr w:rsidR="008B7567" w:rsidRPr="00CE3B64" w14:paraId="5241B589" w14:textId="77777777" w:rsidTr="00FE4E94">
      <w:tc>
        <w:tcPr>
          <w:tcW w:w="5524" w:type="dxa"/>
        </w:tcPr>
        <w:p w14:paraId="66984534" w14:textId="77777777" w:rsidR="008B7567" w:rsidRPr="00CE3B64" w:rsidRDefault="008B7567" w:rsidP="008B7567">
          <w:pPr>
            <w:jc w:val="center"/>
            <w:rPr>
              <w:b/>
              <w:bCs/>
            </w:rPr>
          </w:pPr>
          <w:r w:rsidRPr="00CE3B64">
            <w:rPr>
              <w:b/>
              <w:bCs/>
            </w:rPr>
            <w:t>Riesgos identificados</w:t>
          </w:r>
        </w:p>
      </w:tc>
      <w:tc>
        <w:tcPr>
          <w:tcW w:w="5244" w:type="dxa"/>
        </w:tcPr>
        <w:p w14:paraId="7AA3C191" w14:textId="6582D5F6" w:rsidR="008B7567" w:rsidRPr="00CE3B64" w:rsidRDefault="008B7567" w:rsidP="008B7567">
          <w:pPr>
            <w:jc w:val="center"/>
            <w:rPr>
              <w:b/>
              <w:bCs/>
            </w:rPr>
          </w:pPr>
          <w:r w:rsidRPr="00CE3B64">
            <w:rPr>
              <w:b/>
              <w:bCs/>
            </w:rPr>
            <w:t>Nuestra respuesta</w:t>
          </w:r>
          <w:r w:rsidR="003A7E9F">
            <w:rPr>
              <w:b/>
              <w:bCs/>
            </w:rPr>
            <w:t xml:space="preserve"> de auditoria </w:t>
          </w:r>
        </w:p>
      </w:tc>
      <w:tc>
        <w:tcPr>
          <w:tcW w:w="1953" w:type="dxa"/>
        </w:tcPr>
        <w:p w14:paraId="7745C42B" w14:textId="77777777" w:rsidR="008B7567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Aseveraciones</w:t>
          </w:r>
        </w:p>
        <w:p w14:paraId="4A83A66C" w14:textId="77777777" w:rsidR="008B7567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asociadas</w:t>
          </w:r>
        </w:p>
      </w:tc>
      <w:tc>
        <w:tcPr>
          <w:tcW w:w="1273" w:type="dxa"/>
        </w:tcPr>
        <w:p w14:paraId="3794605E" w14:textId="77777777" w:rsidR="008B7567" w:rsidRPr="00CE3B64" w:rsidRDefault="008B7567" w:rsidP="008B7567">
          <w:pPr>
            <w:jc w:val="center"/>
            <w:rPr>
              <w:b/>
              <w:bCs/>
            </w:rPr>
          </w:pPr>
          <w:r>
            <w:rPr>
              <w:b/>
              <w:bCs/>
            </w:rPr>
            <w:t>Referencia a papel de trabajo</w:t>
          </w:r>
        </w:p>
      </w:tc>
    </w:tr>
  </w:tbl>
  <w:p w14:paraId="71D91961" w14:textId="77777777" w:rsidR="008B7567" w:rsidRDefault="008B7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64"/>
    <w:rsid w:val="00030504"/>
    <w:rsid w:val="00036740"/>
    <w:rsid w:val="000909AC"/>
    <w:rsid w:val="00092BE5"/>
    <w:rsid w:val="00297A83"/>
    <w:rsid w:val="002B1635"/>
    <w:rsid w:val="003A7E9F"/>
    <w:rsid w:val="0046363F"/>
    <w:rsid w:val="004A2504"/>
    <w:rsid w:val="005936D9"/>
    <w:rsid w:val="005F76DB"/>
    <w:rsid w:val="008701C7"/>
    <w:rsid w:val="008B7567"/>
    <w:rsid w:val="008D1258"/>
    <w:rsid w:val="009B1D23"/>
    <w:rsid w:val="009B5DC8"/>
    <w:rsid w:val="00B759D6"/>
    <w:rsid w:val="00BD50FD"/>
    <w:rsid w:val="00C755BA"/>
    <w:rsid w:val="00CE3B64"/>
    <w:rsid w:val="00D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D39"/>
  <w15:chartTrackingRefBased/>
  <w15:docId w15:val="{1BC19441-8175-47CB-8E50-0E95393D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B64"/>
  </w:style>
  <w:style w:type="paragraph" w:styleId="Footer">
    <w:name w:val="footer"/>
    <w:basedOn w:val="Normal"/>
    <w:link w:val="FooterChar"/>
    <w:uiPriority w:val="99"/>
    <w:unhideWhenUsed/>
    <w:rsid w:val="00C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B64"/>
  </w:style>
  <w:style w:type="table" w:styleId="TableGrid">
    <w:name w:val="Table Grid"/>
    <w:basedOn w:val="TableNormal"/>
    <w:uiPriority w:val="39"/>
    <w:rsid w:val="00CE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10</cp:revision>
  <dcterms:created xsi:type="dcterms:W3CDTF">2020-11-24T16:43:00Z</dcterms:created>
  <dcterms:modified xsi:type="dcterms:W3CDTF">2021-02-23T18:01:00Z</dcterms:modified>
</cp:coreProperties>
</file>