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80F2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t>SERVICIOS TELCODATA S.A</w:t>
      </w:r>
    </w:p>
    <w:p w14:paraId="15906C3A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(Quito - Ecuador)</w:t>
      </w:r>
    </w:p>
    <w:p w14:paraId="6094BC45" w14:textId="77777777" w:rsidR="00285AE1" w:rsidRPr="00C40F80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Situación Financiera</w:t>
      </w:r>
    </w:p>
    <w:p w14:paraId="45077CAE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4B470257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bookmarkStart w:id="0" w:name="_Hlk69734774"/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7E31A95B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bookmarkEnd w:id="0"/>
    <w:p w14:paraId="523AFB86" w14:textId="77777777" w:rsidR="00285AE1" w:rsidRPr="00AE275B" w:rsidRDefault="00285AE1" w:rsidP="00285AE1">
      <w:pPr>
        <w:spacing w:after="0"/>
        <w:ind w:right="141"/>
        <w:rPr>
          <w:rFonts w:ascii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  <w:lang w:eastAsia="es-EC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22D613" wp14:editId="027B9576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57600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3B78C" id="Conector rec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page" from="0,1pt" to="453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14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2"/>
        <w:gridCol w:w="160"/>
        <w:gridCol w:w="709"/>
        <w:gridCol w:w="265"/>
        <w:gridCol w:w="1119"/>
        <w:gridCol w:w="160"/>
        <w:gridCol w:w="989"/>
      </w:tblGrid>
      <w:tr w:rsidR="00285AE1" w:rsidRPr="0018200A" w14:paraId="0DCD91DB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01A1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50EF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AE45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64DE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B56384E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EF6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807321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18200A" w14:paraId="11CBF0CA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1425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BF8C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2A71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Notas</w:t>
            </w: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189F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72DA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E9CB0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DB09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285AE1" w:rsidRPr="0018200A" w14:paraId="6FBA6CD2" w14:textId="77777777" w:rsidTr="00A84717">
        <w:trPr>
          <w:trHeight w:val="33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132B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4C08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AA72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42B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91AE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9423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E2A5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723EE250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D96B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CEAE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DD2F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2A57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3BE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5565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D317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ED6C5D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D199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B798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197B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539D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9C7F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880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2FD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7B2170A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B3E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64C2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3A7AB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4138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D012B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2.679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2CF7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F252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3.672</w:t>
            </w:r>
          </w:p>
        </w:tc>
      </w:tr>
      <w:tr w:rsidR="00285AE1" w:rsidRPr="0018200A" w14:paraId="4E8556BD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ACF6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Deudores comerciales y otras cuentas por cobrar, neto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40A5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CC72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C176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A396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244.311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9421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8669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334.829</w:t>
            </w:r>
          </w:p>
        </w:tc>
      </w:tr>
      <w:tr w:rsidR="00285AE1" w:rsidRPr="0018200A" w14:paraId="25BE39BC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D66A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Inventarios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E8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69306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35A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D4345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221.771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A897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8FE3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81.714</w:t>
            </w:r>
          </w:p>
        </w:tc>
      </w:tr>
      <w:tr w:rsidR="00285AE1" w:rsidRPr="0018200A" w14:paraId="52C25202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9B78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Activos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3059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A779A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B318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F8C990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114.096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95CF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50971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137.808</w:t>
            </w:r>
          </w:p>
        </w:tc>
      </w:tr>
      <w:tr w:rsidR="00285AE1" w:rsidRPr="0018200A" w14:paraId="67B847C8" w14:textId="77777777" w:rsidTr="00A84717">
        <w:trPr>
          <w:trHeight w:val="7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0F72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activos corrientes y total activos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6B0F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FE219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C847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089D2B8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582.857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C9F4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398606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558.023 </w:t>
            </w:r>
          </w:p>
        </w:tc>
      </w:tr>
      <w:tr w:rsidR="00285AE1" w:rsidRPr="0018200A" w14:paraId="5132D59C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6AC1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5699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0A144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79E9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D095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BFE7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EB78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285AE1" w:rsidRPr="0018200A" w14:paraId="4E516428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9A44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0132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AC2EF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4E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067D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B55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87A1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A276A33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C202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A7F4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11A4A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A408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B5FD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9072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3949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26DCDA77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1F32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AFE9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57013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9497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5304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9F4E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04F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F0D8829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5D37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Acreedores comerciales y otras cuentas por pagar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D18C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B45E8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5C30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A78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FF62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52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23.852</w:t>
            </w:r>
          </w:p>
        </w:tc>
      </w:tr>
      <w:tr w:rsidR="00285AE1" w:rsidRPr="0018200A" w14:paraId="3F143CFB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5DD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Otras cuentas por pagar relacionadas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4FB5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BC97E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DD52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6B54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5072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E3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104.454</w:t>
            </w:r>
          </w:p>
        </w:tc>
      </w:tr>
      <w:tr w:rsidR="00285AE1" w:rsidRPr="0018200A" w14:paraId="459078BD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42EB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Pasivos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111E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88238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853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B2739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1.213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995E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C909F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1.406</w:t>
            </w:r>
          </w:p>
        </w:tc>
      </w:tr>
      <w:tr w:rsidR="00285AE1" w:rsidRPr="0018200A" w14:paraId="6080B7D7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4B7F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pasivos corrientes y total pasivos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329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641A1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0C03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9CBBCA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1.213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11A1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32228B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129.712</w:t>
            </w:r>
          </w:p>
        </w:tc>
      </w:tr>
      <w:tr w:rsidR="00285AE1" w:rsidRPr="0018200A" w14:paraId="5D4AAFE6" w14:textId="77777777" w:rsidTr="00A84717">
        <w:trPr>
          <w:trHeight w:val="5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984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2FE1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9565F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35AF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4DDF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5183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EBFA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40760DFB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AE2A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6AB5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7EDB0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650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FCE6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E639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F82B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52D8873F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320D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EA21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DB7C8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042B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BE56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D985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9D9E3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</w:tr>
      <w:tr w:rsidR="00285AE1" w:rsidRPr="0018200A" w14:paraId="325B875B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550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Capital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0B36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F74E6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4666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98F3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8900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AC60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2AB1EAB0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48A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Reserva legal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770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8E124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2293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549CD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D174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429B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</w:tr>
      <w:tr w:rsidR="00285AE1" w:rsidRPr="0018200A" w14:paraId="5052CAA6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5302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Reserva de capital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5870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94A12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B4F0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4C6F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1EDB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A36BD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</w:tr>
      <w:tr w:rsidR="00285AE1" w:rsidRPr="0018200A" w14:paraId="7173994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521E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Resultados acumulados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2DF2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7D082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6D01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A89B30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215.059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722D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F0442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61.726</w:t>
            </w:r>
          </w:p>
        </w:tc>
      </w:tr>
      <w:tr w:rsidR="00285AE1" w:rsidRPr="0018200A" w14:paraId="31275C9D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B53F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00BC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1D42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886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190AB2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581.644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3070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D318E2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428.311</w:t>
            </w:r>
          </w:p>
        </w:tc>
      </w:tr>
      <w:tr w:rsidR="00285AE1" w:rsidRPr="0018200A" w14:paraId="759BF83B" w14:textId="77777777" w:rsidTr="00A84717">
        <w:trPr>
          <w:trHeight w:val="5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8C2D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pasivos y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7506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35B6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640C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D0F64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4DAA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C5495B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7B8ED6E8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1D77CA4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2D56AE2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407228A2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68DA218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2906B5B" w14:textId="77777777" w:rsidR="00285AE1" w:rsidRPr="00C40F80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</w:p>
    <w:p w14:paraId="6973469E" w14:textId="77777777" w:rsidR="00285AE1" w:rsidRPr="00C40F80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C40F80">
        <w:rPr>
          <w:rFonts w:ascii="Futura Std Light" w:hAnsi="Futura Std Light" w:cs="Arial"/>
          <w:sz w:val="20"/>
          <w:szCs w:val="20"/>
        </w:rPr>
        <w:tab/>
        <w:t>Econ. Javier Galarza</w:t>
      </w:r>
      <w:r w:rsidRPr="00C40F80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0668FCF5" w14:textId="77777777" w:rsidR="00285AE1" w:rsidRPr="00C40F80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C40F80">
        <w:rPr>
          <w:rFonts w:ascii="Futura Std Light" w:hAnsi="Futura Std Light" w:cs="Arial"/>
          <w:sz w:val="20"/>
          <w:szCs w:val="20"/>
          <w:lang w:val="es-MX"/>
        </w:rPr>
        <w:tab/>
        <w:t>Contador General</w:t>
      </w:r>
    </w:p>
    <w:p w14:paraId="04BD0984" w14:textId="77777777" w:rsidR="00285AE1" w:rsidRPr="00C40F80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322BD81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  <w:sectPr w:rsidR="00285AE1" w:rsidRPr="00AE275B" w:rsidSect="00282F39">
          <w:footerReference w:type="default" r:id="rId6"/>
          <w:pgSz w:w="11906" w:h="16838"/>
          <w:pgMar w:top="1417" w:right="991" w:bottom="1417" w:left="1418" w:header="708" w:footer="511" w:gutter="0"/>
          <w:pgNumType w:start="4"/>
          <w:cols w:space="708"/>
          <w:docGrid w:linePitch="360"/>
        </w:sectPr>
      </w:pPr>
    </w:p>
    <w:p w14:paraId="46CCF2AD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3F86B781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(Quito – Ecuador)</w:t>
      </w:r>
    </w:p>
    <w:p w14:paraId="2E3AB5D8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Resultados Integral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</w:t>
      </w:r>
    </w:p>
    <w:p w14:paraId="1D5EDB1D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5B08B17D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778DECF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1AC8906E" w14:textId="77777777" w:rsidR="00285AE1" w:rsidRPr="00937A7E" w:rsidRDefault="00285AE1" w:rsidP="00285AE1">
      <w:pPr>
        <w:pStyle w:val="A-1"/>
        <w:tabs>
          <w:tab w:val="clear" w:pos="283"/>
          <w:tab w:val="clear" w:pos="440"/>
          <w:tab w:val="clear" w:pos="580"/>
          <w:tab w:val="clear" w:pos="720"/>
          <w:tab w:val="clear" w:pos="860"/>
          <w:tab w:val="clear" w:pos="1020"/>
          <w:tab w:val="clear" w:pos="1180"/>
          <w:tab w:val="clear" w:pos="4500"/>
          <w:tab w:val="clear" w:pos="5440"/>
          <w:tab w:val="clear" w:pos="5920"/>
          <w:tab w:val="clear" w:pos="6400"/>
          <w:tab w:val="clear" w:pos="7500"/>
          <w:tab w:val="clear" w:pos="7980"/>
          <w:tab w:val="clear" w:pos="8460"/>
        </w:tabs>
        <w:jc w:val="left"/>
        <w:rPr>
          <w:rFonts w:ascii="Arial" w:hAnsi="Arial" w:cs="Arial"/>
          <w:sz w:val="10"/>
          <w:szCs w:val="10"/>
          <w:lang w:val="es-ES_tradnl" w:eastAsia="es-ES"/>
        </w:rPr>
      </w:pPr>
    </w:p>
    <w:p w14:paraId="1B599791" w14:textId="77777777" w:rsidR="00285AE1" w:rsidRPr="00AE275B" w:rsidRDefault="00285AE1" w:rsidP="00285AE1">
      <w:pPr>
        <w:spacing w:after="0"/>
        <w:ind w:right="-711"/>
        <w:rPr>
          <w:rFonts w:ascii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  <w:lang w:eastAsia="es-EC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217B66" wp14:editId="5187E65A">
                <wp:simplePos x="0" y="0"/>
                <wp:positionH relativeFrom="margin">
                  <wp:posOffset>0</wp:posOffset>
                </wp:positionH>
                <wp:positionV relativeFrom="paragraph">
                  <wp:posOffset>12699</wp:posOffset>
                </wp:positionV>
                <wp:extent cx="5796280" cy="0"/>
                <wp:effectExtent l="0" t="0" r="0" b="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54D3" id="Conector recto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pt" to="45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27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2"/>
        <w:gridCol w:w="295"/>
        <w:gridCol w:w="1124"/>
        <w:gridCol w:w="295"/>
        <w:gridCol w:w="1268"/>
        <w:gridCol w:w="295"/>
        <w:gridCol w:w="1268"/>
      </w:tblGrid>
      <w:tr w:rsidR="00285AE1" w:rsidRPr="00937A7E" w14:paraId="27A374C4" w14:textId="77777777" w:rsidTr="00A84717">
        <w:trPr>
          <w:trHeight w:val="35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853B7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07C9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91A14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Notas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4DF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78D5792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52BEB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852B2D5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937A7E" w14:paraId="3EFD63AF" w14:textId="77777777" w:rsidTr="00A84717">
        <w:trPr>
          <w:trHeight w:val="151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3F7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5D3C1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956B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FE4B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662E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DF025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2914F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937A7E" w14:paraId="5B0AA3A2" w14:textId="77777777" w:rsidTr="00A84717">
        <w:trPr>
          <w:trHeight w:val="337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5FE3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Ventas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5CB4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8FED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12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52EA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A5418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547,020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8D76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BD36C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 xml:space="preserve">     </w:t>
            </w: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565,360</w:t>
            </w:r>
          </w:p>
        </w:tc>
      </w:tr>
      <w:tr w:rsidR="00285AE1" w:rsidRPr="00937A7E" w14:paraId="78F334AB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4700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Costo de ventas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B28F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E8250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A0C1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2F47DF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 (264,271)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E43E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14FB23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(254,206)</w:t>
            </w:r>
          </w:p>
        </w:tc>
      </w:tr>
      <w:tr w:rsidR="00285AE1" w:rsidRPr="00937A7E" w14:paraId="5082BFDB" w14:textId="77777777" w:rsidTr="00A84717">
        <w:trPr>
          <w:trHeight w:val="7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84DA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Margen bruto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D551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55E05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4AE6D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43F72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282,749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2ECED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82B53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311,154</w:t>
            </w:r>
          </w:p>
        </w:tc>
      </w:tr>
      <w:tr w:rsidR="00285AE1" w:rsidRPr="00937A7E" w14:paraId="7970193A" w14:textId="77777777" w:rsidTr="00A84717">
        <w:trPr>
          <w:trHeight w:val="118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710F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1EC55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4393F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4DA7D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0FEC005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195070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2FC39D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</w:p>
        </w:tc>
      </w:tr>
      <w:tr w:rsidR="00285AE1" w:rsidRPr="00937A7E" w14:paraId="184C8525" w14:textId="77777777" w:rsidTr="00A84717">
        <w:trPr>
          <w:trHeight w:val="337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4B2F1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Gastos de administración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19E8A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0FEB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13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608C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739AD9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(84,487)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F085552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DBDE024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(148,706)</w:t>
            </w:r>
          </w:p>
        </w:tc>
      </w:tr>
      <w:tr w:rsidR="00285AE1" w:rsidRPr="00937A7E" w14:paraId="542F33C3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C9B8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Otros ingresos (egresos), neto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787F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9287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1329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4FC0C0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(1,085)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CA24810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B35E23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(120)</w:t>
            </w:r>
          </w:p>
        </w:tc>
      </w:tr>
      <w:tr w:rsidR="00285AE1" w:rsidRPr="00937A7E" w14:paraId="79A5A8D7" w14:textId="77777777" w:rsidTr="00A84717">
        <w:trPr>
          <w:trHeight w:val="13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B1E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Utilidad antes de impuesto a la renta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1F01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5472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85D7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783F0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197,177</w:t>
            </w: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D6DDF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CDC21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162,328</w:t>
            </w:r>
          </w:p>
        </w:tc>
      </w:tr>
      <w:tr w:rsidR="00285AE1" w:rsidRPr="00937A7E" w14:paraId="44AB195E" w14:textId="77777777" w:rsidTr="00A84717">
        <w:trPr>
          <w:trHeight w:val="13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B2B8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2AC5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A89EF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A40C3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32F63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DCBCD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01B10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</w:p>
        </w:tc>
      </w:tr>
      <w:tr w:rsidR="00285AE1" w:rsidRPr="00937A7E" w14:paraId="5EEF408A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8FBD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Impuesto a la renta, corriente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7F5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CC9D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 xml:space="preserve">        </w:t>
            </w: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8C3C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C893B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(43,844)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97CA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BF821C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(35,749)</w:t>
            </w:r>
          </w:p>
        </w:tc>
      </w:tr>
      <w:tr w:rsidR="00285AE1" w:rsidRPr="00937A7E" w14:paraId="4725CD12" w14:textId="77777777" w:rsidTr="00A84717">
        <w:trPr>
          <w:trHeight w:val="7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BDC3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Utilidad del año y total resultado integral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B8A36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212D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A4237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C2AE59D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153,333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7834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F338945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126,579</w:t>
            </w:r>
          </w:p>
        </w:tc>
      </w:tr>
    </w:tbl>
    <w:p w14:paraId="1038FD70" w14:textId="77777777" w:rsidR="00285AE1" w:rsidRPr="00937A7E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55F799E" w14:textId="77777777" w:rsidR="00285AE1" w:rsidRPr="00937A7E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AC98A9F" w14:textId="77777777" w:rsidR="00285AE1" w:rsidRPr="00937A7E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50D7E913" w14:textId="77777777" w:rsidR="00285AE1" w:rsidRPr="00937A7E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</w:p>
    <w:p w14:paraId="06156CBA" w14:textId="77777777" w:rsidR="00285AE1" w:rsidRPr="00937A7E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937A7E">
        <w:rPr>
          <w:rFonts w:ascii="Futura Std Light" w:hAnsi="Futura Std Light" w:cs="Arial"/>
          <w:sz w:val="20"/>
          <w:szCs w:val="20"/>
        </w:rPr>
        <w:tab/>
        <w:t>Econ. Javier Galarza</w:t>
      </w:r>
      <w:r w:rsidRPr="00937A7E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7EF8C17B" w14:textId="77777777" w:rsidR="00285AE1" w:rsidRPr="00937A7E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937A7E">
        <w:rPr>
          <w:rFonts w:ascii="Futura Std Light" w:hAnsi="Futura Std Light" w:cs="Arial"/>
          <w:sz w:val="20"/>
          <w:szCs w:val="20"/>
          <w:lang w:val="es-MX"/>
        </w:rPr>
        <w:tab/>
        <w:t>Contadora General</w:t>
      </w:r>
    </w:p>
    <w:p w14:paraId="28238871" w14:textId="77777777" w:rsidR="00285AE1" w:rsidRPr="00937A7E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</w:rPr>
      </w:pPr>
    </w:p>
    <w:p w14:paraId="76361B28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14BCD202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2AD14F99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AE77540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5C89FBD4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48EDD3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67C961B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3B6A869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01679273" w14:textId="77777777" w:rsidR="00285AE1" w:rsidRPr="00AE275B" w:rsidRDefault="00285AE1" w:rsidP="00285AE1">
      <w:pPr>
        <w:tabs>
          <w:tab w:val="left" w:pos="7740"/>
        </w:tabs>
        <w:rPr>
          <w:rFonts w:ascii="Arial" w:hAnsi="Arial" w:cs="Arial"/>
          <w:sz w:val="19"/>
          <w:szCs w:val="19"/>
        </w:rPr>
      </w:pPr>
      <w:r w:rsidRPr="00AE275B">
        <w:rPr>
          <w:rFonts w:ascii="Arial" w:hAnsi="Arial" w:cs="Arial"/>
          <w:sz w:val="19"/>
          <w:szCs w:val="19"/>
        </w:rPr>
        <w:tab/>
      </w:r>
    </w:p>
    <w:p w14:paraId="7D69F222" w14:textId="77777777" w:rsidR="00285AE1" w:rsidRDefault="00285AE1" w:rsidP="00285AE1">
      <w:pPr>
        <w:tabs>
          <w:tab w:val="left" w:pos="7740"/>
        </w:tabs>
        <w:rPr>
          <w:rFonts w:ascii="Arial" w:hAnsi="Arial" w:cs="Arial"/>
          <w:sz w:val="19"/>
          <w:szCs w:val="19"/>
        </w:rPr>
      </w:pPr>
    </w:p>
    <w:p w14:paraId="647AF092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B6BFDE9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8F8AA8F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6B424C3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7F32D7F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2725471E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C26058A" w14:textId="77777777" w:rsidR="00285AE1" w:rsidRPr="00BD36C7" w:rsidRDefault="00285AE1" w:rsidP="00285AE1">
      <w:pPr>
        <w:tabs>
          <w:tab w:val="left" w:pos="1860"/>
        </w:tabs>
        <w:rPr>
          <w:rFonts w:ascii="Arial" w:hAnsi="Arial" w:cs="Arial"/>
          <w:sz w:val="19"/>
          <w:szCs w:val="19"/>
        </w:rPr>
        <w:sectPr w:rsidR="00285AE1" w:rsidRPr="00BD36C7" w:rsidSect="00DD3B56">
          <w:footerReference w:type="default" r:id="rId7"/>
          <w:pgSz w:w="11906" w:h="16838"/>
          <w:pgMar w:top="1417" w:right="1701" w:bottom="1417" w:left="1418" w:header="708" w:footer="543" w:gutter="0"/>
          <w:cols w:space="708"/>
          <w:docGrid w:linePitch="360"/>
        </w:sectPr>
      </w:pPr>
      <w:r>
        <w:rPr>
          <w:rFonts w:ascii="Arial" w:hAnsi="Arial" w:cs="Arial"/>
          <w:sz w:val="19"/>
          <w:szCs w:val="19"/>
        </w:rPr>
        <w:tab/>
      </w:r>
    </w:p>
    <w:p w14:paraId="39AF6F73" w14:textId="77777777" w:rsidR="00285AE1" w:rsidRPr="00BD36C7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BD36C7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1A537355" w14:textId="77777777" w:rsidR="00285AE1" w:rsidRPr="00BD36C7" w:rsidRDefault="00285AE1" w:rsidP="00285AE1">
      <w:pPr>
        <w:spacing w:after="0" w:line="240" w:lineRule="auto"/>
        <w:jc w:val="center"/>
        <w:rPr>
          <w:rFonts w:ascii="Futura Std Light" w:hAnsi="Futura Std Light" w:cs="Arial"/>
          <w:sz w:val="20"/>
          <w:szCs w:val="20"/>
        </w:rPr>
      </w:pPr>
      <w:r>
        <w:rPr>
          <w:rFonts w:ascii="Futura Std Light" w:hAnsi="Futura Std Light" w:cs="Arial"/>
          <w:sz w:val="20"/>
          <w:szCs w:val="20"/>
        </w:rPr>
        <w:t>(Quito – Ecuador)</w:t>
      </w:r>
    </w:p>
    <w:p w14:paraId="0E7C5494" w14:textId="77777777" w:rsidR="00285AE1" w:rsidRPr="00BD36C7" w:rsidRDefault="00285AE1" w:rsidP="00285AE1">
      <w:pPr>
        <w:spacing w:after="0" w:line="240" w:lineRule="auto"/>
        <w:jc w:val="center"/>
        <w:rPr>
          <w:rFonts w:ascii="Futura Std Light" w:hAnsi="Futura Std Light" w:cs="Arial"/>
          <w:sz w:val="20"/>
          <w:szCs w:val="20"/>
        </w:rPr>
      </w:pPr>
      <w:r w:rsidRPr="00BD36C7">
        <w:rPr>
          <w:rFonts w:ascii="Futura Std Light" w:hAnsi="Futura Std Light" w:cs="Arial"/>
          <w:sz w:val="20"/>
          <w:szCs w:val="20"/>
        </w:rPr>
        <w:t>Estado de Cambios en el Patrimonio</w:t>
      </w:r>
    </w:p>
    <w:p w14:paraId="52C57D4B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7D6483AE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141C977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27EB370D" w14:textId="77777777" w:rsidR="00285AE1" w:rsidRPr="00BD36C7" w:rsidRDefault="00285AE1" w:rsidP="00285AE1">
      <w:pPr>
        <w:pBdr>
          <w:bottom w:val="single" w:sz="4" w:space="1" w:color="auto"/>
        </w:pBdr>
        <w:spacing w:after="0" w:line="240" w:lineRule="auto"/>
        <w:rPr>
          <w:rFonts w:ascii="Futura Std Light" w:hAnsi="Futura Std Light" w:cs="Arial"/>
          <w:b/>
          <w:sz w:val="20"/>
          <w:szCs w:val="20"/>
          <w:lang w:val="es-ES_tradnl"/>
        </w:rPr>
      </w:pPr>
    </w:p>
    <w:p w14:paraId="05ABB582" w14:textId="77777777" w:rsidR="00285AE1" w:rsidRPr="00BD36C7" w:rsidRDefault="00285AE1" w:rsidP="00285AE1">
      <w:pPr>
        <w:spacing w:after="0" w:line="240" w:lineRule="auto"/>
        <w:rPr>
          <w:rFonts w:ascii="Futura Std Light" w:hAnsi="Futura Std Light" w:cs="Arial"/>
          <w:sz w:val="20"/>
          <w:szCs w:val="20"/>
        </w:rPr>
      </w:pPr>
    </w:p>
    <w:tbl>
      <w:tblPr>
        <w:tblW w:w="13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660"/>
        <w:gridCol w:w="280"/>
        <w:gridCol w:w="1660"/>
        <w:gridCol w:w="280"/>
        <w:gridCol w:w="1660"/>
        <w:gridCol w:w="280"/>
        <w:gridCol w:w="1660"/>
        <w:gridCol w:w="280"/>
        <w:gridCol w:w="1660"/>
      </w:tblGrid>
      <w:tr w:rsidR="00285AE1" w:rsidRPr="00807228" w14:paraId="59BFAB5B" w14:textId="77777777" w:rsidTr="00A84717">
        <w:trPr>
          <w:trHeight w:val="300"/>
        </w:trPr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EF027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FDD4A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9208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26B5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874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D8740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Reserva de </w:t>
            </w: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capital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A9CC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C97A4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Resultados</w:t>
            </w: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 xml:space="preserve"> acumulados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24E4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1387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4D2F7EC4" w14:textId="77777777" w:rsidTr="00A84717">
        <w:trPr>
          <w:trHeight w:val="300"/>
        </w:trPr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DAD8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19D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Capital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9F6C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C96BF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Reserva legal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FD33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59BF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C860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AE3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0D29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AC33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Total</w:t>
            </w:r>
          </w:p>
        </w:tc>
      </w:tr>
      <w:tr w:rsidR="00285AE1" w:rsidRPr="00807228" w14:paraId="100DF8B5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F15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E824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9DE66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5D6C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C92E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DDF7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205B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2D7A9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84A7A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E3398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0017093E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AEADD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Saldo al 31 de diciembre del 2018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0BFC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9340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E6E2D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5889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502C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99AC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3035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(64.853)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39B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1D5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301.732</w:t>
            </w:r>
          </w:p>
        </w:tc>
      </w:tr>
      <w:tr w:rsidR="00285AE1" w:rsidRPr="00807228" w14:paraId="7B34E0D7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A4E6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22E150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914E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4D409D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ADB5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B0D8F1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65FA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B01949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      126.579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F355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A9EDA9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126.579</w:t>
            </w:r>
          </w:p>
        </w:tc>
      </w:tr>
      <w:tr w:rsidR="00285AE1" w:rsidRPr="00807228" w14:paraId="2DFC8CD9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2A05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D72B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577F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7469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D151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E9FD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7EE4D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3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  61.726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99C5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EDDB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428.311</w:t>
            </w:r>
          </w:p>
        </w:tc>
      </w:tr>
      <w:tr w:rsidR="00285AE1" w:rsidRPr="00807228" w14:paraId="438476BF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432E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810B79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954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84C2BD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EAB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EA967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2F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75D18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  153.333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FA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0E093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153.333</w:t>
            </w:r>
          </w:p>
        </w:tc>
      </w:tr>
      <w:tr w:rsidR="00285AE1" w:rsidRPr="00807228" w14:paraId="1E4C7553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C4937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72195E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20.000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81D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95FA9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142.204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8C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6DD41F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F06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06C994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215.059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398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E487F6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581.644</w:t>
            </w:r>
          </w:p>
        </w:tc>
      </w:tr>
      <w:tr w:rsidR="00285AE1" w:rsidRPr="00807228" w14:paraId="6D22B9DF" w14:textId="77777777" w:rsidTr="00A84717">
        <w:trPr>
          <w:trHeight w:val="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C1F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537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D19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C9F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99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DC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D74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AD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86B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C37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04ADA666" w14:textId="77777777" w:rsidTr="00A84717">
        <w:trPr>
          <w:trHeight w:val="87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EF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520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AAA8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D50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8FD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C92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8AB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FBD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DDA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B1F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3D20B5CC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58E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FC3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4AA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173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69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02F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ED2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F3C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BD2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D45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2AEB2DED" w14:textId="77777777" w:rsidR="00285AE1" w:rsidRPr="00BD36C7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1B4D9645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0A8A9F40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030C06FC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F74B5E1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15"/>
        <w:gridCol w:w="623"/>
        <w:gridCol w:w="2902"/>
      </w:tblGrid>
      <w:tr w:rsidR="00285AE1" w:rsidRPr="00BD36C7" w14:paraId="08892EDF" w14:textId="77777777" w:rsidTr="00A84717">
        <w:trPr>
          <w:trHeight w:val="465"/>
          <w:jc w:val="center"/>
        </w:trPr>
        <w:tc>
          <w:tcPr>
            <w:tcW w:w="2815" w:type="dxa"/>
            <w:tcBorders>
              <w:top w:val="single" w:sz="4" w:space="0" w:color="auto"/>
            </w:tcBorders>
          </w:tcPr>
          <w:p w14:paraId="3B726BC2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Econ. Javier Galarza</w:t>
            </w:r>
          </w:p>
          <w:p w14:paraId="2F9CB4FD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Gerente General</w:t>
            </w:r>
          </w:p>
        </w:tc>
        <w:tc>
          <w:tcPr>
            <w:tcW w:w="623" w:type="dxa"/>
          </w:tcPr>
          <w:p w14:paraId="29D81AA3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</w:tcPr>
          <w:p w14:paraId="6282B90D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Félix Valarezo Alvarado</w:t>
            </w:r>
          </w:p>
          <w:p w14:paraId="4C021FC2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Contador General</w:t>
            </w:r>
          </w:p>
        </w:tc>
      </w:tr>
    </w:tbl>
    <w:p w14:paraId="11D7C8E0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1E420521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65CB8EF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4D387A9D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  <w:sectPr w:rsidR="00285AE1" w:rsidRPr="00AE275B" w:rsidSect="00BD36C7">
          <w:headerReference w:type="default" r:id="rId8"/>
          <w:footerReference w:type="default" r:id="rId9"/>
          <w:pgSz w:w="16838" w:h="11906" w:orient="landscape"/>
          <w:pgMar w:top="851" w:right="2379" w:bottom="993" w:left="1418" w:header="709" w:footer="709" w:gutter="0"/>
          <w:cols w:space="708"/>
          <w:docGrid w:linePitch="360"/>
        </w:sectPr>
      </w:pPr>
    </w:p>
    <w:p w14:paraId="0AC4AD8F" w14:textId="77777777" w:rsidR="00285AE1" w:rsidRPr="006E7C5C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6E7C5C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3642F63B" w14:textId="77777777" w:rsidR="00285AE1" w:rsidRPr="006E7C5C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6E7C5C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(Quito – Ecuador)</w:t>
      </w:r>
    </w:p>
    <w:p w14:paraId="41ED0083" w14:textId="77777777" w:rsidR="00285AE1" w:rsidRPr="006E7C5C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6E7C5C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Resultados Integral</w:t>
      </w:r>
    </w:p>
    <w:p w14:paraId="3C397B94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0446BC61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28B5800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55FD3527" w14:textId="77777777" w:rsidR="00285AE1" w:rsidRPr="006E7C5C" w:rsidRDefault="00285AE1" w:rsidP="00285AE1">
      <w:pPr>
        <w:pStyle w:val="A-1"/>
        <w:tabs>
          <w:tab w:val="clear" w:pos="283"/>
          <w:tab w:val="clear" w:pos="440"/>
          <w:tab w:val="clear" w:pos="580"/>
          <w:tab w:val="clear" w:pos="720"/>
          <w:tab w:val="clear" w:pos="860"/>
          <w:tab w:val="clear" w:pos="1020"/>
          <w:tab w:val="clear" w:pos="1180"/>
          <w:tab w:val="clear" w:pos="4500"/>
          <w:tab w:val="clear" w:pos="5440"/>
          <w:tab w:val="clear" w:pos="5920"/>
          <w:tab w:val="clear" w:pos="6400"/>
          <w:tab w:val="clear" w:pos="7500"/>
          <w:tab w:val="clear" w:pos="7980"/>
          <w:tab w:val="clear" w:pos="8460"/>
        </w:tabs>
        <w:jc w:val="left"/>
        <w:rPr>
          <w:rFonts w:ascii="Futura Std Light" w:hAnsi="Futura Std Light" w:cs="Arial"/>
          <w:lang w:val="es-EC" w:eastAsia="es-ES"/>
        </w:rPr>
      </w:pPr>
    </w:p>
    <w:p w14:paraId="6DED043D" w14:textId="77777777" w:rsidR="00285AE1" w:rsidRPr="006E7C5C" w:rsidRDefault="00285AE1" w:rsidP="00285AE1">
      <w:pPr>
        <w:spacing w:after="0"/>
        <w:ind w:right="-711"/>
        <w:rPr>
          <w:rFonts w:ascii="Futura Std Light" w:hAnsi="Futura Std Light" w:cs="Arial"/>
          <w:sz w:val="20"/>
          <w:szCs w:val="20"/>
        </w:rPr>
      </w:pPr>
      <w:r>
        <w:rPr>
          <w:rFonts w:ascii="Futura Std Light" w:eastAsia="Arial" w:hAnsi="Futura Std Light" w:cs="Arial"/>
          <w:noProof/>
          <w:sz w:val="20"/>
          <w:szCs w:val="20"/>
          <w:lang w:eastAsia="es-EC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59CE38F" wp14:editId="4ED2CF1F">
                <wp:simplePos x="0" y="0"/>
                <wp:positionH relativeFrom="margin">
                  <wp:posOffset>0</wp:posOffset>
                </wp:positionH>
                <wp:positionV relativeFrom="paragraph">
                  <wp:posOffset>12699</wp:posOffset>
                </wp:positionV>
                <wp:extent cx="5796280" cy="0"/>
                <wp:effectExtent l="0" t="0" r="0" b="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AB5BA" id="Conector recto 1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pt" to="45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1200"/>
        <w:gridCol w:w="280"/>
        <w:gridCol w:w="1160"/>
      </w:tblGrid>
      <w:tr w:rsidR="00285AE1" w:rsidRPr="00807228" w14:paraId="5D6A900C" w14:textId="77777777" w:rsidTr="00A84717">
        <w:trPr>
          <w:trHeight w:val="315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887A7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08F64D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D9946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A4E0034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807228" w14:paraId="0DE9A807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50F4C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Flujos de efectivo de actividades de operación: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8C8E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F13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3D68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68D0A9BF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FC3BF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recibido de clientes y otros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560D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558,818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1B60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1302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375,376</w:t>
            </w:r>
          </w:p>
        </w:tc>
      </w:tr>
      <w:tr w:rsidR="00285AE1" w:rsidRPr="00807228" w14:paraId="322C7005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CE7F8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pagado proveedores y otros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BD7E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(515,967)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7A033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9D1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(382,923)</w:t>
            </w:r>
          </w:p>
        </w:tc>
      </w:tr>
      <w:tr w:rsidR="00285AE1" w:rsidRPr="00807228" w14:paraId="263B86B1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24289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Impuesto a la renta pagado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4F6FFD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(43,844)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81E3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D087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(40,603)</w:t>
            </w:r>
          </w:p>
        </w:tc>
      </w:tr>
      <w:tr w:rsidR="00285AE1" w:rsidRPr="00807228" w14:paraId="763ED777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B01A0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Efecto neto utilizado en las actividades de operación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6A425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(993)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0276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74507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(48,150)</w:t>
            </w:r>
          </w:p>
        </w:tc>
      </w:tr>
      <w:tr w:rsidR="00285AE1" w:rsidRPr="00807228" w14:paraId="6F7F8923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D6F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y equivalentes de efectivo al inicio del período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F500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3,672 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E841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BD8AB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51,822</w:t>
            </w:r>
          </w:p>
        </w:tc>
      </w:tr>
      <w:tr w:rsidR="00285AE1" w:rsidRPr="00807228" w14:paraId="3F9E39F1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CEAD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 al final del período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2B5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2,679 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8E0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C1F34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3,672</w:t>
            </w:r>
          </w:p>
        </w:tc>
      </w:tr>
    </w:tbl>
    <w:p w14:paraId="34219BE8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0866E675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EA3BB71" w14:textId="77777777" w:rsidR="00285AE1" w:rsidRPr="006E7C5C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1A5ACCF3" w14:textId="77777777" w:rsidR="00285AE1" w:rsidRPr="006E7C5C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28753329" w14:textId="77777777" w:rsidR="00285AE1" w:rsidRPr="006E7C5C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</w:p>
    <w:p w14:paraId="33387E2B" w14:textId="77777777" w:rsidR="00285AE1" w:rsidRPr="006E7C5C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6E7C5C">
        <w:rPr>
          <w:rFonts w:ascii="Futura Std Light" w:hAnsi="Futura Std Light" w:cs="Arial"/>
          <w:sz w:val="20"/>
          <w:szCs w:val="20"/>
        </w:rPr>
        <w:tab/>
        <w:t>Econ. Javier Galarza</w:t>
      </w:r>
      <w:r w:rsidRPr="006E7C5C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194CFC09" w14:textId="77777777" w:rsidR="00285AE1" w:rsidRPr="006E7C5C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6E7C5C">
        <w:rPr>
          <w:rFonts w:ascii="Futura Std Light" w:hAnsi="Futura Std Light" w:cs="Arial"/>
          <w:sz w:val="20"/>
          <w:szCs w:val="20"/>
          <w:lang w:val="es-MX"/>
        </w:rPr>
        <w:tab/>
        <w:t>Contador General</w:t>
      </w:r>
    </w:p>
    <w:p w14:paraId="396D9287" w14:textId="77777777" w:rsidR="00285AE1" w:rsidRPr="006E7C5C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</w:rPr>
      </w:pPr>
    </w:p>
    <w:p w14:paraId="3B9B13CB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475328EA" w14:textId="77777777" w:rsidR="00285AE1" w:rsidRDefault="00285AE1" w:rsidP="00285AE1"/>
    <w:p w14:paraId="5C556E80" w14:textId="77777777" w:rsidR="00285AE1" w:rsidRPr="006E7C5C" w:rsidRDefault="00285AE1" w:rsidP="00285AE1"/>
    <w:p w14:paraId="547D0801" w14:textId="77777777" w:rsidR="00285AE1" w:rsidRPr="006E7C5C" w:rsidRDefault="00285AE1" w:rsidP="00285AE1"/>
    <w:p w14:paraId="5BA8F098" w14:textId="77777777" w:rsidR="00285AE1" w:rsidRPr="006E7C5C" w:rsidRDefault="00285AE1" w:rsidP="00285AE1"/>
    <w:p w14:paraId="100BEFD5" w14:textId="77777777" w:rsidR="00285AE1" w:rsidRDefault="00285AE1"/>
    <w:sectPr w:rsidR="0028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44A5" w14:textId="77777777" w:rsidR="00F93F4A" w:rsidRDefault="00F93F4A" w:rsidP="00285AE1">
      <w:pPr>
        <w:spacing w:after="0" w:line="240" w:lineRule="auto"/>
      </w:pPr>
      <w:r>
        <w:separator/>
      </w:r>
    </w:p>
  </w:endnote>
  <w:endnote w:type="continuationSeparator" w:id="0">
    <w:p w14:paraId="492B0FD3" w14:textId="77777777" w:rsidR="00F93F4A" w:rsidRDefault="00F93F4A" w:rsidP="002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Std Light">
    <w:altName w:val="Century Gothic"/>
    <w:panose1 w:val="020B04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Std Book">
    <w:altName w:val="Century Gothic"/>
    <w:panose1 w:val="00000000000000000000"/>
    <w:charset w:val="00"/>
    <w:family w:val="roman"/>
    <w:notTrueType/>
    <w:pitch w:val="default"/>
  </w:font>
  <w:font w:name="Futura-Book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11C1" w14:textId="77777777" w:rsidR="003D78B3" w:rsidRPr="008167F2" w:rsidRDefault="00F93F4A" w:rsidP="007D21FB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r>
      <w:rPr>
        <w:rFonts w:ascii="Futura-Book" w:hAnsi="Futura-Book" w:cs="Arial"/>
        <w:sz w:val="19"/>
        <w:szCs w:val="19"/>
      </w:rPr>
      <w:t xml:space="preserve">Las notas explicativas 1 a la </w:t>
    </w:r>
    <w:r>
      <w:rPr>
        <w:rFonts w:ascii="Futura-Book" w:hAnsi="Futura-Book" w:cs="Arial"/>
        <w:sz w:val="19"/>
        <w:szCs w:val="19"/>
      </w:rPr>
      <w:t>16</w:t>
    </w:r>
    <w:r>
      <w:rPr>
        <w:rFonts w:ascii="Futura-Book" w:hAnsi="Futura-Book" w:cs="Arial"/>
        <w:sz w:val="19"/>
        <w:szCs w:val="19"/>
      </w:rPr>
      <w:t xml:space="preserve"> son parte integrante de los estados financieros</w:t>
    </w:r>
  </w:p>
  <w:p w14:paraId="185CBE0F" w14:textId="77777777" w:rsidR="003D78B3" w:rsidRPr="00A23786" w:rsidRDefault="00F93F4A" w:rsidP="00203BB5">
    <w:pPr>
      <w:pBdr>
        <w:bottom w:val="single" w:sz="4" w:space="1" w:color="auto"/>
      </w:pBdr>
      <w:spacing w:after="0" w:line="240" w:lineRule="auto"/>
      <w:ind w:right="283"/>
      <w:rPr>
        <w:rFonts w:ascii="Futura-Book" w:hAnsi="Futura-Book"/>
        <w:b/>
        <w:sz w:val="10"/>
        <w:szCs w:val="10"/>
      </w:rPr>
    </w:pPr>
  </w:p>
  <w:p w14:paraId="38F3FE9C" w14:textId="77777777" w:rsidR="003D78B3" w:rsidRPr="00240414" w:rsidRDefault="00F93F4A" w:rsidP="00203BB5">
    <w:pPr>
      <w:pStyle w:val="Footer"/>
      <w:ind w:right="283"/>
      <w:jc w:val="center"/>
      <w:rPr>
        <w:rFonts w:cs="Arial"/>
        <w:sz w:val="6"/>
        <w:szCs w:val="6"/>
      </w:rPr>
    </w:pPr>
  </w:p>
  <w:p w14:paraId="037B87F8" w14:textId="4EC573B6" w:rsidR="003D78B3" w:rsidRPr="00EF6F48" w:rsidRDefault="00F93F4A" w:rsidP="00EF6F48">
    <w:pPr>
      <w:pStyle w:val="Footer"/>
      <w:ind w:right="283"/>
      <w:jc w:val="right"/>
      <w:rPr>
        <w:rFonts w:ascii="Futura-Book" w:hAnsi="Futura-Book" w:cs="Arial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C2CA" w14:textId="77777777" w:rsidR="003D78B3" w:rsidRPr="008167F2" w:rsidRDefault="00F93F4A" w:rsidP="00937A7E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bookmarkStart w:id="1" w:name="_Hlk69735951"/>
    <w:r>
      <w:rPr>
        <w:rFonts w:ascii="Futura-Book" w:hAnsi="Futura-Book" w:cs="Arial"/>
        <w:sz w:val="19"/>
        <w:szCs w:val="19"/>
      </w:rPr>
      <w:t xml:space="preserve">Las notas explicativas 1 a la </w:t>
    </w:r>
    <w:r>
      <w:rPr>
        <w:rFonts w:ascii="Futura-Book" w:hAnsi="Futura-Book" w:cs="Arial"/>
        <w:sz w:val="19"/>
        <w:szCs w:val="19"/>
      </w:rPr>
      <w:t>16</w:t>
    </w:r>
    <w:r>
      <w:rPr>
        <w:rFonts w:ascii="Futura-Book" w:hAnsi="Futura-Book" w:cs="Arial"/>
        <w:sz w:val="19"/>
        <w:szCs w:val="19"/>
      </w:rPr>
      <w:t xml:space="preserve"> son parte integrante de los estados financieros</w:t>
    </w:r>
  </w:p>
  <w:bookmarkEnd w:id="1"/>
  <w:p w14:paraId="33427748" w14:textId="77777777" w:rsidR="003D78B3" w:rsidRPr="00A23786" w:rsidRDefault="00F93F4A" w:rsidP="00203BB5">
    <w:pPr>
      <w:pBdr>
        <w:bottom w:val="single" w:sz="4" w:space="1" w:color="auto"/>
      </w:pBdr>
      <w:spacing w:after="0" w:line="240" w:lineRule="auto"/>
      <w:ind w:right="-285"/>
      <w:rPr>
        <w:rFonts w:ascii="Futura-Book" w:hAnsi="Futura-Book"/>
        <w:b/>
        <w:sz w:val="10"/>
        <w:szCs w:val="10"/>
      </w:rPr>
    </w:pPr>
  </w:p>
  <w:p w14:paraId="17E6CBF7" w14:textId="77777777" w:rsidR="003D78B3" w:rsidRPr="00240414" w:rsidRDefault="00F93F4A" w:rsidP="00203BB5">
    <w:pPr>
      <w:pStyle w:val="Footer"/>
      <w:ind w:right="-285"/>
      <w:jc w:val="center"/>
      <w:rPr>
        <w:rFonts w:cs="Arial"/>
        <w:sz w:val="6"/>
        <w:szCs w:val="6"/>
      </w:rPr>
    </w:pPr>
  </w:p>
  <w:p w14:paraId="0C2B8F29" w14:textId="349188D6" w:rsidR="003D78B3" w:rsidRPr="006313DC" w:rsidRDefault="00F93F4A" w:rsidP="00203BB5">
    <w:pPr>
      <w:pStyle w:val="Footer"/>
      <w:ind w:right="-285"/>
      <w:jc w:val="right"/>
      <w:rPr>
        <w:rFonts w:ascii="Futura-Book" w:hAnsi="Futura-Book" w:cs="Arial"/>
        <w:sz w:val="19"/>
        <w:szCs w:val="19"/>
      </w:rPr>
    </w:pPr>
  </w:p>
  <w:p w14:paraId="7E1FD5DB" w14:textId="77777777" w:rsidR="003D78B3" w:rsidRPr="00D04230" w:rsidRDefault="00F93F4A" w:rsidP="007D2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2BB2" w14:textId="77777777" w:rsidR="003D78B3" w:rsidRPr="008167F2" w:rsidRDefault="00F93F4A" w:rsidP="006E7C5C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bookmarkStart w:id="2" w:name="_Hlk69736202"/>
    <w:r>
      <w:rPr>
        <w:rFonts w:ascii="Futura-Book" w:hAnsi="Futura-Book" w:cs="Arial"/>
        <w:sz w:val="19"/>
        <w:szCs w:val="19"/>
      </w:rPr>
      <w:t xml:space="preserve">Las notas explicativas 1 a la </w:t>
    </w:r>
    <w:r>
      <w:rPr>
        <w:rFonts w:ascii="Futura-Book" w:hAnsi="Futura-Book" w:cs="Arial"/>
        <w:sz w:val="19"/>
        <w:szCs w:val="19"/>
      </w:rPr>
      <w:t>16</w:t>
    </w:r>
    <w:r>
      <w:rPr>
        <w:rFonts w:ascii="Futura-Book" w:hAnsi="Futura-Book" w:cs="Arial"/>
        <w:sz w:val="19"/>
        <w:szCs w:val="19"/>
      </w:rPr>
      <w:t xml:space="preserve"> son parte integrante de los estados financieros</w:t>
    </w:r>
  </w:p>
  <w:p w14:paraId="723C3742" w14:textId="77777777" w:rsidR="003D78B3" w:rsidRPr="00A23786" w:rsidRDefault="00F93F4A" w:rsidP="00FC4BB9">
    <w:pPr>
      <w:pBdr>
        <w:bottom w:val="single" w:sz="4" w:space="1" w:color="auto"/>
      </w:pBdr>
      <w:spacing w:after="0" w:line="240" w:lineRule="auto"/>
      <w:rPr>
        <w:rFonts w:ascii="Futura-Book" w:hAnsi="Futura-Book"/>
        <w:b/>
        <w:sz w:val="10"/>
        <w:szCs w:val="10"/>
      </w:rPr>
    </w:pPr>
  </w:p>
  <w:bookmarkEnd w:id="2"/>
  <w:p w14:paraId="0B20D8E3" w14:textId="77777777" w:rsidR="003D78B3" w:rsidRPr="00A07FA1" w:rsidRDefault="00F93F4A" w:rsidP="00FC4BB9">
    <w:pPr>
      <w:pStyle w:val="Footer"/>
      <w:jc w:val="center"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52D0" w14:textId="77777777" w:rsidR="00F93F4A" w:rsidRDefault="00F93F4A" w:rsidP="00285AE1">
      <w:pPr>
        <w:spacing w:after="0" w:line="240" w:lineRule="auto"/>
      </w:pPr>
      <w:r>
        <w:separator/>
      </w:r>
    </w:p>
  </w:footnote>
  <w:footnote w:type="continuationSeparator" w:id="0">
    <w:p w14:paraId="4703DBB8" w14:textId="77777777" w:rsidR="00F93F4A" w:rsidRDefault="00F93F4A" w:rsidP="0028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464F" w14:textId="0CADB535" w:rsidR="003D78B3" w:rsidRPr="00655808" w:rsidRDefault="00F93F4A" w:rsidP="00655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E1"/>
    <w:rsid w:val="00285AE1"/>
    <w:rsid w:val="00DA3A00"/>
    <w:rsid w:val="00F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0FEF9"/>
  <w15:chartTrackingRefBased/>
  <w15:docId w15:val="{58A62898-F245-47C5-8200-0DA7A647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ere"/>
    <w:basedOn w:val="Normal"/>
    <w:link w:val="HeaderChar"/>
    <w:uiPriority w:val="99"/>
    <w:unhideWhenUsed/>
    <w:rsid w:val="00285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,ere Char"/>
    <w:basedOn w:val="DefaultParagraphFont"/>
    <w:link w:val="Header"/>
    <w:uiPriority w:val="99"/>
    <w:rsid w:val="00285AE1"/>
  </w:style>
  <w:style w:type="paragraph" w:styleId="Footer">
    <w:name w:val="footer"/>
    <w:basedOn w:val="Normal"/>
    <w:link w:val="FooterChar"/>
    <w:uiPriority w:val="99"/>
    <w:unhideWhenUsed/>
    <w:rsid w:val="00285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E1"/>
  </w:style>
  <w:style w:type="paragraph" w:customStyle="1" w:styleId="A-1">
    <w:name w:val="A-1"/>
    <w:basedOn w:val="Normal"/>
    <w:rsid w:val="00285AE1"/>
    <w:pPr>
      <w:tabs>
        <w:tab w:val="left" w:pos="283"/>
        <w:tab w:val="left" w:pos="440"/>
        <w:tab w:val="left" w:pos="580"/>
        <w:tab w:val="left" w:pos="720"/>
        <w:tab w:val="left" w:pos="860"/>
        <w:tab w:val="left" w:pos="1020"/>
        <w:tab w:val="left" w:pos="1180"/>
        <w:tab w:val="left" w:pos="4500"/>
        <w:tab w:val="decimal" w:pos="5440"/>
        <w:tab w:val="decimal" w:pos="5920"/>
        <w:tab w:val="decimal" w:pos="6400"/>
        <w:tab w:val="decimal" w:pos="7500"/>
        <w:tab w:val="decimal" w:pos="7980"/>
        <w:tab w:val="decimal" w:pos="8460"/>
      </w:tabs>
      <w:spacing w:after="0" w:line="240" w:lineRule="auto"/>
      <w:jc w:val="both"/>
    </w:pPr>
    <w:rPr>
      <w:rFonts w:ascii="New York" w:eastAsia="Times New Roman" w:hAnsi="New York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cp:lastPrinted>2021-04-20T15:16:00Z</cp:lastPrinted>
  <dcterms:created xsi:type="dcterms:W3CDTF">2021-04-20T15:14:00Z</dcterms:created>
  <dcterms:modified xsi:type="dcterms:W3CDTF">2021-04-20T15:27:00Z</dcterms:modified>
</cp:coreProperties>
</file>