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/>
        <w:jc w:val="right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Guayaquil, 15 de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enero</w:t>
      </w:r>
      <w:r>
        <w:rPr>
          <w:rFonts w:eastAsia="Calibri" w:ascii="Futura-Light" w:hAnsi="Futura-Light" w:eastAsiaTheme="minorHAnsi"/>
          <w:sz w:val="20"/>
          <w:szCs w:val="22"/>
        </w:rPr>
        <w:t xml:space="preserve"> del 2021.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Señores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 xml:space="preserve">BANCO </w:t>
      </w:r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INTERNACIONAL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Agencia Matriz Guayaquil, entre Pichincha y Malecón, Av. 9 de Octubre 117.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Teléfonos: </w:t>
      </w:r>
      <w:r>
        <w:rPr>
          <w:rFonts w:eastAsia="Calibri" w:cs="Times New Roman" w:ascii="Futura-Light" w:hAnsi="Futura-Light" w:eastAsiaTheme="minorHAnsi"/>
          <w:color w:val="auto"/>
          <w:kern w:val="0"/>
          <w:sz w:val="20"/>
          <w:szCs w:val="22"/>
          <w:lang w:val="es-EC" w:eastAsia="en-US" w:bidi="ar-SA"/>
        </w:rPr>
        <w:t>(04) 500-3600</w:t>
      </w:r>
    </w:p>
    <w:p>
      <w:pPr>
        <w:pStyle w:val="Normal"/>
        <w:spacing w:lineRule="auto" w:line="252"/>
        <w:rPr>
          <w:rFonts w:ascii="Futura-Light" w:hAnsi="Futura-Light" w:eastAsia="Calibri" w:eastAsiaTheme="minorHAnsi"/>
          <w:bCs/>
          <w:sz w:val="20"/>
          <w:szCs w:val="22"/>
        </w:rPr>
      </w:pPr>
      <w:r>
        <w:rPr>
          <w:rFonts w:eastAsia="Calibri" w:ascii="Futura-Light" w:hAnsi="Futura-Light" w:eastAsiaTheme="minorHAnsi"/>
          <w:bCs/>
          <w:sz w:val="20"/>
          <w:szCs w:val="22"/>
        </w:rPr>
        <w:t>Ciudad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Estimados Señores: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Nuestros auditores externos de </w:t>
      </w: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  <w:r>
        <w:rPr>
          <w:rFonts w:eastAsia="Calibri" w:ascii="Futura-Light" w:hAnsi="Futura-Light" w:eastAsiaTheme="minorHAnsi"/>
          <w:sz w:val="20"/>
          <w:szCs w:val="22"/>
        </w:rPr>
        <w:t>, están efectuando la auditoria externa de nuestros estados financieros por el año terminado el 31 de diciembre del 2020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Por tal motivo sírvanse proporcionarles la siguiente información, </w:t>
      </w:r>
      <w:r>
        <w:rPr>
          <w:rFonts w:eastAsia="Calibri" w:ascii="Futura-Light" w:hAnsi="Futura-Light" w:eastAsiaTheme="minorHAnsi"/>
          <w:b/>
          <w:sz w:val="20"/>
          <w:szCs w:val="22"/>
        </w:rPr>
        <w:t>cortada al 31 de diciembre del 2020: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Saldo(s) de la cuenta(s) corrientes(s) y ahorro(s).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préstamos u otras obligaciones por pagar como resultado de créditos concedidos, tasas de interés pactadas y plazos,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garantías, prendas, hipotecas, saldos compensatorios y cualquier otra salvaguarda que se hubiere acordado,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Líneas de crédito vigentes incluyendo montos, periodo de vigencia, costos y otras condiciones.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Documentos en cobranza.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Otras obligaciones directas o eventuales, letras de cambio, contratos de cambio, instrumentos derivados, futuros, swaps o contratos de cobertura.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Obligaciones contingentes o eventuales como endosante de documentos o como fiador.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Valores en depósitos a plazo u otro tipo de inversión, porcentaje de interés, fechas, inicial y de vencimiento, monto de intereses acreditados a favor de nuestra cuenta </w:t>
      </w:r>
      <w:r>
        <w:rPr>
          <w:rFonts w:eastAsia="Calibri" w:ascii="Futura-Light" w:hAnsi="Futura-Light" w:eastAsiaTheme="minorHAnsi"/>
          <w:b/>
          <w:sz w:val="20"/>
          <w:szCs w:val="22"/>
        </w:rPr>
        <w:t>durante el año 2020</w:t>
      </w:r>
      <w:r>
        <w:rPr>
          <w:rFonts w:eastAsia="Calibri" w:ascii="Futura-Light" w:hAnsi="Futura-Light" w:eastAsiaTheme="minorHAnsi"/>
          <w:bCs/>
          <w:sz w:val="20"/>
          <w:szCs w:val="22"/>
        </w:rPr>
        <w:t>, como resultado de tales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Restricciones o pignoraciones sobre nuestros saldos bancarios o inversiones.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Valores entregados en custodia.</w:t>
      </w:r>
    </w:p>
    <w:p>
      <w:pPr>
        <w:pStyle w:val="ListParagraph"/>
        <w:numPr>
          <w:ilvl w:val="0"/>
          <w:numId w:val="1"/>
        </w:numPr>
        <w:spacing w:lineRule="auto" w:line="252"/>
        <w:ind w:left="426" w:hanging="426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Detalle de personas autorizadas para firmar en nuestras cuentas bancarias.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Agradecemos remitir su respuesta directamente a nuestros auditores externos: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KRESTON AUDIT SERVICES ECUADOR CIA. LTDA.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Av. Rodrigo Chávez y Av. Juan Tanca Marengo, Parque Empresarial Colon, Empresarial 5, piso 2, oficina 206-207</w:t>
      </w:r>
    </w:p>
    <w:p>
      <w:pPr>
        <w:pStyle w:val="Normal"/>
        <w:spacing w:lineRule="auto" w:line="252"/>
        <w:jc w:val="center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Teléfono 098-723-9800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 xml:space="preserve">Para agilizar el proceso, esta información puede ser enviada por correo electrónico a </w:t>
      </w:r>
      <w:hyperlink r:id="rId2">
        <w:r>
          <w:rPr>
            <w:rStyle w:val="EnlacedeInternet"/>
            <w:rFonts w:eastAsia="Calibri" w:ascii="Futura-Light" w:hAnsi="Futura-Light" w:eastAsiaTheme="minorHAnsi"/>
            <w:sz w:val="20"/>
            <w:szCs w:val="22"/>
          </w:rPr>
          <w:t>calmeida@cpalmeida.com</w:t>
        </w:r>
      </w:hyperlink>
      <w:r>
        <w:rPr>
          <w:rFonts w:eastAsia="Calibri" w:ascii="Futura-Light" w:hAnsi="Futura-Light" w:eastAsiaTheme="minorHAnsi"/>
          <w:sz w:val="20"/>
          <w:szCs w:val="22"/>
        </w:rPr>
        <w:t xml:space="preserve"> mientras las respuestas originales son recibidas por nuestros auditores independientes.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Atentamente,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bCs/>
          <w:sz w:val="20"/>
          <w:szCs w:val="22"/>
        </w:rPr>
      </w:pPr>
      <w:r>
        <w:rPr>
          <w:rFonts w:eastAsia="Calibri" w:cs="Times New Roman" w:ascii="Futura-Light" w:hAnsi="Futura-Light" w:eastAsiaTheme="minorHAnsi"/>
          <w:b/>
          <w:bCs/>
          <w:color w:val="auto"/>
          <w:kern w:val="0"/>
          <w:sz w:val="20"/>
          <w:szCs w:val="22"/>
          <w:lang w:val="es-EC" w:eastAsia="en-US" w:bidi="ar-SA"/>
        </w:rPr>
        <w:t>SERVICIOS TELCODATA</w:t>
      </w:r>
      <w:r>
        <w:rPr>
          <w:rFonts w:eastAsia="Calibri" w:ascii="Futura-Light" w:hAnsi="Futura-Light" w:eastAsiaTheme="minorHAnsi"/>
          <w:b/>
          <w:bCs/>
          <w:sz w:val="20"/>
          <w:szCs w:val="22"/>
        </w:rPr>
        <w:t xml:space="preserve"> S.A.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eastAsiaTheme="minorHAnsi" w:ascii="Futura-Light" w:hAnsi="Futura-Light"/>
          <w:sz w:val="20"/>
          <w:szCs w:val="22"/>
        </w:rPr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sz w:val="20"/>
          <w:szCs w:val="22"/>
        </w:rPr>
      </w:pPr>
      <w:r>
        <w:rPr>
          <w:rFonts w:eastAsia="Calibri" w:ascii="Futura-Light" w:hAnsi="Futura-Light" w:eastAsiaTheme="minorHAnsi"/>
          <w:sz w:val="20"/>
          <w:szCs w:val="22"/>
        </w:rPr>
        <w:t>Javier Alfredo Galarza Benitez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>
          <w:rFonts w:eastAsia="Calibri" w:ascii="Futura-Light" w:hAnsi="Futura-Light" w:eastAsiaTheme="minorHAnsi"/>
          <w:b/>
          <w:sz w:val="20"/>
          <w:szCs w:val="22"/>
        </w:rPr>
        <w:t>PRESIDENTE EJECUTIVO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bookmarkStart w:id="0" w:name="_Hlk57801554"/>
      <w:r>
        <w:rPr>
          <w:rFonts w:eastAsia="Calibri" w:ascii="Futura-Light" w:hAnsi="Futura-Light" w:eastAsiaTheme="minorHAnsi"/>
          <w:b/>
          <w:sz w:val="20"/>
          <w:szCs w:val="22"/>
        </w:rPr>
        <w:t xml:space="preserve">RUC: </w:t>
      </w:r>
      <w:bookmarkEnd w:id="0"/>
      <w:r>
        <w:rPr>
          <w:rFonts w:eastAsia="Calibri" w:cs="Times New Roman" w:ascii="Futura-Light" w:hAnsi="Futura-Light" w:eastAsiaTheme="minorHAnsi"/>
          <w:b/>
          <w:color w:val="auto"/>
          <w:kern w:val="0"/>
          <w:sz w:val="20"/>
          <w:szCs w:val="22"/>
          <w:lang w:val="es-EC" w:eastAsia="en-US" w:bidi="ar-SA"/>
        </w:rPr>
        <w:t>0990800537001</w:t>
      </w:r>
    </w:p>
    <w:p>
      <w:pPr>
        <w:pStyle w:val="Normal"/>
        <w:spacing w:lineRule="auto" w:line="252"/>
        <w:jc w:val="both"/>
        <w:rPr>
          <w:rFonts w:ascii="Futura-Light" w:hAnsi="Futura-Light" w:eastAsia="Calibri" w:eastAsiaTheme="minorHAnsi"/>
          <w:b/>
          <w:b/>
          <w:sz w:val="20"/>
          <w:szCs w:val="22"/>
        </w:rPr>
      </w:pPr>
      <w:r>
        <w:rPr/>
      </w:r>
    </w:p>
    <w:sectPr>
      <w:type w:val="nextPage"/>
      <w:pgSz w:w="11906" w:h="16838"/>
      <w:pgMar w:left="1701" w:right="1701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neva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utura-Ligh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b"/>
    <w:pPr>
      <w:widowControl/>
      <w:suppressAutoHyphens w:val="true"/>
      <w:bidi w:val="0"/>
      <w:spacing w:lineRule="auto" w:line="240" w:before="0" w:after="0"/>
      <w:jc w:val="left"/>
    </w:pPr>
    <w:rPr>
      <w:rFonts w:ascii="Geneva" w:hAnsi="Geneva" w:eastAsia="Times New Roman" w:cs="Times New Roman"/>
      <w:color w:val="auto"/>
      <w:kern w:val="0"/>
      <w:sz w:val="24"/>
      <w:szCs w:val="20"/>
      <w:lang w:val="es-EC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1478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Heading2Char"/>
    <w:qFormat/>
    <w:rsid w:val="0011387b"/>
    <w:pPr>
      <w:keepNext w:val="true"/>
      <w:jc w:val="both"/>
      <w:outlineLvl w:val="1"/>
    </w:pPr>
    <w:rPr>
      <w:rFonts w:ascii="Times New Roman" w:hAnsi="Times New Roman"/>
      <w:b/>
      <w:sz w:val="22"/>
      <w:lang w:eastAsia="es-ES"/>
    </w:rPr>
  </w:style>
  <w:style w:type="paragraph" w:styleId="Ttulo8">
    <w:name w:val="Heading 8"/>
    <w:basedOn w:val="Normal"/>
    <w:next w:val="Normal"/>
    <w:link w:val="Heading8Char"/>
    <w:qFormat/>
    <w:rsid w:val="0011387b"/>
    <w:pPr>
      <w:keepNext w:val="true"/>
      <w:outlineLvl w:val="7"/>
    </w:pPr>
    <w:rPr>
      <w:rFonts w:ascii="Times New Roman" w:hAnsi="Times New Roman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11387b"/>
    <w:rPr>
      <w:rFonts w:ascii="Times New Roman" w:hAnsi="Times New Roman" w:eastAsia="Times New Roman" w:cs="Times New Roman"/>
      <w:b/>
      <w:szCs w:val="20"/>
      <w:lang w:val="es-EC" w:eastAsia="es-ES"/>
    </w:rPr>
  </w:style>
  <w:style w:type="character" w:styleId="Heading8Char" w:customStyle="1">
    <w:name w:val="Heading 8 Char"/>
    <w:basedOn w:val="DefaultParagraphFont"/>
    <w:link w:val="Heading8"/>
    <w:qFormat/>
    <w:rsid w:val="0011387b"/>
    <w:rPr>
      <w:rFonts w:ascii="Times New Roman" w:hAnsi="Times New Roman" w:eastAsia="Times New Roman" w:cs="Times New Roman"/>
      <w:sz w:val="24"/>
      <w:szCs w:val="20"/>
      <w:lang w:val="es-EC" w:eastAsia="es-ES"/>
    </w:rPr>
  </w:style>
  <w:style w:type="character" w:styleId="BodyTextChar" w:customStyle="1">
    <w:name w:val="Body Text Char"/>
    <w:basedOn w:val="DefaultParagraphFont"/>
    <w:link w:val="BodyText"/>
    <w:qFormat/>
    <w:rsid w:val="0011387b"/>
    <w:rPr>
      <w:rFonts w:ascii="Times New Roman" w:hAnsi="Times New Roman" w:eastAsia="Times New Roman" w:cs="Times New Roman"/>
      <w:sz w:val="20"/>
      <w:szCs w:val="20"/>
      <w:lang w:val="es-EC"/>
    </w:rPr>
  </w:style>
  <w:style w:type="character" w:styleId="EnlacedeInternet">
    <w:name w:val="Enlace de Internet"/>
    <w:basedOn w:val="DefaultParagraphFont"/>
    <w:rsid w:val="0011387b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f1478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s-EC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f3779"/>
    <w:rPr>
      <w:color w:val="605E5C"/>
      <w:shd w:fill="E1DFDD" w:val="clear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BodyTextChar"/>
    <w:rsid w:val="0011387b"/>
    <w:pPr>
      <w:ind w:right="193" w:hanging="0"/>
      <w:jc w:val="both"/>
    </w:pPr>
    <w:rPr>
      <w:rFonts w:ascii="Times New Roman" w:hAnsi="Times New Roman"/>
      <w:sz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866d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c2306"/>
    <w:pPr>
      <w:spacing w:after="0" w:line="240" w:lineRule="auto"/>
    </w:pPr>
    <w:rPr>
      <w:lang w:val="es-EC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lmeida@cpalmeida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LibreOffice/6.4.6.2$Linux_X86_64 LibreOffice_project/40$Build-2</Application>
  <Pages>1</Pages>
  <Words>298</Words>
  <Characters>1833</Characters>
  <CharactersWithSpaces>2090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2020-11-16T03:17:00Z</dcterms:created>
  <dc:creator>Melani Sandoval</dc:creator>
  <dc:description/>
  <dc:language>es-EC</dc:language>
  <cp:lastModifiedBy/>
  <dcterms:modified xsi:type="dcterms:W3CDTF">2021-01-18T10:48:53Z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