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B206" w14:textId="77777777" w:rsidR="00A17E26" w:rsidRDefault="006A2D5D" w:rsidP="00665BDB">
      <w:pPr>
        <w:pStyle w:val="Textoindependiente"/>
        <w:ind w:left="396"/>
        <w:jc w:val="both"/>
      </w:pPr>
      <w:r>
        <w:rPr>
          <w:spacing w:val="-2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Junta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Accionistas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</w:p>
    <w:p w14:paraId="68BC49B9" w14:textId="77777777" w:rsidR="00A17E26" w:rsidRDefault="00A17E26" w:rsidP="00665BDB">
      <w:pPr>
        <w:pStyle w:val="Textoindependiente"/>
      </w:pPr>
    </w:p>
    <w:p w14:paraId="1A652B3B" w14:textId="0C2536F5" w:rsidR="00A17E26" w:rsidRDefault="006F2036" w:rsidP="00665BDB">
      <w:pPr>
        <w:pStyle w:val="Ttulo1"/>
        <w:jc w:val="both"/>
      </w:pPr>
      <w:r>
        <w:rPr>
          <w:spacing w:val="-2"/>
          <w:w w:val="105"/>
        </w:rPr>
        <w:t>VISACOM</w:t>
      </w:r>
      <w:r w:rsidR="006A2D5D">
        <w:rPr>
          <w:spacing w:val="-12"/>
          <w:w w:val="105"/>
        </w:rPr>
        <w:t xml:space="preserve"> </w:t>
      </w:r>
      <w:r w:rsidR="006A2D5D">
        <w:rPr>
          <w:spacing w:val="-2"/>
          <w:w w:val="105"/>
        </w:rPr>
        <w:t>S.A.</w:t>
      </w:r>
    </w:p>
    <w:p w14:paraId="363834ED" w14:textId="77777777" w:rsidR="00A17E26" w:rsidRDefault="00A17E26" w:rsidP="00665BDB">
      <w:pPr>
        <w:pStyle w:val="Textoindependiente"/>
        <w:rPr>
          <w:rFonts w:ascii="Arial"/>
          <w:b/>
          <w:sz w:val="21"/>
        </w:rPr>
      </w:pPr>
    </w:p>
    <w:p w14:paraId="032447BF" w14:textId="4EA5CCFE" w:rsidR="00A17E26" w:rsidRDefault="006A2D5D" w:rsidP="00665BDB">
      <w:pPr>
        <w:pStyle w:val="Textoindependiente"/>
        <w:spacing w:line="244" w:lineRule="auto"/>
        <w:ind w:left="396" w:right="414"/>
        <w:jc w:val="both"/>
        <w:rPr>
          <w:w w:val="105"/>
        </w:rPr>
      </w:pPr>
      <w:r>
        <w:rPr>
          <w:w w:val="105"/>
        </w:rPr>
        <w:t>Guayaquil,</w:t>
      </w:r>
      <w:r>
        <w:rPr>
          <w:spacing w:val="-12"/>
          <w:w w:val="105"/>
        </w:rPr>
        <w:t xml:space="preserve"> </w:t>
      </w:r>
      <w:r w:rsidR="006F2036">
        <w:rPr>
          <w:w w:val="105"/>
        </w:rPr>
        <w:t>1º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 w:rsidR="00665BDB">
        <w:rPr>
          <w:w w:val="105"/>
        </w:rPr>
        <w:t>abril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202</w:t>
      </w:r>
      <w:r w:rsidR="00665BDB">
        <w:rPr>
          <w:w w:val="105"/>
        </w:rPr>
        <w:t>2</w:t>
      </w:r>
    </w:p>
    <w:p w14:paraId="4FFCC52D" w14:textId="77777777" w:rsidR="00665BDB" w:rsidRDefault="00665BDB" w:rsidP="00665BDB">
      <w:pPr>
        <w:pStyle w:val="Textoindependiente"/>
        <w:spacing w:line="244" w:lineRule="auto"/>
        <w:ind w:left="396" w:right="414"/>
        <w:jc w:val="both"/>
        <w:rPr>
          <w:sz w:val="21"/>
        </w:rPr>
      </w:pPr>
    </w:p>
    <w:p w14:paraId="21E122F6" w14:textId="4A59E94B" w:rsidR="00A17E26" w:rsidRDefault="006A2D5D" w:rsidP="00665BDB">
      <w:pPr>
        <w:pStyle w:val="Textoindependiente"/>
        <w:spacing w:line="247" w:lineRule="auto"/>
        <w:ind w:left="396" w:right="402"/>
        <w:jc w:val="both"/>
      </w:pPr>
      <w:r>
        <w:rPr>
          <w:spacing w:val="-1"/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desarrollo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nuestra</w:t>
      </w:r>
      <w:r>
        <w:rPr>
          <w:spacing w:val="-12"/>
          <w:w w:val="105"/>
        </w:rPr>
        <w:t xml:space="preserve"> </w:t>
      </w:r>
      <w:r>
        <w:rPr>
          <w:w w:val="105"/>
        </w:rPr>
        <w:t>auditoría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estados</w:t>
      </w:r>
      <w:r>
        <w:rPr>
          <w:spacing w:val="-12"/>
          <w:w w:val="105"/>
        </w:rPr>
        <w:t xml:space="preserve"> </w:t>
      </w:r>
      <w:r>
        <w:rPr>
          <w:w w:val="105"/>
        </w:rPr>
        <w:t>financieros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 w:rsidR="006F2036">
        <w:rPr>
          <w:w w:val="105"/>
        </w:rPr>
        <w:t>VISACOM</w:t>
      </w:r>
      <w:r>
        <w:rPr>
          <w:spacing w:val="-11"/>
          <w:w w:val="105"/>
        </w:rPr>
        <w:t xml:space="preserve"> </w:t>
      </w:r>
      <w:r>
        <w:rPr>
          <w:w w:val="105"/>
        </w:rPr>
        <w:t>SA.,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31</w:t>
      </w:r>
      <w:r>
        <w:rPr>
          <w:spacing w:val="-56"/>
          <w:w w:val="105"/>
        </w:rPr>
        <w:t xml:space="preserve"> </w:t>
      </w:r>
      <w:r>
        <w:rPr>
          <w:w w:val="105"/>
        </w:rPr>
        <w:t>de diciembre del 202</w:t>
      </w:r>
      <w:r w:rsidR="00665BDB">
        <w:rPr>
          <w:w w:val="105"/>
        </w:rPr>
        <w:t>1</w:t>
      </w:r>
      <w:r>
        <w:rPr>
          <w:w w:val="105"/>
        </w:rPr>
        <w:t xml:space="preserve"> y por el año terminado esa fecha, efectuada de acuerdo con</w:t>
      </w:r>
      <w:r>
        <w:rPr>
          <w:spacing w:val="1"/>
          <w:w w:val="105"/>
        </w:rPr>
        <w:t xml:space="preserve"> </w:t>
      </w:r>
      <w:r>
        <w:t>Normas Internacionales de Auditoria con el propósito de expresar una opinión sobre los</w:t>
      </w:r>
      <w:r>
        <w:rPr>
          <w:spacing w:val="1"/>
        </w:rPr>
        <w:t xml:space="preserve"> </w:t>
      </w:r>
      <w:r>
        <w:rPr>
          <w:w w:val="105"/>
        </w:rPr>
        <w:t>estados</w:t>
      </w:r>
      <w:r>
        <w:rPr>
          <w:spacing w:val="1"/>
          <w:w w:val="105"/>
        </w:rPr>
        <w:t xml:space="preserve"> </w:t>
      </w:r>
      <w:r>
        <w:rPr>
          <w:w w:val="105"/>
        </w:rPr>
        <w:t>financieros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compañía,</w:t>
      </w:r>
      <w:r>
        <w:rPr>
          <w:spacing w:val="1"/>
          <w:w w:val="105"/>
        </w:rPr>
        <w:t xml:space="preserve"> </w:t>
      </w:r>
      <w:r>
        <w:rPr>
          <w:w w:val="105"/>
        </w:rPr>
        <w:t>seleccionamos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auditoría</w:t>
      </w:r>
      <w:r>
        <w:rPr>
          <w:spacing w:val="1"/>
          <w:w w:val="105"/>
        </w:rPr>
        <w:t xml:space="preserve"> </w:t>
      </w:r>
      <w:r>
        <w:t xml:space="preserve">destinados a la obtención de la evidencia de auditoría sobre las cantidades y </w:t>
      </w:r>
      <w:r w:rsidR="006F2036">
        <w:t xml:space="preserve">revelaciones </w:t>
      </w:r>
      <w:r w:rsidR="006F2036">
        <w:rPr>
          <w:w w:val="105"/>
        </w:rPr>
        <w:t>presentadas e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estados</w:t>
      </w:r>
      <w:r>
        <w:rPr>
          <w:spacing w:val="-6"/>
          <w:w w:val="105"/>
        </w:rPr>
        <w:t xml:space="preserve"> </w:t>
      </w:r>
      <w:r>
        <w:rPr>
          <w:w w:val="105"/>
        </w:rPr>
        <w:t>financieros.</w:t>
      </w:r>
    </w:p>
    <w:p w14:paraId="5506F02A" w14:textId="77777777" w:rsidR="00A17E26" w:rsidRDefault="00A17E26" w:rsidP="00665BDB">
      <w:pPr>
        <w:pStyle w:val="Textoindependiente"/>
        <w:rPr>
          <w:sz w:val="21"/>
        </w:rPr>
      </w:pPr>
    </w:p>
    <w:p w14:paraId="06385FF7" w14:textId="3B11E816" w:rsidR="00A17E26" w:rsidRDefault="006A2D5D" w:rsidP="00665BDB">
      <w:pPr>
        <w:pStyle w:val="Textoindependiente"/>
        <w:spacing w:line="247" w:lineRule="auto"/>
        <w:ind w:left="396" w:right="404"/>
        <w:jc w:val="both"/>
      </w:pPr>
      <w:r>
        <w:rPr>
          <w:spacing w:val="-2"/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parte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aplicación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estos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procedimientos,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obtuvimos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entendimiento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56"/>
          <w:w w:val="105"/>
        </w:rPr>
        <w:t xml:space="preserve"> </w:t>
      </w:r>
      <w:r>
        <w:rPr>
          <w:spacing w:val="-2"/>
          <w:w w:val="105"/>
        </w:rPr>
        <w:t>entidad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entorno,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incluyendo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controles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internos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Compañía,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propósito</w:t>
      </w:r>
      <w:r>
        <w:rPr>
          <w:spacing w:val="-56"/>
          <w:w w:val="10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identificar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evaluar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riesgos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distorsiones</w:t>
      </w:r>
      <w:r>
        <w:rPr>
          <w:spacing w:val="-5"/>
        </w:rPr>
        <w:t xml:space="preserve"> </w:t>
      </w:r>
      <w:r>
        <w:t>significativas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estados</w:t>
      </w:r>
      <w:r>
        <w:rPr>
          <w:spacing w:val="-9"/>
        </w:rPr>
        <w:t xml:space="preserve"> </w:t>
      </w:r>
      <w:r>
        <w:t>financieros.</w:t>
      </w:r>
      <w:r>
        <w:rPr>
          <w:spacing w:val="1"/>
        </w:rPr>
        <w:t xml:space="preserve"> </w:t>
      </w:r>
      <w:r>
        <w:rPr>
          <w:w w:val="105"/>
        </w:rPr>
        <w:t>Nuestra evaluación de riesgos toma en consideración los controles internos de 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Compañía, relevantes para la preparación y presentación razonable de sus estados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financieros,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fin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diseñar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procedimientos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auditoría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adecuados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circunstancias,</w:t>
      </w:r>
      <w:r>
        <w:rPr>
          <w:spacing w:val="-56"/>
          <w:w w:val="105"/>
        </w:rPr>
        <w:t xml:space="preserve"> </w:t>
      </w:r>
      <w:r>
        <w:rPr>
          <w:spacing w:val="-2"/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finalidad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expresar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opinión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sobre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sistemas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control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interno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56"/>
          <w:w w:val="105"/>
        </w:rPr>
        <w:t xml:space="preserve"> </w:t>
      </w:r>
      <w:r w:rsidR="006F2036">
        <w:rPr>
          <w:w w:val="105"/>
        </w:rPr>
        <w:t>VISACOM</w:t>
      </w:r>
      <w:r>
        <w:rPr>
          <w:spacing w:val="-5"/>
          <w:w w:val="105"/>
        </w:rPr>
        <w:t xml:space="preserve"> </w:t>
      </w:r>
      <w:r>
        <w:rPr>
          <w:w w:val="105"/>
        </w:rPr>
        <w:t>S.A.</w:t>
      </w:r>
    </w:p>
    <w:p w14:paraId="3BC63F01" w14:textId="77777777" w:rsidR="00A17E26" w:rsidRDefault="00A17E26">
      <w:pPr>
        <w:pStyle w:val="Textoindependiente"/>
        <w:spacing w:before="4"/>
        <w:rPr>
          <w:sz w:val="21"/>
        </w:rPr>
      </w:pPr>
    </w:p>
    <w:p w14:paraId="3F6BCCA6" w14:textId="77777777" w:rsidR="00A17E26" w:rsidRDefault="006A2D5D">
      <w:pPr>
        <w:pStyle w:val="Textoindependiente"/>
        <w:spacing w:line="249" w:lineRule="auto"/>
        <w:ind w:left="396" w:right="403"/>
        <w:jc w:val="both"/>
      </w:pPr>
      <w:r>
        <w:t>La Administración de la Compañía es responsable por el establecimiento de los controles</w:t>
      </w:r>
      <w:r>
        <w:rPr>
          <w:spacing w:val="1"/>
        </w:rPr>
        <w:t xml:space="preserve"> </w:t>
      </w:r>
      <w:r>
        <w:rPr>
          <w:spacing w:val="-2"/>
          <w:w w:val="105"/>
        </w:rPr>
        <w:t>internos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consideren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necesarios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preparación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estados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financieros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libres</w:t>
      </w:r>
      <w:r>
        <w:rPr>
          <w:spacing w:val="-56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errores</w:t>
      </w:r>
      <w:r>
        <w:rPr>
          <w:spacing w:val="1"/>
          <w:w w:val="105"/>
        </w:rPr>
        <w:t xml:space="preserve"> </w:t>
      </w:r>
      <w:r>
        <w:rPr>
          <w:w w:val="105"/>
        </w:rPr>
        <w:t>significativos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fraude</w:t>
      </w:r>
      <w:r>
        <w:rPr>
          <w:spacing w:val="1"/>
          <w:w w:val="105"/>
        </w:rPr>
        <w:t xml:space="preserve"> </w:t>
      </w:r>
      <w:r>
        <w:rPr>
          <w:w w:val="105"/>
        </w:rPr>
        <w:t>u</w:t>
      </w:r>
      <w:r>
        <w:rPr>
          <w:spacing w:val="1"/>
          <w:w w:val="105"/>
        </w:rPr>
        <w:t xml:space="preserve"> </w:t>
      </w:r>
      <w:r>
        <w:rPr>
          <w:w w:val="105"/>
        </w:rPr>
        <w:t>otros</w:t>
      </w:r>
      <w:r>
        <w:rPr>
          <w:spacing w:val="1"/>
          <w:w w:val="105"/>
        </w:rPr>
        <w:t xml:space="preserve"> </w:t>
      </w:r>
      <w:r>
        <w:rPr>
          <w:w w:val="105"/>
        </w:rPr>
        <w:t>riesgos.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cumplimiento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esa</w:t>
      </w:r>
      <w:r>
        <w:rPr>
          <w:spacing w:val="1"/>
          <w:w w:val="105"/>
        </w:rPr>
        <w:t xml:space="preserve"> </w:t>
      </w:r>
      <w:r>
        <w:t>responsabilidad, la Administración utiliza estimaciones y toma decisiones para determinar</w:t>
      </w:r>
      <w:r>
        <w:rPr>
          <w:spacing w:val="-53"/>
        </w:rPr>
        <w:t xml:space="preserve"> </w:t>
      </w:r>
      <w:r>
        <w:rPr>
          <w:w w:val="105"/>
        </w:rPr>
        <w:t>los costos y los beneficios correspondientes esperados de la implementación de los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control</w:t>
      </w:r>
      <w:r>
        <w:rPr>
          <w:spacing w:val="-9"/>
          <w:w w:val="105"/>
        </w:rPr>
        <w:t xml:space="preserve"> </w:t>
      </w:r>
      <w:r>
        <w:rPr>
          <w:w w:val="105"/>
        </w:rPr>
        <w:t>interno.</w:t>
      </w:r>
    </w:p>
    <w:p w14:paraId="2596DA7E" w14:textId="77777777" w:rsidR="00A17E26" w:rsidRDefault="00A17E26">
      <w:pPr>
        <w:pStyle w:val="Textoindependiente"/>
        <w:spacing w:before="1"/>
      </w:pPr>
    </w:p>
    <w:p w14:paraId="2748D39D" w14:textId="77777777" w:rsidR="00A17E26" w:rsidRDefault="006A2D5D">
      <w:pPr>
        <w:pStyle w:val="Textoindependiente"/>
        <w:spacing w:line="247" w:lineRule="auto"/>
        <w:ind w:left="396" w:right="402"/>
        <w:jc w:val="both"/>
      </w:pPr>
      <w:r>
        <w:t>Control</w:t>
      </w:r>
      <w:r>
        <w:rPr>
          <w:spacing w:val="-6"/>
        </w:rPr>
        <w:t xml:space="preserve"> </w:t>
      </w:r>
      <w:r>
        <w:t>interno,</w:t>
      </w:r>
      <w:r>
        <w:rPr>
          <w:spacing w:val="-1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contexto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Normas</w:t>
      </w:r>
      <w:r>
        <w:rPr>
          <w:spacing w:val="-8"/>
        </w:rPr>
        <w:t xml:space="preserve"> </w:t>
      </w:r>
      <w:r>
        <w:t>Internacionales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Auditoría,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como</w:t>
      </w:r>
      <w:r>
        <w:rPr>
          <w:spacing w:val="-54"/>
        </w:rPr>
        <w:t xml:space="preserve"> </w:t>
      </w:r>
      <w:r>
        <w:t>el proceso diseñado, implementado y mantenido por los encargados de la Administración</w:t>
      </w:r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53"/>
        </w:rPr>
        <w:t xml:space="preserve"> </w:t>
      </w:r>
      <w:r>
        <w:rPr>
          <w:spacing w:val="-3"/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finalidad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proporcionar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certeza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razonable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sobre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cumplimiento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objetivos</w:t>
      </w:r>
      <w:r>
        <w:rPr>
          <w:spacing w:val="-56"/>
          <w:w w:val="105"/>
        </w:rPr>
        <w:t xml:space="preserve"> </w:t>
      </w:r>
      <w:r>
        <w:rPr>
          <w:w w:val="105"/>
        </w:rPr>
        <w:t>de las entidades en relación con la confiabilidad de los reportes financieros, eficacia y</w:t>
      </w:r>
      <w:r>
        <w:rPr>
          <w:spacing w:val="-56"/>
          <w:w w:val="105"/>
        </w:rPr>
        <w:t xml:space="preserve"> </w:t>
      </w:r>
      <w:r>
        <w:rPr>
          <w:spacing w:val="-2"/>
          <w:w w:val="105"/>
        </w:rPr>
        <w:t>eficiencia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operaciones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cumplimiento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leyes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reglamentaciones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aplicables</w:t>
      </w:r>
      <w:r>
        <w:rPr>
          <w:spacing w:val="-56"/>
          <w:w w:val="105"/>
        </w:rPr>
        <w:t xml:space="preserve"> </w:t>
      </w:r>
      <w:r>
        <w:t>a su entorno. Una deficiencia de control interno existe cuando (i) un control es planificado,</w:t>
      </w:r>
      <w:r>
        <w:rPr>
          <w:spacing w:val="-53"/>
        </w:rPr>
        <w:t xml:space="preserve"> </w:t>
      </w:r>
      <w:r>
        <w:t>implementado u operado de tal manera que no es capaz de prevenir, o detectar y corregir</w:t>
      </w:r>
      <w:r>
        <w:rPr>
          <w:spacing w:val="-53"/>
        </w:rPr>
        <w:t xml:space="preserve"> </w:t>
      </w:r>
      <w:r>
        <w:rPr>
          <w:spacing w:val="-3"/>
          <w:w w:val="105"/>
        </w:rPr>
        <w:t>oportunamente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errores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estados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financieros,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ii</w:t>
      </w:r>
      <w:proofErr w:type="spellEnd"/>
      <w:r>
        <w:rPr>
          <w:spacing w:val="-2"/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control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necesario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para</w:t>
      </w:r>
      <w:r>
        <w:rPr>
          <w:spacing w:val="-56"/>
          <w:w w:val="105"/>
        </w:rPr>
        <w:t xml:space="preserve"> </w:t>
      </w:r>
      <w:r>
        <w:rPr>
          <w:spacing w:val="-3"/>
          <w:w w:val="105"/>
        </w:rPr>
        <w:t>prevenir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detectar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corregir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errores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estados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financieros,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sido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establecido.</w:t>
      </w:r>
    </w:p>
    <w:p w14:paraId="2FEAFE96" w14:textId="77777777" w:rsidR="00A17E26" w:rsidRDefault="00A17E26">
      <w:pPr>
        <w:pStyle w:val="Textoindependiente"/>
        <w:spacing w:before="5"/>
        <w:rPr>
          <w:sz w:val="21"/>
        </w:rPr>
      </w:pPr>
    </w:p>
    <w:p w14:paraId="65357E15" w14:textId="77777777" w:rsidR="00A17E26" w:rsidRDefault="006A2D5D">
      <w:pPr>
        <w:pStyle w:val="Textoindependiente"/>
        <w:spacing w:line="247" w:lineRule="auto"/>
        <w:ind w:left="396" w:right="403"/>
        <w:jc w:val="both"/>
      </w:pPr>
      <w:r>
        <w:t>Nuestros procedimientos de auditoría fueron efectuados sobre una base de pruebas, con</w:t>
      </w:r>
      <w:r>
        <w:rPr>
          <w:spacing w:val="1"/>
        </w:rPr>
        <w:t xml:space="preserve"> </w:t>
      </w:r>
      <w:r>
        <w:rPr>
          <w:w w:val="105"/>
        </w:rPr>
        <w:t>el único propósito descrito en el primer párrafo de este reporte y, por lo tanto, no</w:t>
      </w:r>
      <w:r>
        <w:rPr>
          <w:spacing w:val="1"/>
          <w:w w:val="105"/>
        </w:rPr>
        <w:t xml:space="preserve"> </w:t>
      </w:r>
      <w:r>
        <w:rPr>
          <w:w w:val="105"/>
        </w:rPr>
        <w:t>necesariamente</w:t>
      </w:r>
      <w:r>
        <w:rPr>
          <w:spacing w:val="1"/>
          <w:w w:val="105"/>
        </w:rPr>
        <w:t xml:space="preserve"> </w:t>
      </w:r>
      <w:r>
        <w:rPr>
          <w:w w:val="105"/>
        </w:rPr>
        <w:t>refleja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asuntos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podrían</w:t>
      </w:r>
      <w:r>
        <w:rPr>
          <w:spacing w:val="1"/>
          <w:w w:val="105"/>
        </w:rPr>
        <w:t xml:space="preserve"> </w:t>
      </w:r>
      <w:r>
        <w:rPr>
          <w:w w:val="105"/>
        </w:rPr>
        <w:t>resultar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deficiencias</w:t>
      </w:r>
      <w:r>
        <w:rPr>
          <w:spacing w:val="1"/>
          <w:w w:val="105"/>
        </w:rPr>
        <w:t xml:space="preserve"> </w:t>
      </w:r>
      <w:r>
        <w:t>significativas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interno.</w:t>
      </w:r>
      <w:r>
        <w:rPr>
          <w:spacing w:val="-5"/>
        </w:rPr>
        <w:t xml:space="preserve"> </w:t>
      </w:r>
      <w:r>
        <w:t>Nuevas</w:t>
      </w:r>
      <w:r>
        <w:rPr>
          <w:spacing w:val="-3"/>
        </w:rPr>
        <w:t xml:space="preserve"> </w:t>
      </w:r>
      <w:r>
        <w:t>evaluaciones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estudios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tengan</w:t>
      </w:r>
      <w:r>
        <w:rPr>
          <w:spacing w:val="-7"/>
        </w:rPr>
        <w:t xml:space="preserve"> </w:t>
      </w:r>
      <w:r>
        <w:t>conexión</w:t>
      </w:r>
      <w:r>
        <w:rPr>
          <w:spacing w:val="-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rPr>
          <w:w w:val="105"/>
        </w:rPr>
        <w:t>futuras revisiones de auditoría o revisiones específicas de mayor profundidad podrían</w:t>
      </w:r>
      <w:r>
        <w:rPr>
          <w:spacing w:val="-56"/>
          <w:w w:val="105"/>
        </w:rPr>
        <w:t xml:space="preserve"> </w:t>
      </w:r>
      <w:r>
        <w:rPr>
          <w:w w:val="105"/>
        </w:rPr>
        <w:t>identificar</w:t>
      </w:r>
      <w:r>
        <w:rPr>
          <w:spacing w:val="-5"/>
          <w:w w:val="105"/>
        </w:rPr>
        <w:t xml:space="preserve"> </w:t>
      </w:r>
      <w:r>
        <w:rPr>
          <w:w w:val="105"/>
        </w:rPr>
        <w:t>otras</w:t>
      </w:r>
      <w:r>
        <w:rPr>
          <w:spacing w:val="-8"/>
          <w:w w:val="105"/>
        </w:rPr>
        <w:t xml:space="preserve"> </w:t>
      </w:r>
      <w:r>
        <w:rPr>
          <w:w w:val="105"/>
        </w:rPr>
        <w:t>áreas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requieren</w:t>
      </w:r>
      <w:r>
        <w:rPr>
          <w:spacing w:val="-6"/>
          <w:w w:val="105"/>
        </w:rPr>
        <w:t xml:space="preserve"> </w:t>
      </w:r>
      <w:r>
        <w:rPr>
          <w:w w:val="105"/>
        </w:rPr>
        <w:t>mejora.</w:t>
      </w:r>
    </w:p>
    <w:p w14:paraId="5032D14E" w14:textId="77777777" w:rsidR="00A17E26" w:rsidRDefault="00A17E26">
      <w:pPr>
        <w:pStyle w:val="Textoindependiente"/>
        <w:rPr>
          <w:sz w:val="21"/>
        </w:rPr>
      </w:pPr>
    </w:p>
    <w:p w14:paraId="489489D5" w14:textId="546850F0" w:rsidR="00A17E26" w:rsidRDefault="006A2D5D">
      <w:pPr>
        <w:pStyle w:val="Textoindependiente"/>
        <w:spacing w:line="247" w:lineRule="auto"/>
        <w:ind w:left="396" w:right="403"/>
        <w:jc w:val="both"/>
      </w:pPr>
      <w:r>
        <w:rPr>
          <w:w w:val="105"/>
        </w:rPr>
        <w:t>Basados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nuestra</w:t>
      </w:r>
      <w:r>
        <w:rPr>
          <w:spacing w:val="-9"/>
          <w:w w:val="105"/>
        </w:rPr>
        <w:t xml:space="preserve"> </w:t>
      </w:r>
      <w:r>
        <w:rPr>
          <w:w w:val="105"/>
        </w:rPr>
        <w:t>revisión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ciertas</w:t>
      </w:r>
      <w:r>
        <w:rPr>
          <w:spacing w:val="-10"/>
          <w:w w:val="105"/>
        </w:rPr>
        <w:t xml:space="preserve"> </w:t>
      </w:r>
      <w:r>
        <w:rPr>
          <w:w w:val="105"/>
        </w:rPr>
        <w:t>áreas</w:t>
      </w:r>
      <w:r>
        <w:rPr>
          <w:spacing w:val="-7"/>
          <w:w w:val="105"/>
        </w:rPr>
        <w:t xml:space="preserve"> </w:t>
      </w:r>
      <w:r>
        <w:rPr>
          <w:w w:val="105"/>
        </w:rPr>
        <w:t>seleccionadas</w:t>
      </w:r>
      <w:r>
        <w:rPr>
          <w:spacing w:val="-7"/>
          <w:w w:val="105"/>
        </w:rPr>
        <w:t xml:space="preserve"> </w:t>
      </w:r>
      <w:r>
        <w:rPr>
          <w:w w:val="105"/>
        </w:rPr>
        <w:t>y,</w:t>
      </w:r>
      <w:r>
        <w:rPr>
          <w:spacing w:val="-9"/>
          <w:w w:val="105"/>
        </w:rPr>
        <w:t xml:space="preserve"> </w:t>
      </w:r>
      <w:r>
        <w:rPr>
          <w:w w:val="105"/>
        </w:rPr>
        <w:t>aunque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expresamos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una opinión o conclusión sobre los controles internos de la Compañía, </w:t>
      </w:r>
      <w:r w:rsidR="00665BDB">
        <w:rPr>
          <w:w w:val="105"/>
        </w:rPr>
        <w:t xml:space="preserve">y </w:t>
      </w:r>
      <w:r>
        <w:rPr>
          <w:w w:val="105"/>
        </w:rPr>
        <w:t>no hemos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observado</w:t>
      </w:r>
      <w:r>
        <w:rPr>
          <w:spacing w:val="-14"/>
          <w:w w:val="105"/>
        </w:rPr>
        <w:t xml:space="preserve"> </w:t>
      </w:r>
      <w:r>
        <w:rPr>
          <w:w w:val="105"/>
        </w:rPr>
        <w:t>hallazgos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situaciones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carácter</w:t>
      </w:r>
      <w:r>
        <w:rPr>
          <w:spacing w:val="-12"/>
          <w:w w:val="105"/>
        </w:rPr>
        <w:t xml:space="preserve"> </w:t>
      </w:r>
      <w:r>
        <w:rPr>
          <w:w w:val="105"/>
        </w:rPr>
        <w:t>tributario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deban</w:t>
      </w:r>
      <w:r>
        <w:rPr>
          <w:spacing w:val="-13"/>
          <w:w w:val="105"/>
        </w:rPr>
        <w:t xml:space="preserve"> </w:t>
      </w:r>
      <w:r>
        <w:rPr>
          <w:w w:val="105"/>
        </w:rPr>
        <w:t>reportarse.</w:t>
      </w:r>
    </w:p>
    <w:p w14:paraId="05788AD2" w14:textId="77777777" w:rsidR="00A17E26" w:rsidRDefault="00A17E26">
      <w:pPr>
        <w:spacing w:line="247" w:lineRule="auto"/>
        <w:jc w:val="both"/>
        <w:sectPr w:rsidR="00A17E26">
          <w:type w:val="continuous"/>
          <w:pgSz w:w="12240" w:h="15840"/>
          <w:pgMar w:top="1260" w:right="1720" w:bottom="280" w:left="1720" w:header="720" w:footer="720" w:gutter="0"/>
          <w:cols w:space="720"/>
        </w:sectPr>
      </w:pPr>
    </w:p>
    <w:p w14:paraId="7C7256FA" w14:textId="05B74360" w:rsidR="00A17E26" w:rsidRDefault="006A2D5D">
      <w:pPr>
        <w:pStyle w:val="Textoindependiente"/>
        <w:spacing w:before="76" w:line="249" w:lineRule="auto"/>
        <w:ind w:left="396" w:right="407"/>
        <w:jc w:val="both"/>
      </w:pPr>
      <w:r>
        <w:rPr>
          <w:w w:val="105"/>
        </w:rPr>
        <w:lastRenderedPageBreak/>
        <w:t>Este informe se emite exclusivamente para conocimiento de la Junta de Accionistas y</w:t>
      </w:r>
      <w:r>
        <w:rPr>
          <w:spacing w:val="-56"/>
          <w:w w:val="105"/>
        </w:rPr>
        <w:t xml:space="preserve"> </w:t>
      </w:r>
      <w:r>
        <w:t xml:space="preserve">Administración de </w:t>
      </w:r>
      <w:r w:rsidR="006F2036">
        <w:t>VISACOM</w:t>
      </w:r>
      <w:r>
        <w:t xml:space="preserve"> S.A. y para su presentación al Servicio de Rentas Internas</w:t>
      </w:r>
      <w:r>
        <w:rPr>
          <w:spacing w:val="1"/>
        </w:rPr>
        <w:t xml:space="preserve"> </w:t>
      </w:r>
      <w:r>
        <w:rPr>
          <w:w w:val="105"/>
        </w:rPr>
        <w:t>en cumplimiento de las disposiciones emitidas por esta entidad de control, y no debe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w w:val="105"/>
        </w:rPr>
        <w:t>utilizado para</w:t>
      </w:r>
      <w:r>
        <w:rPr>
          <w:spacing w:val="-4"/>
          <w:w w:val="105"/>
        </w:rPr>
        <w:t xml:space="preserve"> </w:t>
      </w:r>
      <w:r>
        <w:rPr>
          <w:w w:val="105"/>
        </w:rPr>
        <w:t>ningún</w:t>
      </w:r>
      <w:r>
        <w:rPr>
          <w:spacing w:val="-4"/>
          <w:w w:val="105"/>
        </w:rPr>
        <w:t xml:space="preserve"> </w:t>
      </w:r>
      <w:r>
        <w:rPr>
          <w:w w:val="105"/>
        </w:rPr>
        <w:t>otro</w:t>
      </w:r>
      <w:r>
        <w:rPr>
          <w:spacing w:val="-3"/>
          <w:w w:val="105"/>
        </w:rPr>
        <w:t xml:space="preserve"> </w:t>
      </w:r>
      <w:r>
        <w:rPr>
          <w:w w:val="105"/>
        </w:rPr>
        <w:t>propósito.</w:t>
      </w:r>
    </w:p>
    <w:p w14:paraId="497FB9F8" w14:textId="77777777" w:rsidR="00A17E26" w:rsidRDefault="00A17E26">
      <w:pPr>
        <w:pStyle w:val="Textoindependiente"/>
        <w:spacing w:before="7"/>
        <w:rPr>
          <w:sz w:val="11"/>
        </w:rPr>
      </w:pPr>
    </w:p>
    <w:p w14:paraId="440E3064" w14:textId="77777777" w:rsidR="00A17E26" w:rsidRDefault="00A17E26">
      <w:pPr>
        <w:rPr>
          <w:sz w:val="11"/>
        </w:rPr>
        <w:sectPr w:rsidR="00A17E26">
          <w:pgSz w:w="12240" w:h="15840"/>
          <w:pgMar w:top="1260" w:right="1720" w:bottom="280" w:left="1720" w:header="720" w:footer="720" w:gutter="0"/>
          <w:cols w:space="720"/>
        </w:sectPr>
      </w:pPr>
    </w:p>
    <w:p w14:paraId="6F63493D" w14:textId="0429BE19" w:rsidR="00A17E26" w:rsidRDefault="006A2D5D">
      <w:pPr>
        <w:pStyle w:val="Textoindependiente"/>
        <w:spacing w:before="100"/>
        <w:ind w:left="396"/>
        <w:rPr>
          <w:w w:val="105"/>
        </w:rPr>
      </w:pPr>
      <w:r>
        <w:rPr>
          <w:w w:val="105"/>
        </w:rPr>
        <w:t>Atentamente,</w:t>
      </w:r>
    </w:p>
    <w:p w14:paraId="4943C827" w14:textId="48624E65" w:rsidR="00451D4C" w:rsidRDefault="00451D4C" w:rsidP="00451D4C">
      <w:pPr>
        <w:pStyle w:val="Textoindependiente"/>
        <w:ind w:left="396"/>
        <w:rPr>
          <w:w w:val="105"/>
        </w:rPr>
      </w:pPr>
    </w:p>
    <w:p w14:paraId="7E664471" w14:textId="68457178" w:rsidR="00451D4C" w:rsidRPr="006F2036" w:rsidRDefault="006F2036" w:rsidP="006F2036">
      <w:pPr>
        <w:pStyle w:val="Textoindependiente"/>
        <w:ind w:left="396" w:right="-2445"/>
        <w:rPr>
          <w:rFonts w:ascii="Brush Script MT" w:hAnsi="Brush Script MT"/>
          <w:w w:val="105"/>
          <w:sz w:val="72"/>
          <w:szCs w:val="72"/>
        </w:rPr>
      </w:pPr>
      <w:proofErr w:type="spellStart"/>
      <w:r w:rsidRPr="006F2036">
        <w:rPr>
          <w:rFonts w:ascii="Brush Script MT" w:hAnsi="Brush Script MT"/>
          <w:w w:val="105"/>
          <w:sz w:val="72"/>
          <w:szCs w:val="72"/>
        </w:rPr>
        <w:t>Cpaalmeida</w:t>
      </w:r>
      <w:proofErr w:type="spellEnd"/>
    </w:p>
    <w:p w14:paraId="076223CD" w14:textId="32AF24F6" w:rsidR="00451D4C" w:rsidRPr="00451D4C" w:rsidRDefault="006A2D5D" w:rsidP="00451D4C">
      <w:pPr>
        <w:pStyle w:val="Textoindependiente"/>
        <w:rPr>
          <w:sz w:val="21"/>
        </w:rPr>
        <w:sectPr w:rsidR="00451D4C" w:rsidRPr="00451D4C">
          <w:type w:val="continuous"/>
          <w:pgSz w:w="12240" w:h="15840"/>
          <w:pgMar w:top="1260" w:right="1720" w:bottom="280" w:left="1720" w:header="720" w:footer="720" w:gutter="0"/>
          <w:cols w:num="3" w:space="720" w:equalWidth="0">
            <w:col w:w="1666" w:space="3930"/>
            <w:col w:w="1355" w:space="40"/>
            <w:col w:w="1809"/>
          </w:cols>
        </w:sectPr>
      </w:pPr>
      <w:r>
        <w:br w:type="column"/>
      </w:r>
    </w:p>
    <w:p w14:paraId="5B0432FB" w14:textId="77777777" w:rsidR="00A17E26" w:rsidRDefault="006A2D5D" w:rsidP="00451D4C">
      <w:pPr>
        <w:pStyle w:val="Ttulo1"/>
        <w:tabs>
          <w:tab w:val="left" w:pos="5995"/>
        </w:tabs>
      </w:pPr>
      <w:r>
        <w:rPr>
          <w:w w:val="105"/>
        </w:rPr>
        <w:t>CPAALMEIDA</w:t>
      </w:r>
      <w:r>
        <w:rPr>
          <w:spacing w:val="-12"/>
          <w:w w:val="105"/>
        </w:rPr>
        <w:t xml:space="preserve"> </w:t>
      </w:r>
      <w:r>
        <w:rPr>
          <w:w w:val="105"/>
        </w:rPr>
        <w:t>CIA.</w:t>
      </w:r>
      <w:r>
        <w:rPr>
          <w:spacing w:val="-12"/>
          <w:w w:val="105"/>
        </w:rPr>
        <w:t xml:space="preserve"> </w:t>
      </w:r>
      <w:r>
        <w:rPr>
          <w:w w:val="105"/>
        </w:rPr>
        <w:t>LTDA</w:t>
      </w:r>
      <w:r>
        <w:rPr>
          <w:w w:val="105"/>
        </w:rPr>
        <w:tab/>
        <w:t>Carlos</w:t>
      </w:r>
      <w:r>
        <w:rPr>
          <w:spacing w:val="-11"/>
          <w:w w:val="105"/>
        </w:rPr>
        <w:t xml:space="preserve"> </w:t>
      </w:r>
      <w:r>
        <w:rPr>
          <w:w w:val="105"/>
        </w:rPr>
        <w:t>G.</w:t>
      </w:r>
      <w:r>
        <w:rPr>
          <w:spacing w:val="-12"/>
          <w:w w:val="105"/>
        </w:rPr>
        <w:t xml:space="preserve"> </w:t>
      </w:r>
      <w:r>
        <w:rPr>
          <w:w w:val="105"/>
        </w:rPr>
        <w:t>Almeida</w:t>
      </w:r>
      <w:r>
        <w:rPr>
          <w:spacing w:val="-7"/>
          <w:w w:val="105"/>
        </w:rPr>
        <w:t xml:space="preserve"> </w:t>
      </w:r>
      <w:r>
        <w:rPr>
          <w:w w:val="105"/>
        </w:rPr>
        <w:t>R.</w:t>
      </w:r>
    </w:p>
    <w:p w14:paraId="4B24BA46" w14:textId="77777777" w:rsidR="00A17E26" w:rsidRDefault="006A2D5D" w:rsidP="00451D4C">
      <w:pPr>
        <w:tabs>
          <w:tab w:val="left" w:pos="5994"/>
        </w:tabs>
        <w:ind w:left="396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SCVS-RNAE-1343</w:t>
      </w:r>
      <w:r>
        <w:rPr>
          <w:rFonts w:ascii="Arial"/>
          <w:b/>
          <w:w w:val="105"/>
          <w:sz w:val="20"/>
        </w:rPr>
        <w:tab/>
        <w:t>Socio</w:t>
      </w:r>
    </w:p>
    <w:p w14:paraId="5B0AE944" w14:textId="77777777" w:rsidR="00A17E26" w:rsidRDefault="006A2D5D">
      <w:pPr>
        <w:pStyle w:val="Textoindependiente"/>
        <w:spacing w:before="7"/>
        <w:ind w:right="963"/>
        <w:jc w:val="right"/>
      </w:pPr>
      <w:r>
        <w:rPr>
          <w:w w:val="105"/>
        </w:rPr>
        <w:t>Registro</w:t>
      </w:r>
      <w:r>
        <w:rPr>
          <w:spacing w:val="-11"/>
          <w:w w:val="105"/>
        </w:rPr>
        <w:t xml:space="preserve"> </w:t>
      </w:r>
      <w:r>
        <w:rPr>
          <w:w w:val="105"/>
        </w:rPr>
        <w:t>No.</w:t>
      </w:r>
      <w:r>
        <w:rPr>
          <w:spacing w:val="-13"/>
          <w:w w:val="105"/>
        </w:rPr>
        <w:t xml:space="preserve"> </w:t>
      </w:r>
      <w:r>
        <w:rPr>
          <w:w w:val="105"/>
        </w:rPr>
        <w:t>22.980</w:t>
      </w:r>
    </w:p>
    <w:sectPr w:rsidR="00A17E26">
      <w:type w:val="continuous"/>
      <w:pgSz w:w="12240" w:h="15840"/>
      <w:pgMar w:top="12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26"/>
    <w:rsid w:val="00451D4C"/>
    <w:rsid w:val="00665BDB"/>
    <w:rsid w:val="006A2D5D"/>
    <w:rsid w:val="006F2036"/>
    <w:rsid w:val="00A1118C"/>
    <w:rsid w:val="00A1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B1F3"/>
  <w15:docId w15:val="{FFCFEB0C-1FAF-4653-A8FF-AC28F62B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9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Informe de recomendaciones tributarias VISACOM 2020.docx</vt:lpstr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Informe de recomendaciones tributarias VISACOM 2020.docx</dc:title>
  <dc:creator>Carlos Almeida</dc:creator>
  <cp:lastModifiedBy>Carlos-Gustavo Almeida</cp:lastModifiedBy>
  <cp:revision>5</cp:revision>
  <dcterms:created xsi:type="dcterms:W3CDTF">2022-06-27T17:20:00Z</dcterms:created>
  <dcterms:modified xsi:type="dcterms:W3CDTF">2022-07-05T16:23:00Z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LastSaved">
    <vt:filetime>2022-06-27T00:00:00Z</vt:filetime>
  </property>
</Properties>
</file>