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88A" w:rsidRDefault="00C5388A"/>
    <w:p w:rsidR="0040015E" w:rsidRDefault="0040015E"/>
    <w:p w:rsidR="0040015E" w:rsidRDefault="0040015E"/>
    <w:p w:rsidR="0040015E" w:rsidRDefault="0040015E" w:rsidP="0040015E">
      <w:pPr>
        <w:jc w:val="center"/>
        <w:rPr>
          <w:rFonts w:ascii="Verdana" w:hAnsi="Verdana" w:cs="Arial"/>
          <w:b/>
          <w:color w:val="000000"/>
          <w:sz w:val="21"/>
          <w:szCs w:val="21"/>
          <w:u w:val="single"/>
        </w:rPr>
      </w:pPr>
      <w:r>
        <w:rPr>
          <w:rFonts w:ascii="Verdana" w:hAnsi="Verdana" w:cs="Arial"/>
          <w:b/>
          <w:color w:val="000000"/>
          <w:sz w:val="21"/>
          <w:szCs w:val="21"/>
          <w:u w:val="single"/>
        </w:rPr>
        <w:t>VISACOM S.A.</w:t>
      </w:r>
    </w:p>
    <w:p w:rsidR="0040015E" w:rsidRDefault="0040015E" w:rsidP="0040015E">
      <w:pPr>
        <w:jc w:val="center"/>
        <w:rPr>
          <w:rFonts w:ascii="Verdana" w:hAnsi="Verdana" w:cs="Arial"/>
          <w:b/>
          <w:color w:val="000000"/>
          <w:sz w:val="21"/>
          <w:szCs w:val="21"/>
        </w:rPr>
      </w:pPr>
    </w:p>
    <w:p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ESTADOS FINANCIEROS POR LOS AÑOS TERMINADOS</w:t>
      </w:r>
    </w:p>
    <w:p w:rsidR="0040015E" w:rsidRDefault="0040015E" w:rsidP="0040015E">
      <w:pPr>
        <w:pStyle w:val="Ttulo1"/>
        <w:ind w:left="0"/>
        <w:jc w:val="center"/>
        <w:rPr>
          <w:rFonts w:ascii="Verdana" w:hAnsi="Verdana" w:cs="Arial"/>
          <w:b/>
          <w:color w:val="000000"/>
          <w:sz w:val="21"/>
          <w:szCs w:val="21"/>
        </w:rPr>
      </w:pPr>
      <w:r>
        <w:rPr>
          <w:rFonts w:ascii="Verdana" w:hAnsi="Verdana" w:cs="Arial"/>
          <w:b/>
          <w:color w:val="000000"/>
          <w:sz w:val="21"/>
          <w:szCs w:val="21"/>
        </w:rPr>
        <w:t>EL 31 DE DICIEMBRE DE 2021 Y 2020</w:t>
      </w:r>
    </w:p>
    <w:p w:rsidR="0040015E" w:rsidRDefault="0040015E" w:rsidP="0040015E">
      <w:pPr>
        <w:jc w:val="center"/>
        <w:rPr>
          <w:rFonts w:ascii="Verdana" w:hAnsi="Verdana" w:cs="Arial"/>
          <w:color w:val="000000"/>
          <w:sz w:val="21"/>
          <w:szCs w:val="21"/>
        </w:rPr>
      </w:pPr>
    </w:p>
    <w:p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CON EL INFORME DE LOS AUDITORES INDEPENDIENTES</w:t>
      </w:r>
    </w:p>
    <w:p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rsidR="0040015E" w:rsidRPr="0040015E" w:rsidRDefault="0040015E" w:rsidP="0040015E">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rsidR="0040015E" w:rsidRPr="0040015E" w:rsidRDefault="0040015E" w:rsidP="0040015E">
      <w:pPr>
        <w:rPr>
          <w:rFonts w:ascii="Verdana" w:hAnsi="Verdana" w:cs="Arial"/>
          <w:color w:val="000000"/>
          <w:sz w:val="21"/>
          <w:szCs w:val="21"/>
        </w:rPr>
      </w:pPr>
    </w:p>
    <w:p w:rsidR="0040015E" w:rsidRPr="0040015E" w:rsidRDefault="0040015E" w:rsidP="0040015E">
      <w:pPr>
        <w:keepNext/>
        <w:overflowPunct w:val="0"/>
        <w:autoSpaceDE w:val="0"/>
        <w:autoSpaceDN w:val="0"/>
        <w:adjustRightInd w:val="0"/>
        <w:outlineLvl w:val="5"/>
        <w:rPr>
          <w:rFonts w:ascii="Verdana" w:hAnsi="Verdana" w:cs="Arial"/>
          <w:b/>
          <w:color w:val="000000"/>
          <w:sz w:val="21"/>
          <w:szCs w:val="21"/>
          <w:lang w:val="es-EC"/>
        </w:rPr>
      </w:pPr>
      <w:bookmarkStart w:id="0" w:name="_Hlk34213386"/>
      <w:r w:rsidRPr="0040015E">
        <w:rPr>
          <w:rFonts w:ascii="Verdana" w:hAnsi="Verdana" w:cs="Arial"/>
          <w:b/>
          <w:color w:val="000000"/>
          <w:sz w:val="21"/>
          <w:szCs w:val="21"/>
          <w:lang w:val="es-EC"/>
        </w:rPr>
        <w:t>ESTADOS FINANCIEROS</w:t>
      </w:r>
    </w:p>
    <w:p w:rsidR="0040015E" w:rsidRPr="0040015E" w:rsidRDefault="0040015E" w:rsidP="0040015E">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sidRPr="0040015E">
        <w:rPr>
          <w:rFonts w:ascii="Verdana" w:hAnsi="Verdana" w:cs="Arial"/>
          <w:b/>
          <w:color w:val="000000"/>
          <w:sz w:val="21"/>
          <w:szCs w:val="21"/>
          <w:lang w:val="es-EC"/>
        </w:rPr>
        <w:t>POR LOS AÑOS TERMI</w:t>
      </w:r>
      <w:r>
        <w:rPr>
          <w:rFonts w:ascii="Verdana" w:hAnsi="Verdana" w:cs="Arial"/>
          <w:b/>
          <w:color w:val="000000"/>
          <w:sz w:val="21"/>
          <w:szCs w:val="21"/>
          <w:lang w:val="es-EC"/>
        </w:rPr>
        <w:t>NADOS EL 31 DE DICIEMBRE DE 2021 Y 2020</w:t>
      </w:r>
    </w:p>
    <w:p w:rsidR="0040015E" w:rsidRPr="0040015E" w:rsidRDefault="0040015E" w:rsidP="0040015E">
      <w:pPr>
        <w:jc w:val="both"/>
        <w:rPr>
          <w:rFonts w:ascii="Verdana" w:hAnsi="Verdana" w:cs="Arial"/>
          <w:b/>
          <w:color w:val="000000"/>
          <w:sz w:val="21"/>
          <w:szCs w:val="21"/>
          <w:u w:val="single"/>
        </w:rPr>
      </w:pP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b/>
          <w:color w:val="000000"/>
          <w:sz w:val="21"/>
          <w:szCs w:val="21"/>
          <w:lang w:val="es-EC"/>
        </w:rPr>
        <w:t>INDICE</w:t>
      </w:r>
      <w:r w:rsidRPr="0040015E">
        <w:rPr>
          <w:rFonts w:ascii="Verdana" w:hAnsi="Verdana" w:cs="Arial"/>
          <w:color w:val="000000"/>
          <w:sz w:val="21"/>
          <w:szCs w:val="21"/>
          <w:lang w:val="es-EC"/>
        </w:rPr>
        <w:tab/>
      </w:r>
      <w:r w:rsidRPr="0040015E">
        <w:rPr>
          <w:rFonts w:ascii="Verdana" w:hAnsi="Verdana" w:cs="Arial"/>
          <w:b/>
          <w:color w:val="000000"/>
          <w:sz w:val="21"/>
          <w:szCs w:val="21"/>
          <w:lang w:val="es-EC"/>
        </w:rPr>
        <w:t>Página #</w:t>
      </w:r>
    </w:p>
    <w:p w:rsidR="0040015E" w:rsidRPr="0040015E" w:rsidRDefault="0040015E" w:rsidP="0040015E">
      <w:pPr>
        <w:jc w:val="both"/>
        <w:rPr>
          <w:rFonts w:ascii="Verdana" w:hAnsi="Verdana" w:cs="Arial"/>
          <w:b/>
          <w:color w:val="000000"/>
          <w:sz w:val="21"/>
          <w:szCs w:val="21"/>
          <w:u w:val="single"/>
        </w:rPr>
      </w:pP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Informe de los Auditores Independientes</w:t>
      </w:r>
      <w:r w:rsidRPr="0040015E">
        <w:rPr>
          <w:rFonts w:ascii="Verdana" w:hAnsi="Verdana" w:cs="Arial"/>
          <w:color w:val="000000"/>
          <w:sz w:val="21"/>
          <w:szCs w:val="21"/>
          <w:lang w:val="es-EC"/>
        </w:rPr>
        <w:tab/>
        <w:t xml:space="preserve">3 - 5 </w:t>
      </w: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situación financiera</w:t>
      </w:r>
      <w:r w:rsidRPr="0040015E">
        <w:rPr>
          <w:rFonts w:ascii="Verdana" w:hAnsi="Verdana" w:cs="Arial"/>
          <w:color w:val="000000"/>
          <w:sz w:val="21"/>
          <w:szCs w:val="21"/>
          <w:lang w:val="es-EC"/>
        </w:rPr>
        <w:tab/>
        <w:t>6</w:t>
      </w: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resultado integral</w:t>
      </w:r>
      <w:r w:rsidRPr="0040015E">
        <w:rPr>
          <w:rFonts w:ascii="Verdana" w:hAnsi="Verdana" w:cs="Arial"/>
          <w:color w:val="000000"/>
          <w:sz w:val="21"/>
          <w:szCs w:val="21"/>
          <w:lang w:val="es-EC"/>
        </w:rPr>
        <w:tab/>
        <w:t>7</w:t>
      </w: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cambios en el patrimonio neto de los accionistas</w:t>
      </w:r>
      <w:r w:rsidRPr="0040015E">
        <w:rPr>
          <w:rFonts w:ascii="Verdana" w:hAnsi="Verdana" w:cs="Arial"/>
          <w:color w:val="000000"/>
          <w:sz w:val="21"/>
          <w:szCs w:val="21"/>
          <w:lang w:val="es-EC"/>
        </w:rPr>
        <w:tab/>
        <w:t>8</w:t>
      </w: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flujos de efectivo</w:t>
      </w:r>
      <w:r w:rsidRPr="0040015E">
        <w:rPr>
          <w:rFonts w:ascii="Verdana" w:hAnsi="Verdana" w:cs="Arial"/>
          <w:color w:val="000000"/>
          <w:sz w:val="21"/>
          <w:szCs w:val="21"/>
          <w:lang w:val="es-EC"/>
        </w:rPr>
        <w:tab/>
        <w:t xml:space="preserve">9 </w:t>
      </w: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p>
    <w:p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b/>
          <w:i/>
          <w:iCs/>
          <w:color w:val="000000"/>
          <w:sz w:val="21"/>
          <w:szCs w:val="21"/>
          <w:u w:val="single"/>
          <w:lang w:val="es-EC"/>
        </w:rPr>
      </w:pPr>
      <w:r w:rsidRPr="0040015E">
        <w:rPr>
          <w:rFonts w:ascii="Verdana" w:hAnsi="Verdana" w:cs="Arial"/>
          <w:i/>
          <w:iCs/>
          <w:color w:val="000000"/>
          <w:sz w:val="21"/>
          <w:szCs w:val="21"/>
          <w:lang w:val="es-EC"/>
        </w:rPr>
        <w:t>Notas a los estados financieros:</w:t>
      </w:r>
      <w:r w:rsidRPr="0040015E">
        <w:rPr>
          <w:rFonts w:ascii="Verdana" w:hAnsi="Verdana" w:cs="Arial"/>
          <w:i/>
          <w:iCs/>
          <w:color w:val="000000"/>
          <w:sz w:val="21"/>
          <w:szCs w:val="21"/>
          <w:lang w:val="es-EC"/>
        </w:rPr>
        <w:tab/>
      </w:r>
    </w:p>
    <w:p w:rsidR="0040015E" w:rsidRPr="0040015E" w:rsidRDefault="0040015E" w:rsidP="0040015E">
      <w:pPr>
        <w:jc w:val="both"/>
        <w:rPr>
          <w:rFonts w:ascii="Verdana" w:hAnsi="Verdana" w:cs="Arial"/>
          <w:bCs/>
          <w:color w:val="000000"/>
          <w:sz w:val="21"/>
          <w:szCs w:val="21"/>
          <w:lang w:val="es-EC"/>
        </w:rPr>
      </w:pP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gen</w:t>
      </w:r>
      <w:r>
        <w:rPr>
          <w:rFonts w:ascii="Verdana" w:hAnsi="Verdana" w:cs="Arial"/>
          <w:bCs/>
          <w:color w:val="000000"/>
          <w:sz w:val="21"/>
          <w:szCs w:val="21"/>
          <w:lang w:val="es-EC"/>
        </w:rPr>
        <w:t>eral de la Compañía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10</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…Bases de preparación y presentación de lo</w:t>
      </w:r>
      <w:r>
        <w:rPr>
          <w:rFonts w:ascii="Verdana" w:hAnsi="Verdana" w:cs="Arial"/>
          <w:bCs/>
          <w:color w:val="000000"/>
          <w:sz w:val="21"/>
          <w:szCs w:val="21"/>
          <w:lang w:val="es-EC"/>
        </w:rPr>
        <w:t>s estados financieros</w:t>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11</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…Resumen de políticas co</w:t>
      </w:r>
      <w:r>
        <w:rPr>
          <w:rFonts w:ascii="Verdana" w:hAnsi="Verdana" w:cs="Arial"/>
          <w:bCs/>
          <w:color w:val="000000"/>
          <w:sz w:val="21"/>
          <w:szCs w:val="21"/>
          <w:lang w:val="es-EC"/>
        </w:rPr>
        <w:t>ntables significativas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12-</w:t>
      </w:r>
      <w:r w:rsidRPr="0040015E">
        <w:rPr>
          <w:rFonts w:ascii="Verdana" w:hAnsi="Verdana" w:cs="Arial"/>
          <w:bCs/>
          <w:color w:val="000000"/>
          <w:sz w:val="21"/>
          <w:szCs w:val="21"/>
          <w:lang w:val="es-EC"/>
        </w:rPr>
        <w:t>17</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…Cambios en p</w:t>
      </w:r>
      <w:r>
        <w:rPr>
          <w:rFonts w:ascii="Verdana" w:hAnsi="Verdana" w:cs="Arial"/>
          <w:bCs/>
          <w:color w:val="000000"/>
          <w:sz w:val="21"/>
          <w:szCs w:val="21"/>
          <w:lang w:val="es-EC"/>
        </w:rPr>
        <w:t>olíticas contables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respecto de la incertidumbre e</w:t>
      </w:r>
      <w:r>
        <w:rPr>
          <w:rFonts w:ascii="Verdana" w:hAnsi="Verdana" w:cs="Arial"/>
          <w:bCs/>
          <w:color w:val="000000"/>
          <w:sz w:val="21"/>
          <w:szCs w:val="21"/>
          <w:lang w:val="es-EC"/>
        </w:rPr>
        <w:t>n juicios y estimaciones</w:t>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…Efectivo y equivalentes de efectiv</w:t>
      </w:r>
      <w:r>
        <w:rPr>
          <w:rFonts w:ascii="Verdana" w:hAnsi="Verdana" w:cs="Arial"/>
          <w:bCs/>
          <w:color w:val="000000"/>
          <w:sz w:val="21"/>
          <w:szCs w:val="21"/>
          <w:lang w:val="es-EC"/>
        </w:rPr>
        <w: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w:t>
      </w:r>
      <w:r>
        <w:rPr>
          <w:rFonts w:ascii="Verdana" w:hAnsi="Verdana" w:cs="Arial"/>
          <w:bCs/>
          <w:color w:val="000000"/>
          <w:sz w:val="21"/>
          <w:szCs w:val="21"/>
          <w:lang w:val="es-EC"/>
        </w:rPr>
        <w:t>uentas por cobrar</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…Activo por im</w:t>
      </w:r>
      <w:r>
        <w:rPr>
          <w:rFonts w:ascii="Verdana" w:hAnsi="Verdana" w:cs="Arial"/>
          <w:bCs/>
          <w:color w:val="000000"/>
          <w:sz w:val="21"/>
          <w:szCs w:val="21"/>
          <w:lang w:val="es-EC"/>
        </w:rPr>
        <w:t>puestos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…Inventarios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…Propiedad</w:t>
      </w:r>
      <w:r>
        <w:rPr>
          <w:rFonts w:ascii="Verdana" w:hAnsi="Verdana" w:cs="Arial"/>
          <w:bCs/>
          <w:color w:val="000000"/>
          <w:sz w:val="21"/>
          <w:szCs w:val="21"/>
          <w:lang w:val="es-EC"/>
        </w:rPr>
        <w:t>es y equipos, neto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w:t>
      </w:r>
      <w:r>
        <w:rPr>
          <w:rFonts w:ascii="Verdana" w:hAnsi="Verdana" w:cs="Arial"/>
          <w:bCs/>
          <w:color w:val="000000"/>
          <w:sz w:val="21"/>
          <w:szCs w:val="21"/>
          <w:lang w:val="es-EC"/>
        </w:rPr>
        <w:t>r pagar a terceros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por pagar, partes rel</w:t>
      </w:r>
      <w:r>
        <w:rPr>
          <w:rFonts w:ascii="Verdana" w:hAnsi="Verdana" w:cs="Arial"/>
          <w:bCs/>
          <w:color w:val="000000"/>
          <w:sz w:val="21"/>
          <w:szCs w:val="21"/>
          <w:lang w:val="es-EC"/>
        </w:rPr>
        <w:t>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…Otras oblig</w:t>
      </w:r>
      <w:r>
        <w:rPr>
          <w:rFonts w:ascii="Verdana" w:hAnsi="Verdana" w:cs="Arial"/>
          <w:bCs/>
          <w:color w:val="000000"/>
          <w:sz w:val="21"/>
          <w:szCs w:val="21"/>
          <w:lang w:val="es-EC"/>
        </w:rPr>
        <w:t>aciones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…Jubilación pa</w:t>
      </w:r>
      <w:r>
        <w:rPr>
          <w:rFonts w:ascii="Verdana" w:hAnsi="Verdana" w:cs="Arial"/>
          <w:bCs/>
          <w:color w:val="000000"/>
          <w:sz w:val="21"/>
          <w:szCs w:val="21"/>
          <w:lang w:val="es-EC"/>
        </w:rPr>
        <w:t>tronal y desahucio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…Capital social</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…Ventas netas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…Costo de ventas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…Gastos de administración y ventas</w:t>
      </w:r>
      <w:r w:rsidRPr="0040015E">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…Im</w:t>
      </w:r>
      <w:r>
        <w:rPr>
          <w:rFonts w:ascii="Verdana" w:hAnsi="Verdana" w:cs="Arial"/>
          <w:bCs/>
          <w:color w:val="000000"/>
          <w:sz w:val="21"/>
          <w:szCs w:val="21"/>
          <w:lang w:val="es-EC"/>
        </w:rPr>
        <w:t>puesto a la renta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…Saldos y transacciones co</w:t>
      </w:r>
      <w:r>
        <w:rPr>
          <w:rFonts w:ascii="Verdana" w:hAnsi="Verdana" w:cs="Arial"/>
          <w:bCs/>
          <w:color w:val="000000"/>
          <w:sz w:val="21"/>
          <w:szCs w:val="21"/>
          <w:lang w:val="es-EC"/>
        </w:rPr>
        <w:t>n partes relacionadas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…Compr</w:t>
      </w:r>
      <w:r>
        <w:rPr>
          <w:rFonts w:ascii="Verdana" w:hAnsi="Verdana" w:cs="Arial"/>
          <w:bCs/>
          <w:color w:val="000000"/>
          <w:sz w:val="21"/>
          <w:szCs w:val="21"/>
          <w:lang w:val="es-EC"/>
        </w:rPr>
        <w:t>omisos y contratos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…Ref</w:t>
      </w:r>
      <w:r>
        <w:rPr>
          <w:rFonts w:ascii="Verdana" w:hAnsi="Verdana" w:cs="Arial"/>
          <w:bCs/>
          <w:color w:val="000000"/>
          <w:sz w:val="21"/>
          <w:szCs w:val="21"/>
          <w:lang w:val="es-EC"/>
        </w:rPr>
        <w:t>ormas tributarias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25</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financiera por s</w:t>
      </w:r>
      <w:r>
        <w:rPr>
          <w:rFonts w:ascii="Verdana" w:hAnsi="Verdana" w:cs="Arial"/>
          <w:bCs/>
          <w:color w:val="000000"/>
          <w:sz w:val="21"/>
          <w:szCs w:val="21"/>
          <w:lang w:val="es-EC"/>
        </w:rPr>
        <w:t>egmentos de operación</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…Eve</w:t>
      </w:r>
      <w:r>
        <w:rPr>
          <w:rFonts w:ascii="Verdana" w:hAnsi="Verdana" w:cs="Arial"/>
          <w:bCs/>
          <w:color w:val="000000"/>
          <w:sz w:val="21"/>
          <w:szCs w:val="21"/>
          <w:lang w:val="es-EC"/>
        </w:rPr>
        <w:t>ntos subsecuentes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rsidR="0040015E" w:rsidRPr="0040015E" w:rsidRDefault="0040015E" w:rsidP="0040015E">
      <w:pPr>
        <w:jc w:val="both"/>
        <w:rPr>
          <w:rFonts w:ascii="Verdana" w:hAnsi="Verdana" w:cs="Arial"/>
          <w:b/>
          <w:color w:val="000000"/>
          <w:sz w:val="21"/>
          <w:szCs w:val="21"/>
          <w:u w:val="single"/>
        </w:rPr>
      </w:pPr>
    </w:p>
    <w:p w:rsidR="0040015E" w:rsidRPr="00F865CE" w:rsidRDefault="0040015E" w:rsidP="0040015E">
      <w:pPr>
        <w:jc w:val="both"/>
        <w:rPr>
          <w:rFonts w:ascii="Verdana" w:hAnsi="Verdana" w:cs="Arial"/>
          <w:b/>
          <w:color w:val="000000"/>
          <w:sz w:val="21"/>
          <w:szCs w:val="21"/>
          <w:lang w:val="es-EC"/>
        </w:rPr>
      </w:pPr>
      <w:r w:rsidRPr="00F865CE">
        <w:rPr>
          <w:rFonts w:ascii="Verdana" w:hAnsi="Verdana" w:cs="Arial"/>
          <w:b/>
          <w:color w:val="000000"/>
          <w:sz w:val="21"/>
          <w:szCs w:val="21"/>
          <w:lang w:val="es-EC"/>
        </w:rPr>
        <w:t>Abreviaturas usadas:</w:t>
      </w:r>
    </w:p>
    <w:p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p>
    <w:p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BTL</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w:t>
      </w:r>
      <w:proofErr w:type="spellStart"/>
      <w:r w:rsidRPr="00F865CE">
        <w:rPr>
          <w:rFonts w:ascii="Verdana" w:hAnsi="Verdana" w:cs="Arial"/>
          <w:color w:val="000000"/>
          <w:sz w:val="21"/>
          <w:szCs w:val="21"/>
          <w:lang w:val="es-EC"/>
        </w:rPr>
        <w:t>Below</w:t>
      </w:r>
      <w:proofErr w:type="spellEnd"/>
      <w:r w:rsidRPr="00F865CE">
        <w:rPr>
          <w:rFonts w:ascii="Verdana" w:hAnsi="Verdana" w:cs="Arial"/>
          <w:color w:val="000000"/>
          <w:sz w:val="21"/>
          <w:szCs w:val="21"/>
          <w:lang w:val="es-EC"/>
        </w:rPr>
        <w:t xml:space="preserve"> </w:t>
      </w:r>
      <w:proofErr w:type="spellStart"/>
      <w:r w:rsidRPr="00F865CE">
        <w:rPr>
          <w:rFonts w:ascii="Verdana" w:hAnsi="Verdana" w:cs="Arial"/>
          <w:color w:val="000000"/>
          <w:sz w:val="21"/>
          <w:szCs w:val="21"/>
          <w:lang w:val="es-EC"/>
        </w:rPr>
        <w:t>the</w:t>
      </w:r>
      <w:proofErr w:type="spellEnd"/>
      <w:r w:rsidRPr="00F865CE">
        <w:rPr>
          <w:rFonts w:ascii="Verdana" w:hAnsi="Verdana" w:cs="Arial"/>
          <w:color w:val="000000"/>
          <w:sz w:val="21"/>
          <w:szCs w:val="21"/>
          <w:lang w:val="es-EC"/>
        </w:rPr>
        <w:t xml:space="preserve"> Line </w:t>
      </w:r>
    </w:p>
    <w:p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IASB</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International </w:t>
      </w:r>
      <w:proofErr w:type="spellStart"/>
      <w:r w:rsidRPr="00F865CE">
        <w:rPr>
          <w:rFonts w:ascii="Verdana" w:hAnsi="Verdana" w:cs="Arial"/>
          <w:color w:val="000000"/>
          <w:sz w:val="21"/>
          <w:szCs w:val="21"/>
          <w:lang w:val="es-EC"/>
        </w:rPr>
        <w:t>Accounting</w:t>
      </w:r>
      <w:proofErr w:type="spellEnd"/>
      <w:r w:rsidRPr="00F865CE">
        <w:rPr>
          <w:rFonts w:ascii="Verdana" w:hAnsi="Verdana" w:cs="Arial"/>
          <w:color w:val="000000"/>
          <w:sz w:val="21"/>
          <w:szCs w:val="21"/>
          <w:lang w:val="es-EC"/>
        </w:rPr>
        <w:t xml:space="preserve"> Standard </w:t>
      </w:r>
      <w:proofErr w:type="spellStart"/>
      <w:r w:rsidRPr="00F865CE">
        <w:rPr>
          <w:rFonts w:ascii="Verdana" w:hAnsi="Verdana" w:cs="Arial"/>
          <w:color w:val="000000"/>
          <w:sz w:val="21"/>
          <w:szCs w:val="21"/>
          <w:lang w:val="es-EC"/>
        </w:rPr>
        <w:t>Board</w:t>
      </w:r>
      <w:proofErr w:type="spellEnd"/>
    </w:p>
    <w:p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IESS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Instituto Ecuatoriano de Seguridad Social</w:t>
      </w:r>
    </w:p>
    <w:p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IR</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 la Renta</w:t>
      </w:r>
    </w:p>
    <w:p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IVA</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al Valor Agregado</w:t>
      </w:r>
    </w:p>
    <w:p w:rsidR="0040015E" w:rsidRPr="0040015E" w:rsidRDefault="0040015E" w:rsidP="0040015E">
      <w:pPr>
        <w:tabs>
          <w:tab w:val="left" w:pos="1418"/>
        </w:tabs>
        <w:overflowPunct w:val="0"/>
        <w:autoSpaceDE w:val="0"/>
        <w:autoSpaceDN w:val="0"/>
        <w:adjustRightInd w:val="0"/>
        <w:ind w:left="2836" w:hanging="2836"/>
        <w:rPr>
          <w:rFonts w:ascii="Verdana" w:hAnsi="Verdana" w:cs="Arial"/>
          <w:color w:val="000000"/>
          <w:sz w:val="21"/>
          <w:szCs w:val="21"/>
          <w:lang w:val="es-EC"/>
        </w:rPr>
      </w:pPr>
      <w:r w:rsidRPr="0040015E">
        <w:rPr>
          <w:rFonts w:ascii="Verdana" w:hAnsi="Verdana" w:cs="Arial"/>
          <w:color w:val="000000"/>
          <w:sz w:val="21"/>
          <w:szCs w:val="21"/>
          <w:lang w:val="es-EC"/>
        </w:rPr>
        <w:t>NIIF Para PYMES</w:t>
      </w:r>
      <w:r w:rsidRPr="0040015E">
        <w:rPr>
          <w:rFonts w:ascii="Verdana" w:hAnsi="Verdana" w:cs="Arial"/>
          <w:color w:val="000000"/>
          <w:sz w:val="21"/>
          <w:szCs w:val="21"/>
          <w:lang w:val="es-EC"/>
        </w:rPr>
        <w:tab/>
        <w:t xml:space="preserve">- Normas Internacionales de Información Financiera para Pequeñas y Medianas empresas          </w:t>
      </w:r>
    </w:p>
    <w:p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PT</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Participación de Trabajadores en las utilidades</w:t>
      </w:r>
    </w:p>
    <w:p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SRI</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Servicio de Rentas Internas</w:t>
      </w:r>
    </w:p>
    <w:p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US$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xml:space="preserve">- Dólares de los Estados </w:t>
      </w:r>
      <w:bookmarkEnd w:id="0"/>
      <w:r w:rsidRPr="0040015E">
        <w:rPr>
          <w:rFonts w:ascii="Verdana" w:hAnsi="Verdana" w:cs="Arial"/>
          <w:color w:val="000000"/>
          <w:sz w:val="21"/>
          <w:szCs w:val="21"/>
          <w:lang w:val="es-EC"/>
        </w:rPr>
        <w:t>Unidos de América (EE. UU)</w:t>
      </w:r>
    </w:p>
    <w:p w:rsidR="0040015E" w:rsidRPr="0040015E" w:rsidRDefault="0040015E" w:rsidP="0040015E">
      <w:pPr>
        <w:pBdr>
          <w:bottom w:val="single" w:sz="4" w:space="1" w:color="auto"/>
        </w:pBdr>
        <w:jc w:val="both"/>
        <w:rPr>
          <w:rFonts w:ascii="Verdana" w:hAnsi="Verdana" w:cs="Arial"/>
          <w:color w:val="000000"/>
          <w:sz w:val="21"/>
          <w:szCs w:val="21"/>
          <w:lang w:val="es-EC"/>
        </w:rPr>
      </w:pPr>
    </w:p>
    <w:p w:rsidR="0040015E" w:rsidRPr="0040015E" w:rsidRDefault="0040015E" w:rsidP="0040015E">
      <w:pPr>
        <w:jc w:val="both"/>
        <w:rPr>
          <w:rFonts w:ascii="Verdana" w:hAnsi="Verdana" w:cs="Arial"/>
          <w:b/>
          <w:color w:val="000000"/>
          <w:sz w:val="21"/>
          <w:szCs w:val="21"/>
          <w:u w:val="single"/>
        </w:rPr>
      </w:pPr>
    </w:p>
    <w:p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rsidR="00D91861" w:rsidRDefault="00D91861" w:rsidP="00D91861">
      <w:pPr>
        <w:jc w:val="both"/>
        <w:rPr>
          <w:rFonts w:ascii="Verdana" w:hAnsi="Verdana" w:cs="Arial"/>
          <w:color w:val="000000"/>
          <w:sz w:val="21"/>
          <w:szCs w:val="21"/>
        </w:rPr>
      </w:pPr>
    </w:p>
    <w:p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rsidR="00D91861" w:rsidRDefault="00D91861" w:rsidP="00D91861">
      <w:pPr>
        <w:tabs>
          <w:tab w:val="left" w:pos="6521"/>
        </w:tabs>
        <w:autoSpaceDE w:val="0"/>
        <w:autoSpaceDN w:val="0"/>
        <w:adjustRightInd w:val="0"/>
        <w:jc w:val="both"/>
        <w:rPr>
          <w:rFonts w:ascii="Verdana" w:hAnsi="Verdana" w:cs="Arial"/>
          <w:b/>
          <w:color w:val="000000"/>
          <w:sz w:val="21"/>
          <w:szCs w:val="21"/>
        </w:rPr>
      </w:pPr>
    </w:p>
    <w:p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rsidR="00D91861" w:rsidRDefault="00D91861" w:rsidP="00D91861">
      <w:pPr>
        <w:tabs>
          <w:tab w:val="left" w:pos="1065"/>
        </w:tabs>
        <w:autoSpaceDE w:val="0"/>
        <w:autoSpaceDN w:val="0"/>
        <w:adjustRightInd w:val="0"/>
        <w:jc w:val="both"/>
        <w:rPr>
          <w:rFonts w:ascii="Verdana" w:hAnsi="Verdana" w:cs="Arial"/>
          <w:color w:val="000000"/>
          <w:sz w:val="21"/>
          <w:szCs w:val="21"/>
        </w:rPr>
      </w:pPr>
    </w:p>
    <w:p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del resultados integrales, de cambios en el patrimonio neto de los accionistas y de flujos de efectivo por los años terminados en esas fechas, así como el resumen de las principales políticas contables y notas explicativas a los estados financieros. </w:t>
      </w:r>
    </w:p>
    <w:p w:rsidR="00D91861" w:rsidRDefault="00D91861" w:rsidP="00D91861">
      <w:pPr>
        <w:autoSpaceDE w:val="0"/>
        <w:autoSpaceDN w:val="0"/>
        <w:adjustRightInd w:val="0"/>
        <w:jc w:val="both"/>
        <w:rPr>
          <w:rFonts w:ascii="Verdana" w:hAnsi="Verdana" w:cs="Arial"/>
          <w:color w:val="000000"/>
          <w:sz w:val="21"/>
          <w:szCs w:val="21"/>
        </w:rPr>
      </w:pPr>
    </w:p>
    <w:p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rsidR="00D91861" w:rsidRDefault="00D91861" w:rsidP="00D91861">
      <w:pPr>
        <w:tabs>
          <w:tab w:val="left" w:pos="6521"/>
        </w:tabs>
        <w:autoSpaceDE w:val="0"/>
        <w:autoSpaceDN w:val="0"/>
        <w:adjustRightInd w:val="0"/>
        <w:jc w:val="both"/>
        <w:rPr>
          <w:rFonts w:ascii="Verdana" w:hAnsi="Verdana" w:cs="Arial"/>
          <w:b/>
          <w:color w:val="000000"/>
          <w:sz w:val="21"/>
          <w:szCs w:val="21"/>
        </w:rPr>
      </w:pPr>
    </w:p>
    <w:p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rsidR="00D91861" w:rsidRDefault="00D91861" w:rsidP="00D91861">
      <w:pPr>
        <w:tabs>
          <w:tab w:val="left" w:pos="6521"/>
        </w:tabs>
        <w:autoSpaceDE w:val="0"/>
        <w:autoSpaceDN w:val="0"/>
        <w:adjustRightInd w:val="0"/>
        <w:jc w:val="both"/>
        <w:rPr>
          <w:rFonts w:ascii="Verdana" w:hAnsi="Verdana" w:cs="Arial"/>
          <w:b/>
          <w:color w:val="000000"/>
          <w:sz w:val="21"/>
          <w:szCs w:val="21"/>
        </w:rPr>
      </w:pPr>
    </w:p>
    <w:p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rsidR="00D91861" w:rsidRDefault="00D91861" w:rsidP="00D91861">
      <w:pPr>
        <w:ind w:left="567"/>
        <w:jc w:val="both"/>
        <w:rPr>
          <w:rFonts w:ascii="Verdana" w:hAnsi="Verdana"/>
          <w:sz w:val="21"/>
          <w:szCs w:val="21"/>
          <w:lang w:val="es-ES_tradnl"/>
        </w:rPr>
      </w:pPr>
    </w:p>
    <w:p w:rsidR="00D91861" w:rsidRDefault="00D91861" w:rsidP="00D91861">
      <w:pPr>
        <w:numPr>
          <w:ilvl w:val="0"/>
          <w:numId w:val="1"/>
        </w:numPr>
        <w:jc w:val="both"/>
        <w:rPr>
          <w:rFonts w:ascii="Verdana" w:hAnsi="Verdana"/>
          <w:sz w:val="21"/>
          <w:szCs w:val="21"/>
          <w:lang w:val="es-ES_tradnl"/>
        </w:rPr>
      </w:pPr>
      <w:r>
        <w:rPr>
          <w:rFonts w:ascii="Verdana" w:hAnsi="Verdana" w:cs="Arial"/>
          <w:sz w:val="21"/>
          <w:szCs w:val="21"/>
        </w:rPr>
        <w:t>Tal como se explica más ampliamente en las notas 1 c) y 5 a) los estados financieros adjuntos han sido preparados utilizando estimaciones contables y supuestos relacionados con la evaluación de los impactos y resolución de incertidumbres relacionadas con la evolución de la pandemia global del COVID-19; impactos que, en el futuro, pueden diferir de las evaluaciones y conclusiones a la fecha de aprobación de tales estados financieros.</w:t>
      </w:r>
    </w:p>
    <w:p w:rsidR="00D91861" w:rsidRDefault="00D91861" w:rsidP="00D91861">
      <w:pPr>
        <w:ind w:left="567"/>
        <w:jc w:val="both"/>
        <w:rPr>
          <w:rFonts w:ascii="Verdana" w:hAnsi="Verdana"/>
          <w:sz w:val="21"/>
          <w:szCs w:val="21"/>
          <w:lang w:val="es-ES_tradnl"/>
        </w:rPr>
      </w:pPr>
    </w:p>
    <w:p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En la preparación de los estados financieros, la Administración es responsable de evaluar la capacidad de la Compañía de continuar como negocio en marcha </w:t>
      </w:r>
      <w:r>
        <w:rPr>
          <w:rFonts w:ascii="Verdana" w:hAnsi="Verdana" w:cs="OpenSans-Light"/>
          <w:color w:val="000000"/>
          <w:sz w:val="21"/>
          <w:szCs w:val="21"/>
          <w:lang w:val="es-EC" w:eastAsia="es-EC"/>
        </w:rPr>
        <w:lastRenderedPageBreak/>
        <w:t>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rsidR="00D91861" w:rsidRDefault="00D91861" w:rsidP="00D91861">
      <w:pPr>
        <w:jc w:val="both"/>
        <w:rPr>
          <w:rFonts w:ascii="Verdana" w:hAnsi="Verdana" w:cs="Arial"/>
          <w:b/>
          <w:color w:val="000000"/>
          <w:sz w:val="21"/>
          <w:szCs w:val="21"/>
          <w:u w:val="single"/>
        </w:rPr>
      </w:pPr>
    </w:p>
    <w:p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rsidR="00D91861" w:rsidRDefault="00D91861" w:rsidP="00D91861">
      <w:pPr>
        <w:ind w:left="567"/>
        <w:jc w:val="both"/>
        <w:rPr>
          <w:rFonts w:ascii="Verdana" w:hAnsi="Verdana" w:cs="Arial"/>
          <w:b/>
          <w:color w:val="000000"/>
          <w:sz w:val="21"/>
          <w:szCs w:val="21"/>
          <w:u w:val="single"/>
        </w:rPr>
      </w:pPr>
    </w:p>
    <w:p w:rsidR="00D91861" w:rsidRDefault="00D91861" w:rsidP="00D91861">
      <w:pPr>
        <w:jc w:val="both"/>
        <w:rPr>
          <w:rFonts w:ascii="Verdana" w:hAnsi="Verdana" w:cs="Arial"/>
          <w:b/>
          <w:color w:val="000000"/>
          <w:sz w:val="21"/>
          <w:szCs w:val="21"/>
        </w:rPr>
      </w:pPr>
    </w:p>
    <w:p w:rsidR="00D91861" w:rsidRDefault="00D91861" w:rsidP="00D91861">
      <w:pPr>
        <w:jc w:val="both"/>
        <w:rPr>
          <w:rFonts w:ascii="Verdana" w:hAnsi="Verdana" w:cs="Arial"/>
          <w:b/>
          <w:color w:val="000000"/>
          <w:sz w:val="21"/>
          <w:szCs w:val="21"/>
        </w:rPr>
      </w:pPr>
    </w:p>
    <w:p w:rsidR="00D91861" w:rsidRDefault="00D91861" w:rsidP="00D91861">
      <w:pPr>
        <w:jc w:val="both"/>
        <w:rPr>
          <w:rFonts w:ascii="Verdana" w:hAnsi="Verdana" w:cs="Arial"/>
          <w:b/>
          <w:color w:val="000000"/>
          <w:sz w:val="21"/>
          <w:szCs w:val="21"/>
        </w:rPr>
      </w:pPr>
    </w:p>
    <w:p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rsidR="00D91861" w:rsidRDefault="00D91861"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rsidR="00D91861" w:rsidRDefault="00D91861" w:rsidP="00D91861">
      <w:pPr>
        <w:tabs>
          <w:tab w:val="left" w:pos="993"/>
        </w:tabs>
        <w:autoSpaceDE w:val="0"/>
        <w:autoSpaceDN w:val="0"/>
        <w:adjustRightInd w:val="0"/>
        <w:rPr>
          <w:rFonts w:ascii="Verdana" w:hAnsi="Verdana" w:cs="Arial"/>
          <w:color w:val="000000"/>
          <w:sz w:val="21"/>
          <w:szCs w:val="21"/>
        </w:rPr>
      </w:pPr>
    </w:p>
    <w:p w:rsidR="00D91861" w:rsidRDefault="00D91861" w:rsidP="00D91861">
      <w:pPr>
        <w:tabs>
          <w:tab w:val="left" w:pos="993"/>
        </w:tabs>
        <w:autoSpaceDE w:val="0"/>
        <w:autoSpaceDN w:val="0"/>
        <w:adjustRightInd w:val="0"/>
        <w:rPr>
          <w:rFonts w:ascii="Verdana" w:hAnsi="Verdana" w:cs="Arial"/>
          <w:color w:val="000000"/>
          <w:sz w:val="21"/>
          <w:szCs w:val="21"/>
        </w:rPr>
      </w:pPr>
    </w:p>
    <w:p w:rsidR="00D91861" w:rsidRDefault="00D91861" w:rsidP="00D91861">
      <w:pPr>
        <w:tabs>
          <w:tab w:val="left" w:pos="993"/>
        </w:tabs>
        <w:autoSpaceDE w:val="0"/>
        <w:autoSpaceDN w:val="0"/>
        <w:adjustRightInd w:val="0"/>
        <w:rPr>
          <w:rFonts w:ascii="Verdana" w:hAnsi="Verdana" w:cs="Arial"/>
          <w:color w:val="000000"/>
          <w:sz w:val="21"/>
          <w:szCs w:val="21"/>
        </w:rPr>
      </w:pPr>
    </w:p>
    <w:p w:rsidR="0040015E" w:rsidRDefault="0040015E" w:rsidP="0040015E">
      <w:pPr>
        <w:rPr>
          <w:rFonts w:ascii="Verdana" w:hAnsi="Verdana" w:cs="Arial"/>
          <w:b/>
          <w:color w:val="000000"/>
          <w:sz w:val="21"/>
          <w:szCs w:val="21"/>
        </w:rPr>
      </w:pPr>
    </w:p>
    <w:p w:rsidR="0040015E" w:rsidRDefault="0040015E" w:rsidP="0040015E">
      <w:pPr>
        <w:jc w:val="center"/>
        <w:rPr>
          <w:rFonts w:ascii="Verdana" w:hAnsi="Verdana" w:cs="Arial"/>
          <w:color w:val="000000"/>
          <w:sz w:val="21"/>
          <w:szCs w:val="21"/>
        </w:rPr>
      </w:pPr>
    </w:p>
    <w:p w:rsidR="00D91861" w:rsidRDefault="00D91861">
      <w:pPr>
        <w:spacing w:after="160" w:line="259" w:lineRule="auto"/>
      </w:pPr>
      <w:r>
        <w:br w:type="page"/>
      </w:r>
    </w:p>
    <w:p w:rsidR="00ED2C58" w:rsidRDefault="00ED2C58" w:rsidP="00ED2C58">
      <w:pPr>
        <w:jc w:val="right"/>
        <w:rPr>
          <w:rFonts w:ascii="Verdana" w:hAnsi="Verdana" w:cs="Calibri"/>
          <w:sz w:val="21"/>
          <w:szCs w:val="21"/>
          <w:lang w:val="es-EC"/>
        </w:rPr>
      </w:pPr>
      <w:r>
        <w:rPr>
          <w:rFonts w:ascii="Verdana" w:hAnsi="Verdana" w:cs="Calibri"/>
          <w:sz w:val="21"/>
          <w:szCs w:val="21"/>
          <w:lang w:val="es-EC"/>
        </w:rPr>
        <w:lastRenderedPageBreak/>
        <w:t>ANEXO</w:t>
      </w:r>
    </w:p>
    <w:p w:rsidR="00ED2C58" w:rsidRDefault="00ED2C58" w:rsidP="00ED2C58">
      <w:pPr>
        <w:rPr>
          <w:rFonts w:ascii="Verdana" w:hAnsi="Verdana"/>
          <w:sz w:val="21"/>
          <w:szCs w:val="21"/>
          <w:lang w:val="es-EC"/>
        </w:rPr>
      </w:pPr>
    </w:p>
    <w:p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rsidR="00ED2C58" w:rsidRDefault="00ED2C58" w:rsidP="00ED2C58">
      <w:pPr>
        <w:ind w:left="708"/>
        <w:rPr>
          <w:rFonts w:ascii="Verdana" w:hAnsi="Verdana" w:cs="Calibri"/>
          <w:sz w:val="21"/>
          <w:szCs w:val="21"/>
          <w:lang w:val="es-EC"/>
        </w:rPr>
      </w:pPr>
    </w:p>
    <w:p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rsidR="00FB5C72" w:rsidRPr="00FB5C72" w:rsidRDefault="00FB5C72" w:rsidP="00FB5C72">
      <w:pPr>
        <w:tabs>
          <w:tab w:val="left" w:pos="1350"/>
        </w:tabs>
        <w:jc w:val="both"/>
        <w:rPr>
          <w:rFonts w:ascii="Verdana" w:hAnsi="Verdana" w:cs="Arial"/>
          <w:b/>
          <w:color w:val="000000"/>
          <w:sz w:val="20"/>
          <w:szCs w:val="20"/>
          <w:u w:val="single"/>
        </w:rPr>
      </w:pPr>
    </w:p>
    <w:p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(Expresados en Dólares)</w:t>
      </w:r>
    </w:p>
    <w:p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tblPr>
      <w:tblGrid>
        <w:gridCol w:w="959"/>
        <w:gridCol w:w="5528"/>
        <w:gridCol w:w="1418"/>
        <w:gridCol w:w="1306"/>
      </w:tblGrid>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1"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6</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7</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8</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9</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rsidTr="00FB5C72">
        <w:tc>
          <w:tcPr>
            <w:tcW w:w="959" w:type="dxa"/>
            <w:tcBorders>
              <w:top w:val="nil"/>
              <w:left w:val="nil"/>
              <w:bottom w:val="sing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rsidTr="00FB5C72">
        <w:tc>
          <w:tcPr>
            <w:tcW w:w="959" w:type="dxa"/>
            <w:tcBorders>
              <w:top w:val="single" w:sz="4" w:space="0" w:color="auto"/>
              <w:left w:val="nil"/>
              <w:bottom w:val="sing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rsidTr="00FB5C72">
        <w:tc>
          <w:tcPr>
            <w:tcW w:w="959"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rsidTr="00FB5C72">
        <w:tc>
          <w:tcPr>
            <w:tcW w:w="959"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10</w:t>
            </w:r>
          </w:p>
        </w:tc>
        <w:tc>
          <w:tcPr>
            <w:tcW w:w="552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rsidTr="00FB5C72">
        <w:tc>
          <w:tcPr>
            <w:tcW w:w="959"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doub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doub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rsidTr="00FB5C72">
        <w:tc>
          <w:tcPr>
            <w:tcW w:w="959" w:type="dxa"/>
            <w:tcBorders>
              <w:top w:val="doub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11</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rsidTr="00FB5C72">
        <w:tc>
          <w:tcPr>
            <w:tcW w:w="959"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13</w:t>
            </w:r>
          </w:p>
        </w:tc>
        <w:tc>
          <w:tcPr>
            <w:tcW w:w="552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rsidTr="00FB5C72">
        <w:tc>
          <w:tcPr>
            <w:tcW w:w="959" w:type="dxa"/>
            <w:tcBorders>
              <w:top w:val="single" w:sz="4" w:space="0" w:color="auto"/>
              <w:left w:val="nil"/>
              <w:bottom w:val="sing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single" w:sz="4" w:space="0" w:color="auto"/>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rsidTr="00FB5C72">
        <w:tc>
          <w:tcPr>
            <w:tcW w:w="959"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rsidTr="00FB5C72">
        <w:tc>
          <w:tcPr>
            <w:tcW w:w="959"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14</w:t>
            </w:r>
          </w:p>
        </w:tc>
        <w:tc>
          <w:tcPr>
            <w:tcW w:w="552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rsidTr="00FB5C72">
        <w:tc>
          <w:tcPr>
            <w:tcW w:w="959" w:type="dxa"/>
            <w:tcBorders>
              <w:top w:val="single" w:sz="4" w:space="0" w:color="auto"/>
              <w:left w:val="nil"/>
              <w:bottom w:val="sing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single" w:sz="4" w:space="0" w:color="auto"/>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rsidTr="00FB5C72">
        <w:tc>
          <w:tcPr>
            <w:tcW w:w="959"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sing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single" w:sz="4" w:space="0" w:color="auto"/>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rsidTr="00FB5C72">
        <w:tc>
          <w:tcPr>
            <w:tcW w:w="959"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rsidTr="00FB5C72">
        <w:tc>
          <w:tcPr>
            <w:tcW w:w="959"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15</w:t>
            </w: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rsidTr="00FB5C72">
        <w:tc>
          <w:tcPr>
            <w:tcW w:w="959" w:type="dxa"/>
            <w:tcBorders>
              <w:top w:val="nil"/>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rsidTr="00FB5C72">
        <w:tc>
          <w:tcPr>
            <w:tcW w:w="959" w:type="dxa"/>
            <w:tcBorders>
              <w:top w:val="nil"/>
              <w:left w:val="nil"/>
              <w:bottom w:val="sing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rsidTr="00FB5C72">
        <w:tc>
          <w:tcPr>
            <w:tcW w:w="959" w:type="dxa"/>
            <w:tcBorders>
              <w:top w:val="single" w:sz="4" w:space="0" w:color="auto"/>
              <w:left w:val="nil"/>
              <w:bottom w:val="nil"/>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single" w:sz="4" w:space="0" w:color="auto"/>
              <w:left w:val="nil"/>
              <w:bottom w:val="nil"/>
              <w:right w:val="nil"/>
            </w:tcBorders>
            <w:hideMark/>
          </w:tcPr>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rsidTr="00FB5C72">
        <w:tc>
          <w:tcPr>
            <w:tcW w:w="959" w:type="dxa"/>
            <w:tcBorders>
              <w:top w:val="single" w:sz="4" w:space="0" w:color="auto"/>
              <w:left w:val="nil"/>
              <w:bottom w:val="doub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single" w:sz="4" w:space="0" w:color="auto"/>
              <w:left w:val="nil"/>
              <w:bottom w:val="double" w:sz="4" w:space="0" w:color="auto"/>
              <w:right w:val="nil"/>
            </w:tcBorders>
            <w:hideMark/>
          </w:tcPr>
          <w:p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1"/>
    </w:tbl>
    <w:p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6"/>
        <w:gridCol w:w="2733"/>
      </w:tblGrid>
      <w:tr w:rsidR="00FB5C72" w:rsidRPr="00FB5C72" w:rsidTr="00FB5C72">
        <w:tc>
          <w:tcPr>
            <w:tcW w:w="2796" w:type="dxa"/>
            <w:tcBorders>
              <w:top w:val="nil"/>
              <w:left w:val="nil"/>
              <w:bottom w:val="single" w:sz="4" w:space="0" w:color="auto"/>
              <w:right w:val="nil"/>
            </w:tcBorders>
          </w:tcPr>
          <w:p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2" w:name="_Hlk29980681"/>
          </w:p>
        </w:tc>
        <w:tc>
          <w:tcPr>
            <w:tcW w:w="2733" w:type="dxa"/>
            <w:tcBorders>
              <w:top w:val="nil"/>
              <w:left w:val="nil"/>
              <w:bottom w:val="single" w:sz="4" w:space="0" w:color="auto"/>
              <w:right w:val="nil"/>
            </w:tcBorders>
          </w:tcPr>
          <w:p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rsidTr="00FB5C72">
        <w:tc>
          <w:tcPr>
            <w:tcW w:w="2796" w:type="dxa"/>
            <w:tcBorders>
              <w:top w:val="single" w:sz="4" w:space="0" w:color="auto"/>
              <w:left w:val="nil"/>
              <w:bottom w:val="nil"/>
              <w:right w:val="nil"/>
            </w:tcBorders>
            <w:hideMark/>
          </w:tcPr>
          <w:p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rsidTr="00FB5C72">
        <w:tc>
          <w:tcPr>
            <w:tcW w:w="2796" w:type="dxa"/>
            <w:tcBorders>
              <w:top w:val="nil"/>
              <w:left w:val="nil"/>
              <w:bottom w:val="nil"/>
              <w:right w:val="nil"/>
            </w:tcBorders>
            <w:hideMark/>
          </w:tcPr>
          <w:p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2"/>
    </w:tbl>
    <w:p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rsidR="00BF100F" w:rsidRDefault="00BF100F" w:rsidP="00E65CC1">
      <w:pPr>
        <w:jc w:val="both"/>
        <w:rPr>
          <w:rFonts w:ascii="Verdana" w:hAnsi="Verdana" w:cs="Arial"/>
          <w:b/>
          <w:color w:val="000000"/>
          <w:sz w:val="20"/>
          <w:szCs w:val="20"/>
          <w:u w:val="single"/>
        </w:rPr>
      </w:pPr>
    </w:p>
    <w:p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rsidR="00E65CC1" w:rsidRPr="00E65CC1" w:rsidRDefault="00E65CC1" w:rsidP="00E65CC1">
      <w:pPr>
        <w:jc w:val="both"/>
        <w:rPr>
          <w:rFonts w:ascii="Verdana" w:hAnsi="Verdana" w:cs="Arial"/>
          <w:b/>
          <w:color w:val="000000"/>
          <w:sz w:val="20"/>
          <w:szCs w:val="20"/>
          <w:u w:val="single"/>
        </w:rPr>
      </w:pPr>
    </w:p>
    <w:p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(Expresados en Dólares)</w:t>
      </w:r>
    </w:p>
    <w:p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6"/>
        <w:gridCol w:w="5120"/>
        <w:gridCol w:w="1554"/>
        <w:gridCol w:w="1441"/>
      </w:tblGrid>
      <w:tr w:rsidR="00E65CC1" w:rsidRPr="00E65CC1" w:rsidTr="00E65CC1">
        <w:tc>
          <w:tcPr>
            <w:tcW w:w="956" w:type="dxa"/>
            <w:tcBorders>
              <w:top w:val="nil"/>
              <w:left w:val="nil"/>
              <w:bottom w:val="nil"/>
              <w:right w:val="nil"/>
            </w:tcBorders>
            <w:hideMark/>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120"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rsidTr="00E65CC1">
        <w:tc>
          <w:tcPr>
            <w:tcW w:w="956"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120"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rsidTr="00E65CC1">
        <w:tc>
          <w:tcPr>
            <w:tcW w:w="956" w:type="dxa"/>
            <w:tcBorders>
              <w:top w:val="nil"/>
              <w:left w:val="nil"/>
              <w:bottom w:val="nil"/>
              <w:right w:val="nil"/>
            </w:tcBorders>
            <w:hideMark/>
          </w:tcPr>
          <w:p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16,23</w:t>
            </w:r>
          </w:p>
        </w:tc>
        <w:tc>
          <w:tcPr>
            <w:tcW w:w="5120" w:type="dxa"/>
            <w:tcBorders>
              <w:top w:val="nil"/>
              <w:left w:val="nil"/>
              <w:bottom w:val="nil"/>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p>
        </w:tc>
        <w:tc>
          <w:tcPr>
            <w:tcW w:w="1441" w:type="dxa"/>
            <w:tcBorders>
              <w:top w:val="nil"/>
              <w:left w:val="nil"/>
              <w:bottom w:val="nil"/>
              <w:right w:val="nil"/>
            </w:tcBorders>
            <w:hideMark/>
          </w:tcPr>
          <w:p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Pr="00E65CC1">
              <w:rPr>
                <w:rFonts w:ascii="Verdana" w:hAnsi="Verdana" w:cs="Arial"/>
                <w:bCs/>
                <w:color w:val="000000"/>
                <w:sz w:val="20"/>
                <w:szCs w:val="20"/>
              </w:rPr>
              <w:t>1,252,249</w:t>
            </w:r>
          </w:p>
        </w:tc>
      </w:tr>
      <w:tr w:rsidR="00E65CC1" w:rsidRPr="00E65CC1" w:rsidTr="00E65CC1">
        <w:tc>
          <w:tcPr>
            <w:tcW w:w="956"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17,23</w:t>
            </w:r>
          </w:p>
        </w:tc>
        <w:tc>
          <w:tcPr>
            <w:tcW w:w="5120"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rsidTr="00E65CC1">
        <w:tc>
          <w:tcPr>
            <w:tcW w:w="956" w:type="dxa"/>
            <w:tcBorders>
              <w:top w:val="single" w:sz="4" w:space="0" w:color="auto"/>
              <w:left w:val="nil"/>
              <w:bottom w:val="single" w:sz="4" w:space="0" w:color="auto"/>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
                <w:color w:val="000000"/>
                <w:sz w:val="20"/>
                <w:szCs w:val="20"/>
              </w:rPr>
            </w:pPr>
          </w:p>
        </w:tc>
        <w:tc>
          <w:tcPr>
            <w:tcW w:w="1441"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164,752</w:t>
            </w:r>
          </w:p>
        </w:tc>
      </w:tr>
      <w:tr w:rsidR="00E65CC1" w:rsidRPr="00E65CC1" w:rsidTr="00E65CC1">
        <w:tc>
          <w:tcPr>
            <w:tcW w:w="956" w:type="dxa"/>
            <w:tcBorders>
              <w:top w:val="single" w:sz="4" w:space="0" w:color="auto"/>
              <w:left w:val="nil"/>
              <w:bottom w:val="nil"/>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nil"/>
              <w:right w:val="nil"/>
            </w:tcBorders>
          </w:tcPr>
          <w:p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rsidTr="00E65CC1">
        <w:tc>
          <w:tcPr>
            <w:tcW w:w="956"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120"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rsidTr="00E65CC1">
        <w:tc>
          <w:tcPr>
            <w:tcW w:w="956" w:type="dxa"/>
            <w:tcBorders>
              <w:top w:val="single" w:sz="4" w:space="0" w:color="auto"/>
              <w:left w:val="nil"/>
              <w:bottom w:val="single" w:sz="4" w:space="0" w:color="auto"/>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OPERACIONAL</w:t>
            </w:r>
          </w:p>
        </w:tc>
        <w:tc>
          <w:tcPr>
            <w:tcW w:w="1554"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
                <w:color w:val="000000"/>
                <w:sz w:val="20"/>
                <w:szCs w:val="20"/>
              </w:rPr>
            </w:pPr>
          </w:p>
        </w:tc>
        <w:tc>
          <w:tcPr>
            <w:tcW w:w="1441"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rsidTr="00E65CC1">
        <w:tc>
          <w:tcPr>
            <w:tcW w:w="956" w:type="dxa"/>
            <w:tcBorders>
              <w:top w:val="single" w:sz="4" w:space="0" w:color="auto"/>
              <w:left w:val="nil"/>
              <w:bottom w:val="nil"/>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nil"/>
              <w:right w:val="nil"/>
            </w:tcBorders>
          </w:tcPr>
          <w:p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rsidTr="00E65CC1">
        <w:tc>
          <w:tcPr>
            <w:tcW w:w="956"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nil"/>
              <w:left w:val="nil"/>
              <w:bottom w:val="nil"/>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rsidTr="00E65CC1">
        <w:tc>
          <w:tcPr>
            <w:tcW w:w="956" w:type="dxa"/>
            <w:tcBorders>
              <w:top w:val="nil"/>
              <w:left w:val="nil"/>
              <w:bottom w:val="nil"/>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nil"/>
              <w:left w:val="nil"/>
              <w:bottom w:val="nil"/>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rsidTr="00E65CC1">
        <w:tc>
          <w:tcPr>
            <w:tcW w:w="956" w:type="dxa"/>
            <w:tcBorders>
              <w:top w:val="nil"/>
              <w:left w:val="nil"/>
              <w:bottom w:val="single" w:sz="4" w:space="0" w:color="auto"/>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7,431</w:t>
            </w:r>
          </w:p>
        </w:tc>
      </w:tr>
      <w:tr w:rsidR="00E65CC1" w:rsidRPr="00E65CC1" w:rsidTr="00E65CC1">
        <w:tc>
          <w:tcPr>
            <w:tcW w:w="956" w:type="dxa"/>
            <w:tcBorders>
              <w:top w:val="single" w:sz="4" w:space="0" w:color="auto"/>
              <w:left w:val="nil"/>
              <w:bottom w:val="nil"/>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nil"/>
              <w:right w:val="nil"/>
            </w:tcBorders>
            <w:hideMark/>
          </w:tcPr>
          <w:p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nil"/>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hideMark/>
          </w:tcPr>
          <w:p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6,650</w:t>
            </w:r>
          </w:p>
        </w:tc>
      </w:tr>
      <w:tr w:rsidR="00E65CC1" w:rsidRPr="00E65CC1" w:rsidTr="00E65CC1">
        <w:tc>
          <w:tcPr>
            <w:tcW w:w="956" w:type="dxa"/>
            <w:tcBorders>
              <w:top w:val="nil"/>
              <w:left w:val="nil"/>
              <w:bottom w:val="single" w:sz="4" w:space="0" w:color="auto"/>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nil"/>
              <w:left w:val="nil"/>
              <w:bottom w:val="single" w:sz="4" w:space="0" w:color="auto"/>
              <w:right w:val="nil"/>
            </w:tcBorders>
          </w:tcPr>
          <w:p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single" w:sz="4" w:space="0" w:color="auto"/>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rsidTr="00E65CC1">
        <w:tc>
          <w:tcPr>
            <w:tcW w:w="956" w:type="dxa"/>
            <w:tcBorders>
              <w:top w:val="single" w:sz="4" w:space="0" w:color="auto"/>
              <w:left w:val="nil"/>
              <w:bottom w:val="single" w:sz="4" w:space="0" w:color="auto"/>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UTILIDAD (P</w:t>
            </w:r>
            <w:r w:rsidRPr="00E65CC1">
              <w:rPr>
                <w:rFonts w:ascii="Verdana" w:hAnsi="Verdana" w:cs="Arial"/>
                <w:b/>
                <w:color w:val="000000"/>
                <w:sz w:val="20"/>
                <w:szCs w:val="20"/>
              </w:rPr>
              <w:t>É</w:t>
            </w:r>
            <w:r w:rsidRPr="00E65CC1">
              <w:rPr>
                <w:rFonts w:ascii="Verdana" w:hAnsi="Verdana" w:cs="Arial"/>
                <w:b/>
                <w:color w:val="000000"/>
                <w:sz w:val="18"/>
                <w:szCs w:val="18"/>
              </w:rPr>
              <w:t>RDIDA) ANTES DE PARTICIPACIÓN DE TRABAJADORES E IMPUESTO A LA RENTA</w:t>
            </w:r>
          </w:p>
        </w:tc>
        <w:tc>
          <w:tcPr>
            <w:tcW w:w="1554"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
                <w:color w:val="000000"/>
                <w:sz w:val="20"/>
                <w:szCs w:val="20"/>
              </w:rPr>
            </w:pPr>
          </w:p>
        </w:tc>
        <w:tc>
          <w:tcPr>
            <w:tcW w:w="1441" w:type="dxa"/>
            <w:tcBorders>
              <w:top w:val="single" w:sz="4" w:space="0" w:color="auto"/>
              <w:left w:val="nil"/>
              <w:bottom w:val="single" w:sz="4" w:space="0" w:color="auto"/>
              <w:right w:val="nil"/>
            </w:tcBorders>
            <w:hideMark/>
          </w:tcPr>
          <w:p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rsidTr="00E65CC1">
        <w:tc>
          <w:tcPr>
            <w:tcW w:w="956" w:type="dxa"/>
            <w:tcBorders>
              <w:top w:val="single" w:sz="4" w:space="0" w:color="auto"/>
              <w:left w:val="nil"/>
              <w:bottom w:val="nil"/>
              <w:right w:val="nil"/>
            </w:tcBorders>
          </w:tcPr>
          <w:p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nil"/>
              <w:right w:val="nil"/>
            </w:tcBorders>
          </w:tcPr>
          <w:p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rsidTr="00E65CC1">
        <w:tc>
          <w:tcPr>
            <w:tcW w:w="956" w:type="dxa"/>
            <w:tcBorders>
              <w:top w:val="nil"/>
              <w:left w:val="nil"/>
              <w:bottom w:val="nil"/>
              <w:right w:val="nil"/>
            </w:tcBorders>
          </w:tcPr>
          <w:p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120" w:type="dxa"/>
            <w:tcBorders>
              <w:top w:val="nil"/>
              <w:left w:val="nil"/>
              <w:bottom w:val="nil"/>
              <w:right w:val="nil"/>
            </w:tcBorders>
            <w:hideMark/>
          </w:tcPr>
          <w:p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15% Participación de trabajadores</w:t>
            </w:r>
          </w:p>
        </w:tc>
        <w:tc>
          <w:tcPr>
            <w:tcW w:w="1554" w:type="dxa"/>
            <w:tcBorders>
              <w:top w:val="nil"/>
              <w:left w:val="nil"/>
              <w:bottom w:val="nil"/>
              <w:right w:val="nil"/>
            </w:tcBorders>
            <w:hideMark/>
          </w:tcPr>
          <w:p w:rsidR="007C256A" w:rsidRPr="00E65CC1" w:rsidRDefault="007C256A" w:rsidP="007C256A">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hideMark/>
          </w:tcPr>
          <w:p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0</w:t>
            </w:r>
          </w:p>
        </w:tc>
      </w:tr>
      <w:tr w:rsidR="007C256A" w:rsidRPr="00E65CC1" w:rsidTr="00E65CC1">
        <w:tc>
          <w:tcPr>
            <w:tcW w:w="956" w:type="dxa"/>
            <w:tcBorders>
              <w:top w:val="nil"/>
              <w:left w:val="nil"/>
              <w:bottom w:val="single" w:sz="4" w:space="0" w:color="auto"/>
              <w:right w:val="nil"/>
            </w:tcBorders>
            <w:hideMark/>
          </w:tcPr>
          <w:p w:rsidR="007C256A" w:rsidRPr="00E65CC1" w:rsidRDefault="007C256A" w:rsidP="007C256A">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19</w:t>
            </w:r>
          </w:p>
        </w:tc>
        <w:tc>
          <w:tcPr>
            <w:tcW w:w="5120" w:type="dxa"/>
            <w:tcBorders>
              <w:top w:val="nil"/>
              <w:left w:val="nil"/>
              <w:bottom w:val="single" w:sz="4" w:space="0" w:color="auto"/>
              <w:right w:val="nil"/>
            </w:tcBorders>
            <w:hideMark/>
          </w:tcPr>
          <w:p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rsidR="007C256A" w:rsidRPr="00E65CC1" w:rsidRDefault="007C256A" w:rsidP="007C256A">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rsidTr="00E65CC1">
        <w:tc>
          <w:tcPr>
            <w:tcW w:w="956" w:type="dxa"/>
            <w:tcBorders>
              <w:top w:val="single" w:sz="4" w:space="0" w:color="auto"/>
              <w:left w:val="nil"/>
              <w:bottom w:val="double" w:sz="4" w:space="0" w:color="auto"/>
              <w:right w:val="nil"/>
            </w:tcBorders>
          </w:tcPr>
          <w:p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120" w:type="dxa"/>
            <w:tcBorders>
              <w:top w:val="single" w:sz="4" w:space="0" w:color="auto"/>
              <w:left w:val="nil"/>
              <w:bottom w:val="double" w:sz="4" w:space="0" w:color="auto"/>
              <w:right w:val="nil"/>
            </w:tcBorders>
            <w:hideMark/>
          </w:tcPr>
          <w:p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NETA DEL EJERCICIO</w:t>
            </w:r>
          </w:p>
        </w:tc>
        <w:tc>
          <w:tcPr>
            <w:tcW w:w="1554" w:type="dxa"/>
            <w:tcBorders>
              <w:top w:val="single" w:sz="4" w:space="0" w:color="auto"/>
              <w:left w:val="nil"/>
              <w:bottom w:val="double" w:sz="4" w:space="0" w:color="auto"/>
              <w:right w:val="nil"/>
            </w:tcBorders>
            <w:hideMark/>
          </w:tcPr>
          <w:p w:rsidR="007C256A" w:rsidRPr="00E65CC1" w:rsidRDefault="007C256A" w:rsidP="007C256A">
            <w:pPr>
              <w:tabs>
                <w:tab w:val="center" w:pos="6960"/>
                <w:tab w:val="center" w:pos="8400"/>
              </w:tabs>
              <w:jc w:val="right"/>
              <w:rPr>
                <w:rFonts w:ascii="Verdana" w:hAnsi="Verdana" w:cs="Arial"/>
                <w:b/>
                <w:color w:val="000000"/>
                <w:sz w:val="20"/>
                <w:szCs w:val="20"/>
                <w:highlight w:val="yellow"/>
              </w:rPr>
            </w:pPr>
          </w:p>
        </w:tc>
        <w:tc>
          <w:tcPr>
            <w:tcW w:w="1441" w:type="dxa"/>
            <w:tcBorders>
              <w:top w:val="single" w:sz="4" w:space="0" w:color="auto"/>
              <w:left w:val="nil"/>
              <w:bottom w:val="double" w:sz="4" w:space="0" w:color="auto"/>
              <w:right w:val="nil"/>
            </w:tcBorders>
            <w:hideMark/>
          </w:tcPr>
          <w:p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rsidR="00E65CC1" w:rsidRPr="00E65CC1" w:rsidRDefault="00E65CC1" w:rsidP="00E65CC1">
      <w:pPr>
        <w:tabs>
          <w:tab w:val="center" w:pos="6960"/>
          <w:tab w:val="center" w:pos="8400"/>
        </w:tabs>
        <w:jc w:val="both"/>
        <w:rPr>
          <w:rFonts w:ascii="Verdana" w:hAnsi="Verdana" w:cs="Arial"/>
          <w:bCs/>
          <w:color w:val="000000"/>
          <w:sz w:val="20"/>
          <w:szCs w:val="20"/>
        </w:rPr>
      </w:pPr>
    </w:p>
    <w:p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6"/>
        <w:gridCol w:w="2733"/>
      </w:tblGrid>
      <w:tr w:rsidR="00E65CC1" w:rsidRPr="00E65CC1" w:rsidTr="00E65CC1">
        <w:tc>
          <w:tcPr>
            <w:tcW w:w="2796" w:type="dxa"/>
            <w:tcBorders>
              <w:top w:val="nil"/>
              <w:left w:val="nil"/>
              <w:bottom w:val="single" w:sz="4" w:space="0" w:color="auto"/>
              <w:right w:val="nil"/>
            </w:tcBorders>
          </w:tcPr>
          <w:p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3" w:name="_Hlk29981393"/>
          </w:p>
        </w:tc>
        <w:tc>
          <w:tcPr>
            <w:tcW w:w="2733" w:type="dxa"/>
            <w:tcBorders>
              <w:top w:val="nil"/>
              <w:left w:val="nil"/>
              <w:bottom w:val="single" w:sz="4" w:space="0" w:color="auto"/>
              <w:right w:val="nil"/>
            </w:tcBorders>
          </w:tcPr>
          <w:p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rsidTr="00E65CC1">
        <w:tc>
          <w:tcPr>
            <w:tcW w:w="2796" w:type="dxa"/>
            <w:tcBorders>
              <w:top w:val="single" w:sz="4" w:space="0" w:color="auto"/>
              <w:left w:val="nil"/>
              <w:bottom w:val="nil"/>
              <w:right w:val="nil"/>
            </w:tcBorders>
            <w:hideMark/>
          </w:tcPr>
          <w:p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rsidTr="00E65CC1">
        <w:tc>
          <w:tcPr>
            <w:tcW w:w="2796" w:type="dxa"/>
            <w:tcBorders>
              <w:top w:val="nil"/>
              <w:left w:val="nil"/>
              <w:bottom w:val="nil"/>
              <w:right w:val="nil"/>
            </w:tcBorders>
            <w:hideMark/>
          </w:tcPr>
          <w:p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3"/>
    </w:tbl>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E65CC1">
      <w:pPr>
        <w:tabs>
          <w:tab w:val="left" w:pos="5670"/>
          <w:tab w:val="left" w:pos="7655"/>
        </w:tabs>
        <w:jc w:val="both"/>
        <w:rPr>
          <w:rFonts w:ascii="Verdana" w:hAnsi="Verdana" w:cs="Arial"/>
          <w:color w:val="000000"/>
          <w:sz w:val="20"/>
          <w:szCs w:val="20"/>
          <w:lang w:val="es-EC"/>
        </w:rPr>
      </w:pPr>
    </w:p>
    <w:p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rsidR="00212B06" w:rsidRPr="00212B06" w:rsidRDefault="00212B06" w:rsidP="00212B06">
      <w:pPr>
        <w:jc w:val="both"/>
        <w:rPr>
          <w:rFonts w:ascii="Verdana" w:hAnsi="Verdana" w:cs="Arial"/>
          <w:b/>
          <w:color w:val="000000"/>
          <w:sz w:val="20"/>
          <w:szCs w:val="20"/>
          <w:u w:val="single"/>
        </w:rPr>
      </w:pPr>
      <w:bookmarkStart w:id="4" w:name="_Hlk68512734"/>
      <w:r w:rsidRPr="00212B06">
        <w:rPr>
          <w:rFonts w:ascii="Verdana" w:hAnsi="Verdana" w:cs="Arial"/>
          <w:b/>
          <w:color w:val="000000"/>
          <w:sz w:val="20"/>
          <w:szCs w:val="20"/>
          <w:u w:val="single"/>
        </w:rPr>
        <w:lastRenderedPageBreak/>
        <w:t>VISACOM S.A.</w:t>
      </w:r>
    </w:p>
    <w:p w:rsidR="00212B06" w:rsidRPr="00212B06" w:rsidRDefault="00212B06" w:rsidP="00212B06">
      <w:pPr>
        <w:jc w:val="both"/>
        <w:rPr>
          <w:rFonts w:ascii="Verdana" w:hAnsi="Verdana" w:cs="Arial"/>
          <w:b/>
          <w:color w:val="000000"/>
          <w:sz w:val="20"/>
          <w:szCs w:val="20"/>
          <w:u w:val="single"/>
        </w:rPr>
      </w:pPr>
    </w:p>
    <w:p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(Expresados en Dólares)</w:t>
      </w:r>
      <w:bookmarkEnd w:id="4"/>
    </w:p>
    <w:p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t>…            Resultados acumulados</w:t>
      </w:r>
      <w:r w:rsidRPr="00212B06">
        <w:rPr>
          <w:rFonts w:ascii="Verdana" w:hAnsi="Verdana" w:cs="Arial"/>
          <w:color w:val="000000"/>
          <w:sz w:val="18"/>
          <w:szCs w:val="18"/>
        </w:rPr>
        <w:tab/>
        <w:t>...</w:t>
      </w:r>
    </w:p>
    <w:tbl>
      <w:tblPr>
        <w:tblpPr w:leftFromText="141" w:rightFromText="141" w:vertAnchor="text" w:tblpY="1"/>
        <w:tblOverlap w:val="never"/>
        <w:tblW w:w="14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33"/>
        <w:gridCol w:w="1272"/>
        <w:gridCol w:w="236"/>
        <w:gridCol w:w="1150"/>
        <w:gridCol w:w="236"/>
        <w:gridCol w:w="1267"/>
        <w:gridCol w:w="244"/>
        <w:gridCol w:w="236"/>
        <w:gridCol w:w="1298"/>
        <w:gridCol w:w="73"/>
        <w:gridCol w:w="1216"/>
        <w:gridCol w:w="69"/>
        <w:gridCol w:w="233"/>
        <w:gridCol w:w="73"/>
        <w:gridCol w:w="1473"/>
        <w:gridCol w:w="77"/>
        <w:gridCol w:w="206"/>
        <w:gridCol w:w="706"/>
        <w:gridCol w:w="450"/>
        <w:gridCol w:w="462"/>
      </w:tblGrid>
      <w:tr w:rsidR="00212B06" w:rsidRPr="00212B06" w:rsidTr="00212B06">
        <w:trPr>
          <w:trHeight w:val="279"/>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Capital</w:t>
            </w: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2897" w:type="dxa"/>
            <w:gridSpan w:val="4"/>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…Reservas…</w:t>
            </w: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371" w:type="dxa"/>
            <w:gridSpan w:val="2"/>
            <w:tcBorders>
              <w:top w:val="nil"/>
              <w:left w:val="nil"/>
              <w:bottom w:val="nil"/>
              <w:right w:val="nil"/>
            </w:tcBorders>
            <w:hideMark/>
          </w:tcPr>
          <w:p w:rsidR="00212B06" w:rsidRPr="00212B06" w:rsidRDefault="00212B06" w:rsidP="00212B06">
            <w:pPr>
              <w:tabs>
                <w:tab w:val="left" w:pos="855"/>
                <w:tab w:val="left" w:pos="3960"/>
              </w:tabs>
              <w:jc w:val="center"/>
              <w:rPr>
                <w:rFonts w:ascii="Verdana" w:hAnsi="Verdana" w:cs="Arial"/>
                <w:color w:val="000000"/>
                <w:sz w:val="18"/>
                <w:szCs w:val="18"/>
              </w:rPr>
            </w:pPr>
            <w:r w:rsidRPr="00212B06">
              <w:rPr>
                <w:rFonts w:ascii="Verdana" w:hAnsi="Verdana" w:cs="Arial"/>
                <w:color w:val="000000"/>
                <w:sz w:val="18"/>
                <w:szCs w:val="18"/>
              </w:rPr>
              <w:t>Pérdidas</w:t>
            </w:r>
          </w:p>
        </w:tc>
        <w:tc>
          <w:tcPr>
            <w:tcW w:w="1285"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Otros resultados</w:t>
            </w:r>
          </w:p>
        </w:tc>
        <w:tc>
          <w:tcPr>
            <w:tcW w:w="306"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551"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Superávit de</w:t>
            </w:r>
          </w:p>
        </w:tc>
        <w:tc>
          <w:tcPr>
            <w:tcW w:w="912"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912"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r>
      <w:tr w:rsidR="00212B06" w:rsidRPr="00212B06" w:rsidTr="00212B06">
        <w:trPr>
          <w:gridAfter w:val="1"/>
          <w:wAfter w:w="462" w:type="dxa"/>
          <w:trHeight w:val="261"/>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social</w:t>
            </w: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gridSpan w:val="2"/>
            <w:tcBorders>
              <w:top w:val="nil"/>
              <w:left w:val="nil"/>
              <w:bottom w:val="nil"/>
              <w:right w:val="nil"/>
            </w:tcBorders>
            <w:hideMark/>
          </w:tcPr>
          <w:p w:rsidR="00212B06" w:rsidRPr="00212B06" w:rsidRDefault="00212B06" w:rsidP="00212B06">
            <w:pPr>
              <w:tabs>
                <w:tab w:val="left" w:pos="3960"/>
              </w:tabs>
              <w:jc w:val="both"/>
              <w:rPr>
                <w:rFonts w:ascii="Verdana" w:hAnsi="Verdana" w:cs="Arial"/>
                <w:color w:val="000000"/>
                <w:sz w:val="18"/>
                <w:szCs w:val="18"/>
                <w:u w:val="single"/>
              </w:rPr>
            </w:pPr>
            <w:r w:rsidRPr="00212B06">
              <w:rPr>
                <w:rFonts w:ascii="Verdana" w:hAnsi="Verdana" w:cs="Arial"/>
                <w:color w:val="000000"/>
                <w:sz w:val="18"/>
                <w:szCs w:val="18"/>
                <w:u w:val="single"/>
              </w:rPr>
              <w:t xml:space="preserve">   acumulados</w:t>
            </w:r>
          </w:p>
        </w:tc>
        <w:tc>
          <w:tcPr>
            <w:tcW w:w="1289"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rPr>
              <w:t xml:space="preserve">  </w:t>
            </w:r>
            <w:r w:rsidRPr="00212B06">
              <w:rPr>
                <w:rFonts w:ascii="Verdana" w:hAnsi="Verdana" w:cs="Arial"/>
                <w:color w:val="000000"/>
                <w:sz w:val="18"/>
                <w:szCs w:val="18"/>
                <w:u w:val="single"/>
              </w:rPr>
              <w:t>integrales</w:t>
            </w:r>
          </w:p>
        </w:tc>
        <w:tc>
          <w:tcPr>
            <w:tcW w:w="302"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547"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revalorización</w:t>
            </w: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rsidTr="00212B06">
        <w:trPr>
          <w:gridAfter w:val="1"/>
          <w:wAfter w:w="462" w:type="dxa"/>
          <w:trHeight w:val="279"/>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15)</w:t>
            </w: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302"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547"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4)</w:t>
            </w: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rsidTr="00212B06">
        <w:trPr>
          <w:gridAfter w:val="1"/>
          <w:wAfter w:w="462" w:type="dxa"/>
          <w:trHeight w:val="279"/>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289"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302"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547"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rsidTr="00212B06">
        <w:trPr>
          <w:gridAfter w:val="1"/>
          <w:wAfter w:w="462" w:type="dxa"/>
          <w:trHeight w:val="279"/>
        </w:trPr>
        <w:tc>
          <w:tcPr>
            <w:tcW w:w="3936" w:type="dxa"/>
            <w:tcBorders>
              <w:top w:val="nil"/>
              <w:left w:val="nil"/>
              <w:bottom w:val="single" w:sz="4" w:space="0" w:color="auto"/>
              <w:right w:val="nil"/>
            </w:tcBorders>
            <w:hideMark/>
          </w:tcPr>
          <w:p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3" w:type="dxa"/>
            <w:tcBorders>
              <w:top w:val="nil"/>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89" w:type="dxa"/>
            <w:gridSpan w:val="2"/>
            <w:tcBorders>
              <w:top w:val="nil"/>
              <w:left w:val="nil"/>
              <w:bottom w:val="single" w:sz="4" w:space="0" w:color="auto"/>
              <w:right w:val="nil"/>
            </w:tcBorders>
            <w:hideMark/>
          </w:tcPr>
          <w:p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4,322</w:t>
            </w:r>
          </w:p>
        </w:tc>
        <w:tc>
          <w:tcPr>
            <w:tcW w:w="302" w:type="dxa"/>
            <w:gridSpan w:val="2"/>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gridSpan w:val="2"/>
            <w:tcBorders>
              <w:top w:val="nil"/>
              <w:left w:val="nil"/>
              <w:bottom w:val="single" w:sz="4" w:space="0" w:color="auto"/>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single" w:sz="4" w:space="0" w:color="auto"/>
              <w:right w:val="nil"/>
            </w:tcBorders>
            <w:vAlign w:val="bottom"/>
            <w:hideMark/>
          </w:tcPr>
          <w:p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rsidTr="00212B06">
        <w:trPr>
          <w:gridAfter w:val="1"/>
          <w:wAfter w:w="462" w:type="dxa"/>
          <w:trHeight w:val="261"/>
        </w:trPr>
        <w:tc>
          <w:tcPr>
            <w:tcW w:w="3936" w:type="dxa"/>
            <w:tcBorders>
              <w:top w:val="single" w:sz="4" w:space="0" w:color="auto"/>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156"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r>
      <w:tr w:rsidR="00212B06" w:rsidRPr="00212B06" w:rsidTr="00212B06">
        <w:trPr>
          <w:gridAfter w:val="1"/>
          <w:wAfter w:w="462" w:type="dxa"/>
          <w:trHeight w:val="279"/>
        </w:trPr>
        <w:tc>
          <w:tcPr>
            <w:tcW w:w="3936" w:type="dxa"/>
            <w:tcBorders>
              <w:top w:val="nil"/>
              <w:left w:val="nil"/>
              <w:bottom w:val="nil"/>
              <w:right w:val="nil"/>
            </w:tcBorders>
            <w:hideMark/>
          </w:tcPr>
          <w:p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3"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hideMark/>
          </w:tcPr>
          <w:p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89"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hideMark/>
          </w:tcPr>
          <w:p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rsidTr="00212B06">
        <w:trPr>
          <w:gridAfter w:val="1"/>
          <w:wAfter w:w="462" w:type="dxa"/>
          <w:trHeight w:val="261"/>
        </w:trPr>
        <w:tc>
          <w:tcPr>
            <w:tcW w:w="3936" w:type="dxa"/>
            <w:tcBorders>
              <w:top w:val="nil"/>
              <w:left w:val="nil"/>
              <w:bottom w:val="nil"/>
              <w:right w:val="nil"/>
            </w:tcBorders>
          </w:tcPr>
          <w:p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vehículos (Nota 4)</w:t>
            </w:r>
          </w:p>
        </w:tc>
        <w:tc>
          <w:tcPr>
            <w:tcW w:w="1273"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nil"/>
              <w:right w:val="nil"/>
            </w:tcBorders>
          </w:tcPr>
          <w:p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156" w:type="dxa"/>
            <w:gridSpan w:val="2"/>
            <w:tcBorders>
              <w:top w:val="nil"/>
              <w:left w:val="nil"/>
              <w:bottom w:val="nil"/>
              <w:right w:val="nil"/>
            </w:tcBorders>
          </w:tcPr>
          <w:p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r>
      <w:tr w:rsidR="00212B06" w:rsidRPr="00212B06" w:rsidTr="00212B06">
        <w:trPr>
          <w:gridAfter w:val="1"/>
          <w:wAfter w:w="462" w:type="dxa"/>
          <w:trHeight w:val="279"/>
        </w:trPr>
        <w:tc>
          <w:tcPr>
            <w:tcW w:w="3936" w:type="dxa"/>
            <w:tcBorders>
              <w:top w:val="nil"/>
              <w:left w:val="nil"/>
              <w:bottom w:val="single" w:sz="4" w:space="0" w:color="auto"/>
              <w:right w:val="nil"/>
            </w:tcBorders>
            <w:hideMark/>
          </w:tcPr>
          <w:p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3" w:type="dxa"/>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single" w:sz="4" w:space="0" w:color="auto"/>
              <w:right w:val="nil"/>
            </w:tcBorders>
            <w:hideMark/>
          </w:tcPr>
          <w:p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gridSpan w:val="2"/>
            <w:tcBorders>
              <w:top w:val="nil"/>
              <w:left w:val="nil"/>
              <w:bottom w:val="single" w:sz="4" w:space="0" w:color="auto"/>
              <w:right w:val="nil"/>
            </w:tcBorders>
            <w:hideMark/>
          </w:tcPr>
          <w:p w:rsid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4,001</w:t>
            </w:r>
          </w:p>
          <w:p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gridSpan w:val="2"/>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single" w:sz="4" w:space="0" w:color="auto"/>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single" w:sz="4" w:space="0" w:color="auto"/>
              <w:right w:val="nil"/>
            </w:tcBorders>
            <w:hideMark/>
          </w:tcPr>
          <w:p w:rsid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4,001</w:t>
            </w:r>
          </w:p>
          <w:p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rsidTr="00212B06">
        <w:trPr>
          <w:gridAfter w:val="1"/>
          <w:wAfter w:w="462" w:type="dxa"/>
          <w:trHeight w:val="261"/>
        </w:trPr>
        <w:tc>
          <w:tcPr>
            <w:tcW w:w="3936" w:type="dxa"/>
            <w:tcBorders>
              <w:top w:val="single" w:sz="4" w:space="0" w:color="auto"/>
              <w:left w:val="nil"/>
              <w:bottom w:val="single" w:sz="4" w:space="0" w:color="auto"/>
              <w:right w:val="nil"/>
            </w:tcBorders>
          </w:tcPr>
          <w:p w:rsidR="00212B06" w:rsidRPr="00212B06" w:rsidRDefault="00212B06" w:rsidP="00212B06">
            <w:pPr>
              <w:tabs>
                <w:tab w:val="left" w:pos="3960"/>
              </w:tabs>
              <w:jc w:val="both"/>
              <w:rPr>
                <w:rFonts w:ascii="Verdana" w:hAnsi="Verdana" w:cs="Arial"/>
                <w:color w:val="000000"/>
                <w:sz w:val="18"/>
                <w:szCs w:val="18"/>
              </w:rPr>
            </w:pPr>
          </w:p>
          <w:p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3" w:type="dxa"/>
            <w:tcBorders>
              <w:top w:val="single" w:sz="4" w:space="0" w:color="auto"/>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sing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sing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sing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single" w:sz="4" w:space="0" w:color="auto"/>
              <w:left w:val="nil"/>
              <w:bottom w:val="sing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single" w:sz="4" w:space="0" w:color="auto"/>
              <w:left w:val="nil"/>
              <w:bottom w:val="single" w:sz="4" w:space="0" w:color="auto"/>
              <w:right w:val="nil"/>
            </w:tcBorders>
            <w:vAlign w:val="bottom"/>
            <w:hideMark/>
          </w:tcPr>
          <w:p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89" w:type="dxa"/>
            <w:gridSpan w:val="2"/>
            <w:tcBorders>
              <w:top w:val="single" w:sz="4" w:space="0" w:color="auto"/>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p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2" w:type="dxa"/>
            <w:gridSpan w:val="2"/>
            <w:tcBorders>
              <w:top w:val="single" w:sz="4" w:space="0" w:color="auto"/>
              <w:left w:val="nil"/>
              <w:bottom w:val="sing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single" w:sz="4" w:space="0" w:color="auto"/>
              <w:left w:val="nil"/>
              <w:bottom w:val="single" w:sz="4" w:space="0" w:color="auto"/>
              <w:right w:val="nil"/>
            </w:tcBorders>
            <w:vAlign w:val="bottom"/>
            <w:hideMark/>
          </w:tcPr>
          <w:p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gridSpan w:val="2"/>
            <w:tcBorders>
              <w:top w:val="single" w:sz="4" w:space="0" w:color="auto"/>
              <w:left w:val="nil"/>
              <w:bottom w:val="single" w:sz="4" w:space="0" w:color="auto"/>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single" w:sz="4" w:space="0" w:color="auto"/>
              <w:left w:val="nil"/>
              <w:bottom w:val="single" w:sz="4" w:space="0" w:color="auto"/>
              <w:right w:val="nil"/>
            </w:tcBorders>
            <w:vAlign w:val="bottom"/>
            <w:hideMark/>
          </w:tcPr>
          <w:p w:rsidR="00212B06" w:rsidRPr="00212B06" w:rsidRDefault="00031A5A" w:rsidP="00031A5A">
            <w:pPr>
              <w:tabs>
                <w:tab w:val="left" w:pos="3960"/>
              </w:tabs>
              <w:jc w:val="right"/>
              <w:rPr>
                <w:rFonts w:ascii="Verdana" w:hAnsi="Verdana" w:cs="Arial"/>
                <w:color w:val="000000"/>
                <w:sz w:val="18"/>
                <w:szCs w:val="18"/>
              </w:rPr>
            </w:pPr>
            <w:r>
              <w:rPr>
                <w:rFonts w:ascii="Verdana" w:hAnsi="Verdana" w:cs="Arial"/>
                <w:color w:val="000000"/>
                <w:sz w:val="18"/>
                <w:szCs w:val="18"/>
              </w:rPr>
              <w:t xml:space="preserve">   412,620</w:t>
            </w:r>
          </w:p>
        </w:tc>
      </w:tr>
      <w:tr w:rsidR="00212B06" w:rsidRPr="00212B06" w:rsidTr="00212B06">
        <w:trPr>
          <w:gridAfter w:val="1"/>
          <w:wAfter w:w="462" w:type="dxa"/>
          <w:trHeight w:val="261"/>
        </w:trPr>
        <w:tc>
          <w:tcPr>
            <w:tcW w:w="3936" w:type="dxa"/>
            <w:tcBorders>
              <w:top w:val="single" w:sz="4" w:space="0" w:color="auto"/>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single" w:sz="4" w:space="0" w:color="auto"/>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single" w:sz="4" w:space="0" w:color="auto"/>
              <w:left w:val="nil"/>
              <w:bottom w:val="nil"/>
              <w:right w:val="nil"/>
            </w:tcBorders>
            <w:vAlign w:val="bottom"/>
          </w:tcPr>
          <w:p w:rsidR="00212B06" w:rsidRPr="00212B06" w:rsidRDefault="00212B06" w:rsidP="00212B06">
            <w:pPr>
              <w:tabs>
                <w:tab w:val="left" w:pos="3960"/>
              </w:tabs>
              <w:jc w:val="center"/>
              <w:rPr>
                <w:rFonts w:ascii="Verdana" w:hAnsi="Verdana" w:cs="Arial"/>
                <w:color w:val="000000"/>
                <w:sz w:val="18"/>
                <w:szCs w:val="18"/>
              </w:rPr>
            </w:pPr>
          </w:p>
        </w:tc>
      </w:tr>
      <w:tr w:rsidR="00212B06" w:rsidRPr="00212B06" w:rsidTr="00212B06">
        <w:trPr>
          <w:gridAfter w:val="1"/>
          <w:wAfter w:w="462" w:type="dxa"/>
          <w:trHeight w:val="261"/>
        </w:trPr>
        <w:tc>
          <w:tcPr>
            <w:tcW w:w="3936" w:type="dxa"/>
            <w:tcBorders>
              <w:top w:val="nil"/>
              <w:left w:val="nil"/>
              <w:bottom w:val="nil"/>
              <w:right w:val="nil"/>
            </w:tcBorders>
            <w:hideMark/>
          </w:tcPr>
          <w:p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3"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vAlign w:val="bottom"/>
            <w:hideMark/>
          </w:tcPr>
          <w:p w:rsidR="00212B06" w:rsidRPr="00212B06" w:rsidRDefault="00031A5A"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p>
        </w:tc>
      </w:tr>
      <w:tr w:rsidR="00212B06" w:rsidRPr="00212B06" w:rsidTr="00A87F95">
        <w:trPr>
          <w:gridAfter w:val="1"/>
          <w:wAfter w:w="462" w:type="dxa"/>
          <w:trHeight w:val="261"/>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vAlign w:val="bottom"/>
          </w:tcPr>
          <w:p w:rsidR="00212B06" w:rsidRPr="00212B06" w:rsidRDefault="00212B06" w:rsidP="00212B06">
            <w:pPr>
              <w:tabs>
                <w:tab w:val="left" w:pos="3960"/>
              </w:tabs>
              <w:jc w:val="center"/>
              <w:rPr>
                <w:rFonts w:ascii="Verdana" w:hAnsi="Verdana" w:cs="Arial"/>
                <w:color w:val="000000"/>
                <w:sz w:val="18"/>
                <w:szCs w:val="18"/>
              </w:rPr>
            </w:pPr>
          </w:p>
        </w:tc>
      </w:tr>
      <w:tr w:rsidR="00212B06" w:rsidRPr="00212B06" w:rsidTr="00A87F95">
        <w:trPr>
          <w:gridAfter w:val="1"/>
          <w:wAfter w:w="462" w:type="dxa"/>
          <w:trHeight w:val="261"/>
        </w:trPr>
        <w:tc>
          <w:tcPr>
            <w:tcW w:w="3936" w:type="dxa"/>
            <w:tcBorders>
              <w:top w:val="nil"/>
              <w:left w:val="nil"/>
              <w:bottom w:val="nil"/>
              <w:right w:val="nil"/>
            </w:tcBorders>
            <w:hideMark/>
          </w:tcPr>
          <w:p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Revalorización de vehículos (Nota 4)</w:t>
            </w:r>
          </w:p>
        </w:tc>
        <w:tc>
          <w:tcPr>
            <w:tcW w:w="1273"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nil"/>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vAlign w:val="bottom"/>
            <w:hideMark/>
          </w:tcPr>
          <w:p w:rsidR="00212B06" w:rsidRPr="00212B06" w:rsidRDefault="00031A5A"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p>
        </w:tc>
      </w:tr>
      <w:tr w:rsidR="00212B06" w:rsidRPr="00212B06" w:rsidTr="00A87F95">
        <w:trPr>
          <w:gridAfter w:val="1"/>
          <w:wAfter w:w="462" w:type="dxa"/>
          <w:trHeight w:val="261"/>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p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tc>
        <w:tc>
          <w:tcPr>
            <w:tcW w:w="1273"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tcPr>
          <w:p w:rsidR="00A87F95" w:rsidRDefault="00A87F95" w:rsidP="00A87F95">
            <w:pPr>
              <w:tabs>
                <w:tab w:val="left" w:pos="3960"/>
              </w:tabs>
              <w:jc w:val="right"/>
              <w:rPr>
                <w:rFonts w:ascii="Verdana" w:hAnsi="Verdana" w:cs="Arial"/>
                <w:color w:val="000000"/>
                <w:sz w:val="18"/>
                <w:szCs w:val="18"/>
              </w:rPr>
            </w:pPr>
          </w:p>
          <w:p w:rsidR="00212B06" w:rsidRPr="00212B06" w:rsidRDefault="00212B06" w:rsidP="00A87F95">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rPr>
                <w:rFonts w:ascii="Verdana" w:hAnsi="Verdana" w:cs="Arial"/>
                <w:color w:val="000000"/>
                <w:sz w:val="18"/>
                <w:szCs w:val="18"/>
              </w:rPr>
            </w:pPr>
          </w:p>
        </w:tc>
        <w:tc>
          <w:tcPr>
            <w:tcW w:w="1547"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vAlign w:val="bottom"/>
            <w:hideMark/>
          </w:tcPr>
          <w:p w:rsidR="00212B06" w:rsidRPr="00212B06" w:rsidRDefault="00031A5A"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p>
        </w:tc>
      </w:tr>
      <w:tr w:rsidR="00212B06" w:rsidRPr="00212B06" w:rsidTr="00A87F95">
        <w:trPr>
          <w:gridAfter w:val="1"/>
          <w:wAfter w:w="462" w:type="dxa"/>
          <w:trHeight w:val="261"/>
        </w:trPr>
        <w:tc>
          <w:tcPr>
            <w:tcW w:w="3936" w:type="dxa"/>
            <w:tcBorders>
              <w:top w:val="nil"/>
              <w:left w:val="nil"/>
              <w:bottom w:val="nil"/>
              <w:right w:val="nil"/>
            </w:tcBorders>
          </w:tcPr>
          <w:p w:rsidR="00212B06" w:rsidRPr="00212B06" w:rsidRDefault="00212B06" w:rsidP="00212B06">
            <w:pPr>
              <w:tabs>
                <w:tab w:val="left" w:pos="3960"/>
              </w:tabs>
              <w:jc w:val="both"/>
              <w:rPr>
                <w:rFonts w:ascii="Verdana" w:hAnsi="Verdana" w:cs="Arial"/>
                <w:color w:val="000000"/>
                <w:sz w:val="16"/>
                <w:szCs w:val="16"/>
              </w:rPr>
            </w:pPr>
          </w:p>
        </w:tc>
        <w:tc>
          <w:tcPr>
            <w:tcW w:w="1273"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rPr>
                <w:rFonts w:ascii="Verdana" w:hAnsi="Verdana" w:cs="Arial"/>
                <w:color w:val="000000"/>
                <w:sz w:val="18"/>
                <w:szCs w:val="18"/>
              </w:rPr>
            </w:pPr>
          </w:p>
        </w:tc>
        <w:tc>
          <w:tcPr>
            <w:tcW w:w="1547"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vAlign w:val="bottom"/>
          </w:tcPr>
          <w:p w:rsidR="00212B06" w:rsidRPr="00212B06" w:rsidRDefault="00212B06" w:rsidP="00212B06">
            <w:pPr>
              <w:tabs>
                <w:tab w:val="left" w:pos="3960"/>
              </w:tabs>
              <w:jc w:val="center"/>
              <w:rPr>
                <w:rFonts w:ascii="Verdana" w:hAnsi="Verdana" w:cs="Arial"/>
                <w:color w:val="000000"/>
                <w:sz w:val="18"/>
                <w:szCs w:val="18"/>
              </w:rPr>
            </w:pPr>
          </w:p>
        </w:tc>
      </w:tr>
      <w:tr w:rsidR="00212B06" w:rsidRPr="00212B06" w:rsidTr="00212B06">
        <w:trPr>
          <w:gridAfter w:val="1"/>
          <w:wAfter w:w="462" w:type="dxa"/>
          <w:trHeight w:val="261"/>
        </w:trPr>
        <w:tc>
          <w:tcPr>
            <w:tcW w:w="3936" w:type="dxa"/>
            <w:tcBorders>
              <w:top w:val="nil"/>
              <w:left w:val="nil"/>
              <w:bottom w:val="nil"/>
              <w:right w:val="nil"/>
            </w:tcBorders>
            <w:hideMark/>
          </w:tcPr>
          <w:p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Otros</w:t>
            </w:r>
          </w:p>
        </w:tc>
        <w:tc>
          <w:tcPr>
            <w:tcW w:w="1273"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nil"/>
              <w:right w:val="nil"/>
            </w:tcBorders>
            <w:hideMark/>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nil"/>
              <w:right w:val="nil"/>
            </w:tcBorders>
          </w:tcPr>
          <w:p w:rsidR="00212B06" w:rsidRPr="00212B06" w:rsidRDefault="00212B06" w:rsidP="00212B06">
            <w:pPr>
              <w:tabs>
                <w:tab w:val="left" w:pos="3960"/>
              </w:tabs>
              <w:rPr>
                <w:rFonts w:ascii="Verdana" w:hAnsi="Verdana" w:cs="Arial"/>
                <w:color w:val="000000"/>
                <w:sz w:val="18"/>
                <w:szCs w:val="18"/>
              </w:rPr>
            </w:pPr>
          </w:p>
        </w:tc>
        <w:tc>
          <w:tcPr>
            <w:tcW w:w="1547" w:type="dxa"/>
            <w:gridSpan w:val="2"/>
            <w:tcBorders>
              <w:top w:val="nil"/>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nil"/>
              <w:right w:val="nil"/>
            </w:tcBorders>
            <w:vAlign w:val="bottom"/>
            <w:hideMark/>
          </w:tcPr>
          <w:p w:rsidR="00212B06" w:rsidRPr="00212B06" w:rsidRDefault="00212B06" w:rsidP="00212B06">
            <w:pPr>
              <w:tabs>
                <w:tab w:val="left" w:pos="3960"/>
              </w:tabs>
              <w:jc w:val="center"/>
              <w:rPr>
                <w:rFonts w:ascii="Verdana" w:hAnsi="Verdana" w:cs="Arial"/>
                <w:color w:val="000000"/>
                <w:sz w:val="18"/>
                <w:szCs w:val="18"/>
              </w:rPr>
            </w:pPr>
          </w:p>
        </w:tc>
      </w:tr>
      <w:tr w:rsidR="00212B06" w:rsidRPr="00212B06" w:rsidTr="00212B06">
        <w:trPr>
          <w:gridAfter w:val="1"/>
          <w:wAfter w:w="462" w:type="dxa"/>
          <w:trHeight w:val="261"/>
        </w:trPr>
        <w:tc>
          <w:tcPr>
            <w:tcW w:w="3936" w:type="dxa"/>
            <w:tcBorders>
              <w:top w:val="single" w:sz="4" w:space="0" w:color="auto"/>
              <w:left w:val="nil"/>
              <w:bottom w:val="nil"/>
              <w:right w:val="nil"/>
            </w:tcBorders>
          </w:tcPr>
          <w:p w:rsidR="00212B06" w:rsidRPr="00212B06" w:rsidRDefault="00212B06" w:rsidP="00212B06">
            <w:pPr>
              <w:tabs>
                <w:tab w:val="left" w:pos="3960"/>
              </w:tabs>
              <w:jc w:val="both"/>
              <w:rPr>
                <w:rFonts w:ascii="Verdana" w:hAnsi="Verdana" w:cs="Arial"/>
                <w:color w:val="000000"/>
                <w:sz w:val="18"/>
                <w:szCs w:val="18"/>
              </w:rPr>
            </w:pPr>
          </w:p>
        </w:tc>
        <w:tc>
          <w:tcPr>
            <w:tcW w:w="1273"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single" w:sz="4" w:space="0" w:color="auto"/>
              <w:left w:val="nil"/>
              <w:bottom w:val="nil"/>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single" w:sz="4" w:space="0" w:color="auto"/>
              <w:left w:val="nil"/>
              <w:bottom w:val="nil"/>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single" w:sz="4" w:space="0" w:color="auto"/>
              <w:left w:val="nil"/>
              <w:bottom w:val="nil"/>
              <w:right w:val="nil"/>
            </w:tcBorders>
            <w:vAlign w:val="bottom"/>
          </w:tcPr>
          <w:p w:rsidR="00212B06" w:rsidRPr="00212B06" w:rsidRDefault="00212B06" w:rsidP="00212B06">
            <w:pPr>
              <w:tabs>
                <w:tab w:val="left" w:pos="3960"/>
              </w:tabs>
              <w:jc w:val="center"/>
              <w:rPr>
                <w:rFonts w:ascii="Verdana" w:hAnsi="Verdana" w:cs="Arial"/>
                <w:color w:val="000000"/>
                <w:sz w:val="18"/>
                <w:szCs w:val="18"/>
              </w:rPr>
            </w:pPr>
          </w:p>
        </w:tc>
        <w:tc>
          <w:tcPr>
            <w:tcW w:w="283" w:type="dxa"/>
            <w:gridSpan w:val="2"/>
            <w:tcBorders>
              <w:top w:val="single" w:sz="4" w:space="0" w:color="auto"/>
              <w:left w:val="nil"/>
              <w:bottom w:val="nil"/>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single" w:sz="4" w:space="0" w:color="auto"/>
              <w:left w:val="nil"/>
              <w:bottom w:val="nil"/>
              <w:right w:val="nil"/>
            </w:tcBorders>
            <w:vAlign w:val="bottom"/>
          </w:tcPr>
          <w:p w:rsidR="00212B06" w:rsidRPr="00212B06" w:rsidRDefault="00212B06" w:rsidP="00212B06">
            <w:pPr>
              <w:tabs>
                <w:tab w:val="left" w:pos="3960"/>
              </w:tabs>
              <w:jc w:val="center"/>
              <w:rPr>
                <w:rFonts w:ascii="Verdana" w:hAnsi="Verdana" w:cs="Arial"/>
                <w:color w:val="000000"/>
                <w:sz w:val="18"/>
                <w:szCs w:val="18"/>
              </w:rPr>
            </w:pPr>
          </w:p>
        </w:tc>
      </w:tr>
      <w:tr w:rsidR="00212B06" w:rsidRPr="00212B06" w:rsidTr="00212B06">
        <w:trPr>
          <w:gridAfter w:val="1"/>
          <w:wAfter w:w="462" w:type="dxa"/>
          <w:trHeight w:val="261"/>
        </w:trPr>
        <w:tc>
          <w:tcPr>
            <w:tcW w:w="3936" w:type="dxa"/>
            <w:tcBorders>
              <w:top w:val="nil"/>
              <w:left w:val="nil"/>
              <w:bottom w:val="double" w:sz="4" w:space="0" w:color="auto"/>
              <w:right w:val="nil"/>
            </w:tcBorders>
            <w:hideMark/>
          </w:tcPr>
          <w:p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3" w:type="dxa"/>
            <w:tcBorders>
              <w:top w:val="nil"/>
              <w:left w:val="nil"/>
              <w:bottom w:val="doub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doub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doub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doub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doub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double" w:sz="4" w:space="0" w:color="auto"/>
              <w:right w:val="nil"/>
            </w:tcBorders>
            <w:vAlign w:val="bottom"/>
          </w:tcPr>
          <w:p w:rsidR="00212B06" w:rsidRPr="00212B06" w:rsidRDefault="00212B06" w:rsidP="00212B06">
            <w:pPr>
              <w:tabs>
                <w:tab w:val="left" w:pos="3960"/>
              </w:tabs>
              <w:jc w:val="right"/>
              <w:rPr>
                <w:rFonts w:ascii="Verdana" w:hAnsi="Verdana" w:cs="Arial"/>
                <w:color w:val="000000"/>
                <w:sz w:val="18"/>
                <w:szCs w:val="18"/>
              </w:rPr>
            </w:pPr>
          </w:p>
        </w:tc>
        <w:tc>
          <w:tcPr>
            <w:tcW w:w="1534" w:type="dxa"/>
            <w:gridSpan w:val="2"/>
            <w:tcBorders>
              <w:top w:val="nil"/>
              <w:left w:val="nil"/>
              <w:bottom w:val="doub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1289" w:type="dxa"/>
            <w:gridSpan w:val="2"/>
            <w:tcBorders>
              <w:top w:val="nil"/>
              <w:left w:val="nil"/>
              <w:bottom w:val="double" w:sz="4" w:space="0" w:color="auto"/>
              <w:right w:val="nil"/>
            </w:tcBorders>
            <w:hideMark/>
          </w:tcPr>
          <w:p w:rsidR="00212B06" w:rsidRPr="00212B06" w:rsidRDefault="00212B06" w:rsidP="00212B06">
            <w:pPr>
              <w:tabs>
                <w:tab w:val="left" w:pos="3960"/>
              </w:tabs>
              <w:jc w:val="right"/>
              <w:rPr>
                <w:rFonts w:ascii="Verdana" w:hAnsi="Verdana" w:cs="Arial"/>
                <w:color w:val="000000"/>
                <w:sz w:val="18"/>
                <w:szCs w:val="18"/>
              </w:rPr>
            </w:pPr>
          </w:p>
        </w:tc>
        <w:tc>
          <w:tcPr>
            <w:tcW w:w="302" w:type="dxa"/>
            <w:gridSpan w:val="2"/>
            <w:tcBorders>
              <w:top w:val="nil"/>
              <w:left w:val="nil"/>
              <w:bottom w:val="double" w:sz="4" w:space="0" w:color="auto"/>
              <w:right w:val="nil"/>
            </w:tcBorders>
          </w:tcPr>
          <w:p w:rsidR="00212B06" w:rsidRPr="00212B06" w:rsidRDefault="00212B06" w:rsidP="00212B06">
            <w:pPr>
              <w:tabs>
                <w:tab w:val="left" w:pos="3960"/>
              </w:tabs>
              <w:jc w:val="right"/>
              <w:rPr>
                <w:rFonts w:ascii="Verdana" w:hAnsi="Verdana" w:cs="Arial"/>
                <w:color w:val="000000"/>
                <w:sz w:val="18"/>
                <w:szCs w:val="18"/>
              </w:rPr>
            </w:pPr>
          </w:p>
        </w:tc>
        <w:tc>
          <w:tcPr>
            <w:tcW w:w="1547" w:type="dxa"/>
            <w:gridSpan w:val="2"/>
            <w:tcBorders>
              <w:top w:val="nil"/>
              <w:left w:val="nil"/>
              <w:bottom w:val="double" w:sz="4" w:space="0" w:color="auto"/>
              <w:right w:val="nil"/>
            </w:tcBorders>
            <w:vAlign w:val="bottom"/>
            <w:hideMark/>
          </w:tcPr>
          <w:p w:rsidR="00212B06" w:rsidRPr="00212B06" w:rsidRDefault="00212B06" w:rsidP="00212B06">
            <w:pPr>
              <w:tabs>
                <w:tab w:val="left" w:pos="3960"/>
              </w:tabs>
              <w:jc w:val="right"/>
              <w:rPr>
                <w:rFonts w:ascii="Verdana" w:hAnsi="Verdana" w:cs="Arial"/>
                <w:color w:val="000000"/>
                <w:sz w:val="18"/>
                <w:szCs w:val="18"/>
              </w:rPr>
            </w:pPr>
          </w:p>
        </w:tc>
        <w:tc>
          <w:tcPr>
            <w:tcW w:w="283" w:type="dxa"/>
            <w:gridSpan w:val="2"/>
            <w:tcBorders>
              <w:top w:val="nil"/>
              <w:left w:val="nil"/>
              <w:bottom w:val="double" w:sz="4" w:space="0" w:color="auto"/>
              <w:right w:val="nil"/>
            </w:tcBorders>
          </w:tcPr>
          <w:p w:rsidR="00212B06" w:rsidRPr="00212B06" w:rsidRDefault="00212B06" w:rsidP="00212B06">
            <w:pPr>
              <w:tabs>
                <w:tab w:val="left" w:pos="3960"/>
              </w:tabs>
              <w:jc w:val="center"/>
              <w:rPr>
                <w:rFonts w:ascii="Verdana" w:hAnsi="Verdana" w:cs="Arial"/>
                <w:color w:val="000000"/>
                <w:sz w:val="18"/>
                <w:szCs w:val="18"/>
              </w:rPr>
            </w:pPr>
          </w:p>
        </w:tc>
        <w:tc>
          <w:tcPr>
            <w:tcW w:w="1156" w:type="dxa"/>
            <w:gridSpan w:val="2"/>
            <w:tcBorders>
              <w:top w:val="nil"/>
              <w:left w:val="nil"/>
              <w:bottom w:val="double" w:sz="4" w:space="0" w:color="auto"/>
              <w:right w:val="nil"/>
            </w:tcBorders>
            <w:vAlign w:val="bottom"/>
            <w:hideMark/>
          </w:tcPr>
          <w:p w:rsidR="00212B06" w:rsidRPr="00212B06" w:rsidRDefault="00212B06" w:rsidP="00212B06">
            <w:pPr>
              <w:tabs>
                <w:tab w:val="left" w:pos="3960"/>
              </w:tabs>
              <w:jc w:val="center"/>
              <w:rPr>
                <w:rFonts w:ascii="Verdana" w:hAnsi="Verdana" w:cs="Arial"/>
                <w:color w:val="000000"/>
                <w:sz w:val="18"/>
                <w:szCs w:val="18"/>
              </w:rPr>
            </w:pPr>
          </w:p>
        </w:tc>
      </w:tr>
    </w:tbl>
    <w:p w:rsidR="00212B06" w:rsidRPr="00212B06" w:rsidRDefault="00212B06" w:rsidP="00212B06">
      <w:pPr>
        <w:spacing w:line="256" w:lineRule="auto"/>
        <w:rPr>
          <w:rFonts w:ascii="Calibri" w:eastAsia="Calibri" w:hAnsi="Calibri"/>
          <w:sz w:val="22"/>
          <w:szCs w:val="22"/>
          <w:lang w:val="es-EC" w:eastAsia="en-US"/>
        </w:rPr>
      </w:pPr>
    </w:p>
    <w:p w:rsidR="00212B06" w:rsidRPr="00212B06" w:rsidRDefault="00212B06" w:rsidP="00212B06">
      <w:pPr>
        <w:spacing w:line="256" w:lineRule="auto"/>
        <w:rPr>
          <w:rFonts w:ascii="Calibri" w:eastAsia="Calibri" w:hAnsi="Calibri"/>
          <w:sz w:val="22"/>
          <w:szCs w:val="22"/>
          <w:lang w:val="es-EC" w:eastAsia="en-US"/>
        </w:rPr>
      </w:pPr>
    </w:p>
    <w:p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tblPr>
      <w:tblGrid>
        <w:gridCol w:w="3419"/>
        <w:gridCol w:w="3385"/>
      </w:tblGrid>
      <w:tr w:rsidR="00212B06" w:rsidRPr="00212B06" w:rsidTr="00212B06">
        <w:trPr>
          <w:jc w:val="center"/>
        </w:trPr>
        <w:tc>
          <w:tcPr>
            <w:tcW w:w="3419" w:type="dxa"/>
            <w:tcBorders>
              <w:top w:val="single" w:sz="4" w:space="0" w:color="auto"/>
              <w:left w:val="nil"/>
              <w:bottom w:val="nil"/>
              <w:right w:val="nil"/>
            </w:tcBorders>
            <w:hideMark/>
          </w:tcPr>
          <w:p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rsidTr="00212B06">
        <w:trPr>
          <w:jc w:val="center"/>
        </w:trPr>
        <w:tc>
          <w:tcPr>
            <w:tcW w:w="3419" w:type="dxa"/>
            <w:tcBorders>
              <w:top w:val="nil"/>
              <w:left w:val="nil"/>
              <w:bottom w:val="nil"/>
              <w:right w:val="nil"/>
            </w:tcBorders>
            <w:hideMark/>
          </w:tcPr>
          <w:p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rsidR="00212B06" w:rsidRPr="00212B06" w:rsidRDefault="00212B06" w:rsidP="00212B06">
      <w:pPr>
        <w:spacing w:line="256" w:lineRule="auto"/>
        <w:jc w:val="center"/>
        <w:rPr>
          <w:rFonts w:ascii="Calibri" w:eastAsia="Calibri" w:hAnsi="Calibri"/>
          <w:sz w:val="22"/>
          <w:szCs w:val="22"/>
          <w:lang w:val="es-EC" w:eastAsia="en-US"/>
        </w:rPr>
      </w:pPr>
    </w:p>
    <w:p w:rsidR="00AB71CC" w:rsidRDefault="00AB71CC" w:rsidP="00AB71CC">
      <w:pPr>
        <w:pBdr>
          <w:bottom w:val="single" w:sz="4" w:space="1" w:color="auto"/>
        </w:pBdr>
        <w:tabs>
          <w:tab w:val="left" w:pos="3960"/>
        </w:tabs>
        <w:jc w:val="both"/>
        <w:rPr>
          <w:rFonts w:ascii="Verdana" w:hAnsi="Verdana" w:cs="Arial"/>
          <w:color w:val="000000"/>
          <w:sz w:val="18"/>
          <w:szCs w:val="18"/>
        </w:rPr>
      </w:pPr>
    </w:p>
    <w:p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rsidR="00B72D3E" w:rsidRDefault="00B72D3E" w:rsidP="00B72D3E">
      <w:pPr>
        <w:jc w:val="both"/>
        <w:rPr>
          <w:rFonts w:ascii="Verdana" w:hAnsi="Verdana" w:cs="Arial"/>
          <w:b/>
          <w:color w:val="000000"/>
          <w:sz w:val="18"/>
          <w:szCs w:val="18"/>
          <w:u w:val="single"/>
        </w:rPr>
      </w:pPr>
      <w:bookmarkStart w:id="5" w:name="_Hlk60657173"/>
      <w:r>
        <w:rPr>
          <w:rFonts w:ascii="Verdana" w:hAnsi="Verdana" w:cs="Arial"/>
          <w:b/>
          <w:color w:val="000000"/>
          <w:sz w:val="18"/>
          <w:szCs w:val="18"/>
          <w:u w:val="single"/>
        </w:rPr>
        <w:lastRenderedPageBreak/>
        <w:t>VISACOM S.A.</w:t>
      </w:r>
    </w:p>
    <w:p w:rsidR="00B72D3E" w:rsidRDefault="00B72D3E" w:rsidP="00B72D3E">
      <w:pPr>
        <w:jc w:val="both"/>
        <w:rPr>
          <w:rFonts w:ascii="Verdana" w:hAnsi="Verdana" w:cs="Arial"/>
          <w:b/>
          <w:color w:val="000000"/>
          <w:sz w:val="18"/>
          <w:szCs w:val="18"/>
          <w:u w:val="single"/>
        </w:rPr>
      </w:pPr>
    </w:p>
    <w:p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(Expresados en Dólares)</w:t>
      </w:r>
    </w:p>
    <w:p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tblPr>
      <w:tblGrid>
        <w:gridCol w:w="866"/>
        <w:gridCol w:w="5763"/>
        <w:gridCol w:w="1701"/>
        <w:gridCol w:w="1466"/>
      </w:tblGrid>
      <w:tr w:rsidR="00B72D3E" w:rsidTr="00B72D3E">
        <w:tc>
          <w:tcPr>
            <w:tcW w:w="866" w:type="dxa"/>
            <w:tcBorders>
              <w:top w:val="nil"/>
              <w:left w:val="nil"/>
              <w:bottom w:val="nil"/>
              <w:right w:val="nil"/>
            </w:tcBorders>
            <w:hideMark/>
          </w:tcPr>
          <w:bookmarkEnd w:id="5"/>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r>
              <w:rPr>
                <w:rFonts w:ascii="Verdana" w:hAnsi="Verdana" w:cs="Arial"/>
                <w:b/>
                <w:bCs/>
                <w:color w:val="000000"/>
                <w:sz w:val="20"/>
                <w:szCs w:val="20"/>
                <w:u w:val="double"/>
                <w:lang w:val="es-ES_tradnl"/>
              </w:rPr>
              <w:t>Notas</w:t>
            </w:r>
          </w:p>
        </w:tc>
        <w:tc>
          <w:tcPr>
            <w:tcW w:w="5763"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r>
              <w:rPr>
                <w:rFonts w:ascii="Verdana" w:hAnsi="Verdana" w:cs="Arial"/>
                <w:b/>
                <w:bCs/>
                <w:color w:val="000000"/>
                <w:sz w:val="20"/>
                <w:szCs w:val="20"/>
                <w:u w:val="double"/>
                <w:lang w:val="es-ES_tradnl"/>
              </w:rPr>
              <w:t>2021</w:t>
            </w:r>
          </w:p>
        </w:tc>
        <w:tc>
          <w:tcPr>
            <w:tcW w:w="14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r>
              <w:rPr>
                <w:rFonts w:ascii="Verdana" w:hAnsi="Verdana" w:cs="Arial"/>
                <w:b/>
                <w:bCs/>
                <w:color w:val="000000"/>
                <w:sz w:val="20"/>
                <w:szCs w:val="20"/>
                <w:u w:val="double"/>
                <w:lang w:val="es-ES_tradnl"/>
              </w:rPr>
              <w:t>2020</w:t>
            </w: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rsidTr="00B72D3E">
        <w:tc>
          <w:tcPr>
            <w:tcW w:w="866" w:type="dxa"/>
            <w:tcBorders>
              <w:top w:val="nil"/>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22</w:t>
            </w:r>
          </w:p>
        </w:tc>
        <w:tc>
          <w:tcPr>
            <w:tcW w:w="5763" w:type="dxa"/>
            <w:tcBorders>
              <w:top w:val="nil"/>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rsidTr="00B72D3E">
        <w:tc>
          <w:tcPr>
            <w:tcW w:w="866" w:type="dxa"/>
            <w:tcBorders>
              <w:top w:val="single" w:sz="4" w:space="0" w:color="auto"/>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single" w:sz="4" w:space="0" w:color="auto"/>
              <w:right w:val="nil"/>
            </w:tcBorders>
            <w:hideMark/>
          </w:tcPr>
          <w:p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rsidTr="00B72D3E">
        <w:tc>
          <w:tcPr>
            <w:tcW w:w="866"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rsidTr="00B72D3E">
        <w:tc>
          <w:tcPr>
            <w:tcW w:w="866"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rsidTr="00B72D3E">
        <w:tc>
          <w:tcPr>
            <w:tcW w:w="866" w:type="dxa"/>
            <w:tcBorders>
              <w:top w:val="single" w:sz="4" w:space="0" w:color="auto"/>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single" w:sz="4" w:space="0" w:color="auto"/>
              <w:right w:val="nil"/>
            </w:tcBorders>
            <w:hideMark/>
          </w:tcPr>
          <w:p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rsidTr="00B72D3E">
        <w:tc>
          <w:tcPr>
            <w:tcW w:w="866"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rsidTr="00B72D3E">
        <w:tc>
          <w:tcPr>
            <w:tcW w:w="8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30,000</w:t>
            </w:r>
          </w:p>
        </w:tc>
      </w:tr>
      <w:tr w:rsidR="00B72D3E" w:rsidTr="00B72D3E">
        <w:tc>
          <w:tcPr>
            <w:tcW w:w="866" w:type="dxa"/>
            <w:tcBorders>
              <w:top w:val="nil"/>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p>
        </w:tc>
        <w:tc>
          <w:tcPr>
            <w:tcW w:w="1701" w:type="dxa"/>
            <w:tcBorders>
              <w:top w:val="nil"/>
              <w:left w:val="nil"/>
              <w:bottom w:val="single" w:sz="4" w:space="0" w:color="auto"/>
              <w:right w:val="nil"/>
            </w:tcBorders>
            <w:hideMark/>
          </w:tcPr>
          <w:p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(18,000)</w:t>
            </w:r>
          </w:p>
        </w:tc>
      </w:tr>
      <w:tr w:rsidR="00B72D3E" w:rsidTr="00B72D3E">
        <w:tc>
          <w:tcPr>
            <w:tcW w:w="866" w:type="dxa"/>
            <w:tcBorders>
              <w:top w:val="single" w:sz="4" w:space="0" w:color="auto"/>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LAS ACTIVIDADES DE FINANCIAMIENTO</w:t>
            </w:r>
          </w:p>
        </w:tc>
        <w:tc>
          <w:tcPr>
            <w:tcW w:w="1701" w:type="dxa"/>
            <w:tcBorders>
              <w:top w:val="single" w:sz="4" w:space="0" w:color="auto"/>
              <w:left w:val="nil"/>
              <w:bottom w:val="single" w:sz="4" w:space="0" w:color="auto"/>
              <w:right w:val="nil"/>
            </w:tcBorders>
            <w:hideMark/>
          </w:tcPr>
          <w:p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12,000</w:t>
            </w:r>
          </w:p>
        </w:tc>
      </w:tr>
      <w:tr w:rsidR="00B72D3E" w:rsidTr="00B72D3E">
        <w:tc>
          <w:tcPr>
            <w:tcW w:w="866"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rsidTr="00B72D3E">
        <w:tc>
          <w:tcPr>
            <w:tcW w:w="866" w:type="dxa"/>
            <w:tcBorders>
              <w:top w:val="nil"/>
              <w:left w:val="nil"/>
              <w:bottom w:val="nil"/>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 neto del efectivo</w:t>
            </w:r>
          </w:p>
        </w:tc>
        <w:tc>
          <w:tcPr>
            <w:tcW w:w="1701" w:type="dxa"/>
            <w:tcBorders>
              <w:top w:val="nil"/>
              <w:left w:val="nil"/>
              <w:bottom w:val="nil"/>
              <w:right w:val="nil"/>
            </w:tcBorders>
            <w:hideMark/>
          </w:tcPr>
          <w:p w:rsidR="00B72D3E" w:rsidRDefault="00B72D3E">
            <w:pPr>
              <w:rPr>
                <w:rFonts w:ascii="Verdana" w:hAnsi="Verdana" w:cs="Arial"/>
                <w:b/>
                <w:bCs/>
                <w:color w:val="000000"/>
                <w:sz w:val="20"/>
                <w:szCs w:val="20"/>
                <w:lang w:val="es-ES_tradnl"/>
              </w:rPr>
            </w:pPr>
          </w:p>
        </w:tc>
        <w:tc>
          <w:tcPr>
            <w:tcW w:w="14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rsidTr="00B72D3E">
        <w:tc>
          <w:tcPr>
            <w:tcW w:w="8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18</w:t>
            </w:r>
          </w:p>
        </w:tc>
        <w:tc>
          <w:tcPr>
            <w:tcW w:w="5763"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Caja y bancos al inicio del año </w:t>
            </w:r>
          </w:p>
        </w:tc>
        <w:tc>
          <w:tcPr>
            <w:tcW w:w="1701" w:type="dxa"/>
            <w:tcBorders>
              <w:top w:val="nil"/>
              <w:left w:val="nil"/>
              <w:bottom w:val="nil"/>
              <w:right w:val="nil"/>
            </w:tcBorders>
            <w:hideMark/>
          </w:tcPr>
          <w:p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rsidTr="00B72D3E">
        <w:tc>
          <w:tcPr>
            <w:tcW w:w="866"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tc>
        <w:tc>
          <w:tcPr>
            <w:tcW w:w="5763"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single" w:sz="4" w:space="0" w:color="auto"/>
              <w:right w:val="nil"/>
            </w:tcBorders>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rsidTr="00B72D3E">
        <w:tc>
          <w:tcPr>
            <w:tcW w:w="866" w:type="dxa"/>
            <w:tcBorders>
              <w:top w:val="single" w:sz="4" w:space="0" w:color="auto"/>
              <w:left w:val="nil"/>
              <w:bottom w:val="doub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18</w:t>
            </w:r>
          </w:p>
        </w:tc>
        <w:tc>
          <w:tcPr>
            <w:tcW w:w="5763" w:type="dxa"/>
            <w:tcBorders>
              <w:top w:val="single" w:sz="4" w:space="0" w:color="auto"/>
              <w:left w:val="nil"/>
              <w:bottom w:val="doub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Caja y bancos al final del año </w:t>
            </w:r>
          </w:p>
        </w:tc>
        <w:tc>
          <w:tcPr>
            <w:tcW w:w="1701" w:type="dxa"/>
            <w:tcBorders>
              <w:top w:val="single" w:sz="4" w:space="0" w:color="auto"/>
              <w:left w:val="nil"/>
              <w:bottom w:val="double" w:sz="4" w:space="0" w:color="auto"/>
              <w:right w:val="nil"/>
            </w:tcBorders>
            <w:hideMark/>
          </w:tcPr>
          <w:p w:rsidR="00B72D3E" w:rsidRDefault="00B72D3E">
            <w:pPr>
              <w:rPr>
                <w:rFonts w:ascii="Verdana" w:hAnsi="Verdana" w:cs="Arial"/>
                <w:b/>
                <w:bCs/>
                <w:color w:val="000000"/>
                <w:sz w:val="20"/>
                <w:szCs w:val="20"/>
                <w:lang w:val="es-ES_tradnl"/>
              </w:rPr>
            </w:pPr>
          </w:p>
        </w:tc>
        <w:tc>
          <w:tcPr>
            <w:tcW w:w="1466" w:type="dxa"/>
            <w:tcBorders>
              <w:top w:val="single" w:sz="4" w:space="0" w:color="auto"/>
              <w:left w:val="nil"/>
              <w:bottom w:val="double" w:sz="4" w:space="0" w:color="auto"/>
              <w:right w:val="nil"/>
            </w:tcBorders>
            <w:hideMark/>
          </w:tcPr>
          <w:p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tblPr>
      <w:tblGrid>
        <w:gridCol w:w="2796"/>
        <w:gridCol w:w="2733"/>
      </w:tblGrid>
      <w:tr w:rsidR="00B72D3E" w:rsidTr="00B72D3E">
        <w:tc>
          <w:tcPr>
            <w:tcW w:w="2796" w:type="dxa"/>
            <w:tcBorders>
              <w:top w:val="nil"/>
              <w:left w:val="nil"/>
              <w:bottom w:val="single" w:sz="4" w:space="0" w:color="auto"/>
              <w:right w:val="nil"/>
            </w:tcBorders>
          </w:tcPr>
          <w:p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rsidTr="00B72D3E">
        <w:tc>
          <w:tcPr>
            <w:tcW w:w="2796" w:type="dxa"/>
            <w:tcBorders>
              <w:top w:val="single" w:sz="4" w:space="0" w:color="auto"/>
              <w:left w:val="nil"/>
              <w:bottom w:val="nil"/>
              <w:right w:val="nil"/>
            </w:tcBorders>
            <w:hideMark/>
          </w:tcPr>
          <w:p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rsidTr="00B72D3E">
        <w:tc>
          <w:tcPr>
            <w:tcW w:w="2796" w:type="dxa"/>
            <w:tcBorders>
              <w:top w:val="nil"/>
              <w:bottom w:val="nil"/>
            </w:tcBorders>
            <w:hideMark/>
          </w:tcPr>
          <w:p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rsidR="00AB71CC" w:rsidRDefault="00AB71CC"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A61C8B">
      <w:pPr>
        <w:pBdr>
          <w:bottom w:val="single" w:sz="12" w:space="1" w:color="auto"/>
        </w:pBdr>
        <w:jc w:val="both"/>
        <w:rPr>
          <w:rFonts w:ascii="Verdana" w:hAnsi="Verdana" w:cs="Arial"/>
          <w:color w:val="000000"/>
          <w:sz w:val="18"/>
          <w:szCs w:val="18"/>
          <w:lang w:val="es-ES_tradnl"/>
        </w:rPr>
      </w:pPr>
    </w:p>
    <w:p w:rsidR="00B72D3E" w:rsidRPr="00AB71CC" w:rsidRDefault="00B72D3E" w:rsidP="00A61C8B">
      <w:pPr>
        <w:pBdr>
          <w:bottom w:val="single" w:sz="12" w:space="1" w:color="auto"/>
        </w:pBdr>
        <w:jc w:val="both"/>
        <w:rPr>
          <w:rFonts w:ascii="Verdana" w:hAnsi="Verdana" w:cs="Arial"/>
          <w:color w:val="000000"/>
          <w:sz w:val="18"/>
          <w:szCs w:val="18"/>
          <w:lang w:val="es-ES_tradnl"/>
        </w:rPr>
      </w:pPr>
    </w:p>
    <w:p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rsidR="00B72D3E" w:rsidRDefault="00B72D3E" w:rsidP="00B72D3E">
      <w:pPr>
        <w:spacing w:line="200" w:lineRule="exact"/>
        <w:ind w:left="709"/>
        <w:rPr>
          <w:rFonts w:ascii="Verdana" w:hAnsi="Verdana" w:cs="Arial"/>
          <w:b/>
          <w:color w:val="000000"/>
          <w:sz w:val="21"/>
          <w:szCs w:val="21"/>
          <w:u w:val="single"/>
        </w:rPr>
      </w:pPr>
    </w:p>
    <w:p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rsidR="00B72D3E" w:rsidRDefault="00B72D3E" w:rsidP="00B72D3E">
      <w:pPr>
        <w:tabs>
          <w:tab w:val="left" w:pos="7655"/>
        </w:tabs>
        <w:spacing w:line="200" w:lineRule="exact"/>
        <w:ind w:left="709"/>
        <w:rPr>
          <w:rFonts w:ascii="Verdana" w:hAnsi="Verdana" w:cs="Arial"/>
          <w:color w:val="000000"/>
          <w:sz w:val="21"/>
          <w:szCs w:val="21"/>
        </w:rPr>
      </w:pPr>
    </w:p>
    <w:p w:rsidR="00B72D3E" w:rsidRDefault="00B72D3E" w:rsidP="00B72D3E">
      <w:pPr>
        <w:pStyle w:val="Prrafodelista"/>
        <w:numPr>
          <w:ilvl w:val="0"/>
          <w:numId w:val="4"/>
        </w:numPr>
        <w:jc w:val="both"/>
        <w:rPr>
          <w:rFonts w:ascii="Verdana" w:hAnsi="Verdana" w:cs="Calibri"/>
          <w:color w:val="000000"/>
          <w:sz w:val="21"/>
          <w:szCs w:val="21"/>
        </w:rPr>
      </w:pPr>
      <w:bookmarkStart w:id="6" w:name="_Hlk30064446"/>
      <w:r>
        <w:rPr>
          <w:rFonts w:ascii="Verdana" w:hAnsi="Verdana" w:cs="Calibri"/>
          <w:b/>
          <w:color w:val="000000"/>
          <w:sz w:val="21"/>
          <w:szCs w:val="21"/>
        </w:rPr>
        <w:t>INFORMACION GENERAL DE LA COMPAÑÍA</w:t>
      </w:r>
    </w:p>
    <w:bookmarkEnd w:id="6"/>
    <w:p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rsidR="00B72D3E" w:rsidRDefault="00B72D3E" w:rsidP="00B72D3E">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mediante escritura inscrita en el Registro Mercantil el 15 de enero del 2004. </w:t>
      </w:r>
    </w:p>
    <w:p w:rsidR="00B72D3E" w:rsidRDefault="00B72D3E" w:rsidP="00B72D3E">
      <w:pPr>
        <w:pStyle w:val="Prrafodelista"/>
        <w:ind w:left="454"/>
        <w:jc w:val="both"/>
        <w:rPr>
          <w:rFonts w:ascii="Verdana" w:hAnsi="Verdana" w:cs="Calibri"/>
          <w:color w:val="000000"/>
          <w:sz w:val="21"/>
          <w:szCs w:val="21"/>
        </w:rPr>
      </w:pPr>
    </w:p>
    <w:p w:rsidR="00B72D3E" w:rsidRDefault="00B72D3E" w:rsidP="00B72D3E">
      <w:pPr>
        <w:pStyle w:val="Prrafodelista"/>
        <w:numPr>
          <w:ilvl w:val="0"/>
          <w:numId w:val="5"/>
        </w:numPr>
        <w:jc w:val="both"/>
        <w:rPr>
          <w:rFonts w:ascii="Verdana" w:hAnsi="Verdana" w:cs="Calibri"/>
          <w:color w:val="000000"/>
          <w:sz w:val="21"/>
          <w:szCs w:val="21"/>
        </w:rPr>
      </w:pPr>
      <w:r>
        <w:rPr>
          <w:rFonts w:ascii="Verdana" w:hAnsi="Verdana" w:cs="Calibri"/>
          <w:b/>
          <w:i/>
          <w:iCs/>
          <w:color w:val="000000"/>
          <w:sz w:val="21"/>
          <w:szCs w:val="21"/>
        </w:rPr>
        <w:t>Operaciones y Cambios Significativos en el Período Corriente</w:t>
      </w:r>
      <w:r>
        <w:rPr>
          <w:rFonts w:ascii="Verdana" w:hAnsi="Verdana" w:cs="Calibri"/>
          <w:b/>
          <w:color w:val="000000"/>
          <w:sz w:val="21"/>
          <w:szCs w:val="21"/>
        </w:rPr>
        <w:t xml:space="preserve"> – </w:t>
      </w:r>
      <w:r>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Pr>
          <w:rFonts w:ascii="Verdana" w:hAnsi="Verdana" w:cs="Calibri"/>
          <w:bCs/>
          <w:color w:val="000000"/>
          <w:sz w:val="21"/>
          <w:szCs w:val="21"/>
        </w:rPr>
        <w:t>Below</w:t>
      </w:r>
      <w:proofErr w:type="spellEnd"/>
      <w:r>
        <w:rPr>
          <w:rFonts w:ascii="Verdana" w:hAnsi="Verdana" w:cs="Calibri"/>
          <w:bCs/>
          <w:color w:val="000000"/>
          <w:sz w:val="21"/>
          <w:szCs w:val="21"/>
        </w:rPr>
        <w:t xml:space="preserve"> </w:t>
      </w:r>
      <w:proofErr w:type="spellStart"/>
      <w:r>
        <w:rPr>
          <w:rFonts w:ascii="Verdana" w:hAnsi="Verdana" w:cs="Calibri"/>
          <w:bCs/>
          <w:color w:val="000000"/>
          <w:sz w:val="21"/>
          <w:szCs w:val="21"/>
        </w:rPr>
        <w:t>the</w:t>
      </w:r>
      <w:proofErr w:type="spellEnd"/>
      <w:r>
        <w:rPr>
          <w:rFonts w:ascii="Verdana" w:hAnsi="Verdana" w:cs="Calibri"/>
          <w:bCs/>
          <w:color w:val="000000"/>
          <w:sz w:val="21"/>
          <w:szCs w:val="21"/>
        </w:rPr>
        <w:t xml:space="preserve"> Line), servicios de publicidad en actividades, promociones y campañas de mercadeo y prestación de servicios de impulso.</w:t>
      </w:r>
    </w:p>
    <w:p w:rsidR="00B72D3E" w:rsidRDefault="00B72D3E" w:rsidP="00B72D3E">
      <w:pPr>
        <w:pStyle w:val="Prrafodelista"/>
        <w:ind w:left="454"/>
        <w:jc w:val="both"/>
        <w:rPr>
          <w:rFonts w:ascii="Verdana" w:hAnsi="Verdana" w:cs="Calibri"/>
          <w:b/>
          <w:i/>
          <w:iCs/>
          <w:color w:val="000000"/>
          <w:sz w:val="21"/>
          <w:szCs w:val="21"/>
        </w:rPr>
      </w:pPr>
    </w:p>
    <w:p w:rsidR="00B72D3E" w:rsidRDefault="00B72D3E"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En el año 2021, principalmente debido a los efectos económicos de la pandemia de covid-19 tal como se explica en el literal c), las ventas se mantuvieron en los mismos niveles del año pasado y los resultados operacionales, así como la utilidad neta del ejercicio se encuentran en punto de equilibrio. Al 31 de diciembre del 2021 y 2020 la empresa opera con 10 y 17 empleados, respectivamente</w:t>
      </w:r>
    </w:p>
    <w:p w:rsidR="00B72D3E" w:rsidRDefault="00B72D3E" w:rsidP="00B72D3E">
      <w:pPr>
        <w:pStyle w:val="Prrafodelista"/>
        <w:ind w:left="454"/>
        <w:jc w:val="both"/>
        <w:rPr>
          <w:rFonts w:ascii="Verdana" w:hAnsi="Verdana" w:cs="Calibri"/>
          <w:bCs/>
          <w:color w:val="000000"/>
          <w:sz w:val="21"/>
          <w:szCs w:val="21"/>
        </w:rPr>
      </w:pPr>
    </w:p>
    <w:p w:rsidR="00B72D3E" w:rsidRDefault="00B72D3E"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Para contrarrestar los efectos económicos de la pandemia del covid-19 (ver párrafo siguiente) durante el año 2021, entre otras medidas, la Compañía redujo sus costos fijos y de personal al mínimo indispensable de acuerdo con el nivel de operaciones, se mantienen las reservas patrimoniales ya constituidas, y se han realizado nuevos préstamos de recursos frescos por parte de los Accionistas, cuando ha sido necesario.</w:t>
      </w:r>
    </w:p>
    <w:p w:rsidR="00B72D3E" w:rsidRDefault="00B72D3E" w:rsidP="00B72D3E">
      <w:pPr>
        <w:pStyle w:val="Prrafodelista"/>
        <w:ind w:left="0"/>
        <w:jc w:val="both"/>
        <w:rPr>
          <w:rFonts w:ascii="Verdana" w:hAnsi="Verdana" w:cs="Calibri"/>
          <w:bCs/>
          <w:color w:val="000000"/>
          <w:sz w:val="21"/>
          <w:szCs w:val="21"/>
        </w:rPr>
      </w:pPr>
    </w:p>
    <w:p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bookmarkStart w:id="7" w:name="_Hlk67409033"/>
      <w:r>
        <w:rPr>
          <w:rFonts w:ascii="Verdana" w:hAnsi="Verdana" w:cs="Calibri"/>
          <w:b/>
          <w:color w:val="000000"/>
          <w:sz w:val="21"/>
          <w:szCs w:val="21"/>
        </w:rPr>
        <w:t>c)</w:t>
      </w:r>
      <w:r>
        <w:rPr>
          <w:rFonts w:ascii="Verdana" w:hAnsi="Verdana" w:cs="Calibri"/>
          <w:b/>
          <w:i/>
          <w:iCs/>
          <w:color w:val="000000"/>
          <w:sz w:val="21"/>
          <w:szCs w:val="21"/>
        </w:rPr>
        <w:tab/>
      </w:r>
      <w:r>
        <w:rPr>
          <w:rFonts w:ascii="Verdana" w:hAnsi="Verdana" w:cs="Calibri"/>
          <w:b/>
          <w:i/>
          <w:iCs/>
          <w:color w:val="000000"/>
          <w:sz w:val="21"/>
          <w:szCs w:val="21"/>
        </w:rPr>
        <w:tab/>
        <w:t xml:space="preserve">Covid-19 - </w:t>
      </w:r>
      <w:r>
        <w:rPr>
          <w:rFonts w:ascii="Verdana" w:hAnsi="Verdana" w:cs="Calibri"/>
          <w:bCs/>
          <w:color w:val="000000"/>
          <w:sz w:val="21"/>
          <w:szCs w:val="21"/>
        </w:rPr>
        <w:t xml:space="preserve">La nueva pandemia de coronavirus (COVID-19) continúa </w:t>
      </w:r>
      <w:bookmarkEnd w:id="7"/>
      <w:r>
        <w:rPr>
          <w:rFonts w:ascii="Verdana" w:hAnsi="Verdana" w:cs="Calibri"/>
          <w:bCs/>
          <w:color w:val="000000"/>
          <w:sz w:val="21"/>
          <w:szCs w:val="21"/>
        </w:rPr>
        <w:t xml:space="preserve">propagándose rápidamente a través del globo, incluyendo Ecuador. El 11 de marzo del 2020 la epidemia fue caracterizada como una pandemia global por la Organización Mundial de la Salud, y la misma ha pasado factura no solamente en vidas humanas sino inclusive en la economía de los países y negocios. Varios gobiernos han tomado diversas medidas para contener la propagación del virus y </w:t>
      </w:r>
      <w:r>
        <w:rPr>
          <w:rFonts w:ascii="Verdana" w:hAnsi="Verdana" w:cs="Calibri"/>
          <w:bCs/>
          <w:color w:val="000000"/>
          <w:sz w:val="21"/>
          <w:szCs w:val="21"/>
          <w:shd w:val="clear" w:color="auto" w:fill="FFFFFF"/>
        </w:rPr>
        <w:t>el gobierno ecuatoriano declaró estado de excepción por calamidad pública</w:t>
      </w:r>
      <w:r>
        <w:rPr>
          <w:rFonts w:ascii="Verdana" w:hAnsi="Verdana" w:cs="Calibri"/>
          <w:bCs/>
          <w:color w:val="000000"/>
          <w:sz w:val="21"/>
          <w:szCs w:val="21"/>
        </w:rPr>
        <w:t xml:space="preserve"> a nivel nacional; durante dicho período de emergencia fueron suspendidos los eventos públicos masivos y se establecieron restricciones a las operaciones comerciales y servicios (excepto por aquellas considerados esenciales), incluyendo aquellos mercados en los cuales opera la empresa, a pesar de lo cual no se ha deteriorado la calidad de la cartera de clientes del negocio. </w:t>
      </w:r>
    </w:p>
    <w:p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p>
    <w:p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r>
        <w:rPr>
          <w:rFonts w:ascii="Verdana" w:hAnsi="Verdana" w:cs="Calibri"/>
          <w:bCs/>
          <w:color w:val="000000"/>
          <w:sz w:val="21"/>
          <w:szCs w:val="21"/>
        </w:rPr>
        <w:tab/>
      </w:r>
      <w:r>
        <w:rPr>
          <w:rFonts w:ascii="Verdana" w:hAnsi="Verdana" w:cs="Calibri"/>
          <w:bCs/>
          <w:color w:val="000000"/>
          <w:sz w:val="21"/>
          <w:szCs w:val="21"/>
        </w:rPr>
        <w:tab/>
        <w:t>Las medidas tomadas por el gobierno ecuatoriano incluyeron toque de queda nacional con limitaciones en el movimiento de personas, restricciones de vuelos y transporte de personas, restricciones vehiculares y suspensión de actividades laborales, así como asistencia directa a la población y empresas, principalmente PYMES. También se dispuso la modalidad laboral de teletrabajo con presencia física reducida en las instalaciones, otorgamiento de vacaciones y reducciones de jornada laboral.</w:t>
      </w:r>
    </w:p>
    <w:p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p>
    <w:p w:rsidR="00B72D3E" w:rsidRDefault="00B72D3E" w:rsidP="00B72D3E">
      <w:pPr>
        <w:pStyle w:val="Prrafodelista"/>
        <w:tabs>
          <w:tab w:val="left" w:pos="284"/>
          <w:tab w:val="left" w:pos="426"/>
          <w:tab w:val="left" w:pos="851"/>
        </w:tabs>
        <w:ind w:left="420" w:hanging="278"/>
        <w:jc w:val="both"/>
        <w:rPr>
          <w:rFonts w:ascii="Verdana" w:hAnsi="Verdana" w:cs="Calibri"/>
          <w:b/>
          <w:color w:val="000000"/>
          <w:sz w:val="21"/>
          <w:szCs w:val="21"/>
          <w:u w:val="single"/>
        </w:rPr>
      </w:pPr>
      <w:r>
        <w:rPr>
          <w:rFonts w:ascii="Verdana" w:hAnsi="Verdana" w:cs="Calibri"/>
          <w:bCs/>
          <w:color w:val="000000"/>
          <w:sz w:val="21"/>
          <w:szCs w:val="21"/>
        </w:rPr>
        <w:lastRenderedPageBreak/>
        <w:tab/>
      </w:r>
      <w:r>
        <w:rPr>
          <w:rFonts w:ascii="Verdana" w:hAnsi="Verdana" w:cs="Calibri"/>
          <w:bCs/>
          <w:color w:val="000000"/>
          <w:sz w:val="21"/>
          <w:szCs w:val="21"/>
        </w:rPr>
        <w:tab/>
        <w:t>La Administración ha evaluado el impacto potencial del COVID-19 en la Compañía y, basada en la evaluación actual se ha determinado que dicho impacto sobre las operaciones de la empresa y los importes contables de activos y pasivos no es significativo</w:t>
      </w:r>
    </w:p>
    <w:p w:rsidR="00B72D3E" w:rsidRDefault="00B72D3E" w:rsidP="00B72D3E">
      <w:pPr>
        <w:pStyle w:val="Prrafodelista"/>
        <w:ind w:left="454"/>
        <w:jc w:val="both"/>
        <w:rPr>
          <w:rFonts w:ascii="Verdana" w:hAnsi="Verdana" w:cs="Calibri"/>
          <w:b/>
          <w:color w:val="000000"/>
          <w:sz w:val="21"/>
          <w:szCs w:val="21"/>
          <w:u w:val="single"/>
        </w:rPr>
      </w:pPr>
    </w:p>
    <w:p w:rsidR="00B72D3E" w:rsidRDefault="00B72D3E" w:rsidP="00B72D3E">
      <w:pPr>
        <w:pStyle w:val="Prrafodelista"/>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d)</w:t>
      </w:r>
      <w:r>
        <w:rPr>
          <w:rFonts w:ascii="Verdana" w:hAnsi="Verdana" w:cs="Calibri"/>
          <w:b/>
          <w:i/>
          <w:iCs/>
          <w:color w:val="000000"/>
          <w:sz w:val="21"/>
          <w:szCs w:val="21"/>
        </w:rPr>
        <w:t xml:space="preserve"> Situación Económica del País - </w:t>
      </w:r>
      <w:r>
        <w:rPr>
          <w:rFonts w:ascii="Verdana" w:hAnsi="Verdana" w:cs="Calibri"/>
          <w:bCs/>
          <w:color w:val="000000"/>
          <w:sz w:val="21"/>
          <w:szCs w:val="21"/>
        </w:rPr>
        <w:t>La caída económica del país estimada por el Fondo Monetario Internacional (FMI) se ubicaría en un 11%</w:t>
      </w:r>
      <w:r w:rsidR="003A439E">
        <w:rPr>
          <w:rFonts w:ascii="Verdana" w:hAnsi="Verdana" w:cs="Calibri"/>
          <w:bCs/>
          <w:color w:val="000000"/>
          <w:sz w:val="21"/>
          <w:szCs w:val="21"/>
        </w:rPr>
        <w:t xml:space="preserve"> al cierre del 2021</w:t>
      </w:r>
      <w:r>
        <w:rPr>
          <w:rFonts w:ascii="Verdana" w:hAnsi="Verdana" w:cs="Calibri"/>
          <w:bCs/>
          <w:color w:val="000000"/>
          <w:sz w:val="21"/>
          <w:szCs w:val="21"/>
        </w:rPr>
        <w:t>, causada por las complicaciones presentadas en el comercio mundial durante los primeros meses de la pandemia; la proyección de recuperación del producto inte</w:t>
      </w:r>
      <w:r w:rsidR="003A439E">
        <w:rPr>
          <w:rFonts w:ascii="Verdana" w:hAnsi="Verdana" w:cs="Calibri"/>
          <w:bCs/>
          <w:color w:val="000000"/>
          <w:sz w:val="21"/>
          <w:szCs w:val="21"/>
        </w:rPr>
        <w:t>rno bruto (PIB) para el año 2022</w:t>
      </w:r>
      <w:r>
        <w:rPr>
          <w:rFonts w:ascii="Verdana" w:hAnsi="Verdana" w:cs="Calibri"/>
          <w:bCs/>
          <w:color w:val="000000"/>
          <w:sz w:val="21"/>
          <w:szCs w:val="21"/>
        </w:rPr>
        <w:t xml:space="preserve"> se estima en un incremento del 4.8%. </w:t>
      </w:r>
    </w:p>
    <w:p w:rsidR="00B72D3E" w:rsidRDefault="00B72D3E" w:rsidP="00B72D3E">
      <w:pPr>
        <w:pStyle w:val="Prrafodelista"/>
        <w:ind w:left="454"/>
        <w:jc w:val="both"/>
        <w:rPr>
          <w:rFonts w:ascii="Verdana" w:hAnsi="Verdana" w:cs="Calibri"/>
          <w:b/>
          <w:color w:val="000000"/>
          <w:sz w:val="21"/>
          <w:szCs w:val="21"/>
          <w:u w:val="single"/>
        </w:rPr>
      </w:pPr>
    </w:p>
    <w:p w:rsidR="00B72D3E" w:rsidRDefault="00B72D3E"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Las autoridades nacionales continúan enfrentando esta situación y han implementado varias medidas económicas como reducción de la jornada del sector público, reducción del tamaño del Estado, renegociación de la deuda pública, y obtención de nuevos recursos mediante préstamos a organismos multilaterales estableciendo un nuevo programa de mediano plazo con el FMI y entidades como el Banco Mundial y el Banco Interamericano de Desarrollo para mitigar los efectos de la crisis, restaurar la estabilidad macroeconómica y garantizar la sostenibilidad de las finanzas públicas.</w:t>
      </w:r>
    </w:p>
    <w:p w:rsidR="003A439E" w:rsidRDefault="003A439E" w:rsidP="00B72D3E">
      <w:pPr>
        <w:pStyle w:val="Prrafodelista"/>
        <w:ind w:left="454"/>
        <w:jc w:val="both"/>
        <w:rPr>
          <w:rFonts w:ascii="Verdana" w:hAnsi="Verdana" w:cs="Calibri"/>
          <w:bCs/>
          <w:color w:val="000000"/>
          <w:sz w:val="21"/>
          <w:szCs w:val="21"/>
        </w:rPr>
      </w:pPr>
    </w:p>
    <w:p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rsidR="00027B06" w:rsidRDefault="00027B06" w:rsidP="00027B06">
      <w:pPr>
        <w:tabs>
          <w:tab w:val="left" w:pos="567"/>
        </w:tabs>
        <w:jc w:val="both"/>
        <w:rPr>
          <w:rFonts w:ascii="Verdana" w:hAnsi="Verdana" w:cs="Calibri"/>
          <w:color w:val="000000"/>
          <w:sz w:val="21"/>
          <w:szCs w:val="21"/>
        </w:rPr>
      </w:pPr>
    </w:p>
    <w:p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w:t>
      </w:r>
      <w:proofErr w:type="spellStart"/>
      <w:r>
        <w:rPr>
          <w:rFonts w:ascii="Verdana" w:hAnsi="Verdana" w:cs="Calibri"/>
          <w:color w:val="000000"/>
          <w:sz w:val="21"/>
          <w:szCs w:val="21"/>
        </w:rPr>
        <w:t>Accounting</w:t>
      </w:r>
      <w:proofErr w:type="spellEnd"/>
      <w:r>
        <w:rPr>
          <w:rFonts w:ascii="Verdana" w:hAnsi="Verdana" w:cs="Calibri"/>
          <w:color w:val="000000"/>
          <w:sz w:val="21"/>
          <w:szCs w:val="21"/>
        </w:rPr>
        <w:t xml:space="preserve"> Standard </w:t>
      </w:r>
      <w:proofErr w:type="spellStart"/>
      <w:r>
        <w:rPr>
          <w:rFonts w:ascii="Verdana" w:hAnsi="Verdana" w:cs="Calibri"/>
          <w:color w:val="000000"/>
          <w:sz w:val="21"/>
          <w:szCs w:val="21"/>
        </w:rPr>
        <w:t>Board</w:t>
      </w:r>
      <w:proofErr w:type="spellEnd"/>
      <w:r>
        <w:rPr>
          <w:rFonts w:ascii="Verdana" w:hAnsi="Verdana" w:cs="Calibri"/>
          <w:color w:val="000000"/>
          <w:sz w:val="21"/>
          <w:szCs w:val="21"/>
        </w:rPr>
        <w:t xml:space="preserve"> (IASB por sus siglas en inglés) y vigentes en el año 2021; en este sentido, han sido preparados bajo la presunción de que la Compañía opera sobre una base de negocio en marcha. </w:t>
      </w:r>
    </w:p>
    <w:p w:rsidR="00027B06" w:rsidRDefault="00027B06" w:rsidP="00027B06">
      <w:pPr>
        <w:pStyle w:val="Prrafodelista"/>
        <w:tabs>
          <w:tab w:val="left" w:pos="567"/>
        </w:tabs>
        <w:ind w:left="680"/>
        <w:jc w:val="both"/>
        <w:rPr>
          <w:rFonts w:ascii="Verdana" w:hAnsi="Verdana" w:cs="Calibri"/>
          <w:b/>
          <w:color w:val="000000"/>
          <w:sz w:val="21"/>
          <w:szCs w:val="21"/>
        </w:rPr>
      </w:pPr>
    </w:p>
    <w:p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rsidR="00027B06" w:rsidRDefault="00027B06" w:rsidP="00027B06">
      <w:pPr>
        <w:tabs>
          <w:tab w:val="left" w:pos="567"/>
        </w:tabs>
        <w:jc w:val="both"/>
        <w:rPr>
          <w:rFonts w:ascii="Verdana" w:hAnsi="Verdana" w:cs="Calibri"/>
          <w:b/>
          <w:color w:val="000000"/>
          <w:sz w:val="21"/>
          <w:szCs w:val="21"/>
          <w:u w:val="single"/>
          <w:lang w:val="es-ES_tradnl"/>
        </w:rPr>
      </w:pPr>
    </w:p>
    <w:p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Las obligaciones de beneficios a largo plazo con trabajadores (jubilación patronal y desahucio) que son valorizadas con base a métodos actuariales, a partir de los registros contables mantenidos por la Compañía; y, b) Vehículos, los cuales son valorizados utilizando en método de revaluó, a partir del año 2021.</w:t>
      </w:r>
    </w:p>
    <w:p w:rsidR="00027B06" w:rsidRDefault="00027B06" w:rsidP="00027B06">
      <w:pPr>
        <w:pStyle w:val="Prrafodelista"/>
        <w:tabs>
          <w:tab w:val="left" w:pos="567"/>
        </w:tabs>
        <w:ind w:left="567"/>
        <w:jc w:val="both"/>
        <w:rPr>
          <w:rFonts w:ascii="Verdana" w:hAnsi="Verdana" w:cs="Calibri"/>
          <w:color w:val="000000"/>
          <w:sz w:val="21"/>
          <w:szCs w:val="21"/>
        </w:rPr>
      </w:pPr>
    </w:p>
    <w:p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rsidR="00027B06" w:rsidRDefault="00027B06" w:rsidP="00027B06">
      <w:pPr>
        <w:ind w:left="567" w:right="-2"/>
        <w:jc w:val="both"/>
        <w:rPr>
          <w:rFonts w:ascii="Verdana" w:hAnsi="Verdana" w:cs="Calibri"/>
          <w:sz w:val="21"/>
          <w:szCs w:val="21"/>
          <w:lang w:val="es-ES_tradnl"/>
        </w:rPr>
      </w:pPr>
    </w:p>
    <w:p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8" w:name="_Hlk503889548"/>
    </w:p>
    <w:p w:rsidR="00027B06" w:rsidRDefault="00027B06" w:rsidP="00027B06">
      <w:pPr>
        <w:ind w:right="-2"/>
        <w:jc w:val="both"/>
        <w:rPr>
          <w:rFonts w:ascii="Verdana" w:hAnsi="Verdana" w:cs="Calibri"/>
          <w:b/>
          <w:sz w:val="21"/>
          <w:szCs w:val="21"/>
          <w:u w:val="single"/>
          <w:lang w:val="es-ES_tradnl"/>
        </w:rPr>
      </w:pPr>
    </w:p>
    <w:p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lastRenderedPageBreak/>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30 de marzo del 2022 y en su opinión serán aprobados por la Junta General de Accionistas sin modificaciones, en el plazo legalmente previsto. Los estados financieros correspondientes al año 2020 fueron aprobados por la Junta General de Accionistas el 12 de marzo del 2021. </w:t>
      </w:r>
    </w:p>
    <w:p w:rsidR="00027B06" w:rsidRDefault="00027B06" w:rsidP="00027B06">
      <w:pPr>
        <w:pStyle w:val="Prrafodelista"/>
        <w:ind w:left="680" w:right="-2"/>
        <w:jc w:val="both"/>
        <w:rPr>
          <w:rFonts w:ascii="Verdana" w:hAnsi="Verdana" w:cs="Calibri"/>
          <w:sz w:val="21"/>
          <w:szCs w:val="21"/>
          <w:lang w:val="es-ES_tradnl"/>
        </w:rPr>
      </w:pPr>
    </w:p>
    <w:bookmarkEnd w:id="8"/>
    <w:p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rsidR="00027B06" w:rsidRDefault="00027B06" w:rsidP="00027B06">
      <w:pPr>
        <w:pStyle w:val="Prrafodelista"/>
        <w:tabs>
          <w:tab w:val="left" w:pos="567"/>
        </w:tabs>
        <w:ind w:left="720"/>
        <w:jc w:val="both"/>
        <w:rPr>
          <w:rFonts w:ascii="Verdana" w:hAnsi="Verdana" w:cs="Calibri"/>
          <w:b/>
          <w:color w:val="000000"/>
          <w:sz w:val="21"/>
          <w:szCs w:val="21"/>
          <w:u w:val="single"/>
        </w:rPr>
      </w:pPr>
    </w:p>
    <w:p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rsidR="00E16FAA" w:rsidRPr="00E16FAA" w:rsidRDefault="00E16FAA" w:rsidP="00E16FAA">
      <w:pPr>
        <w:ind w:left="680" w:right="-2"/>
        <w:jc w:val="both"/>
        <w:rPr>
          <w:rFonts w:ascii="Verdana" w:hAnsi="Verdana" w:cs="Calibri"/>
          <w:sz w:val="21"/>
          <w:szCs w:val="21"/>
          <w:lang w:val="es-ES_tradnl"/>
        </w:rPr>
      </w:pPr>
    </w:p>
    <w:p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9"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rsidR="00E16FAA" w:rsidRPr="00E16FAA" w:rsidRDefault="00E16FAA" w:rsidP="00E16FAA">
      <w:pPr>
        <w:ind w:left="680" w:right="-2"/>
        <w:jc w:val="both"/>
        <w:rPr>
          <w:rFonts w:ascii="Verdana" w:hAnsi="Verdana" w:cs="Calibri"/>
          <w:b/>
          <w:i/>
          <w:color w:val="000000"/>
          <w:sz w:val="21"/>
          <w:szCs w:val="21"/>
          <w:lang w:val="es-ES_tradnl"/>
        </w:rPr>
      </w:pPr>
    </w:p>
    <w:p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9"/>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33 y 41 días, respectivamente.</w:t>
      </w:r>
    </w:p>
    <w:p w:rsidR="00E16FAA" w:rsidRPr="00E16FAA" w:rsidRDefault="00E16FAA" w:rsidP="00E16FAA">
      <w:pPr>
        <w:autoSpaceDE w:val="0"/>
        <w:autoSpaceDN w:val="0"/>
        <w:adjustRightInd w:val="0"/>
        <w:jc w:val="both"/>
        <w:rPr>
          <w:rFonts w:ascii="Verdana" w:hAnsi="Verdana" w:cs="Calibri"/>
          <w:bCs/>
          <w:sz w:val="21"/>
          <w:szCs w:val="21"/>
        </w:rPr>
      </w:pPr>
    </w:p>
    <w:p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Cuentas por Pagar a Corto Plazo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Cuentas por Pagar a Largo Plazo: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rsidR="00E16FAA" w:rsidRPr="00E16FAA" w:rsidRDefault="00E16FAA" w:rsidP="00E16FAA">
      <w:pPr>
        <w:ind w:left="567" w:right="-2" w:hanging="567"/>
        <w:jc w:val="both"/>
        <w:rPr>
          <w:rFonts w:ascii="Verdana" w:hAnsi="Verdana" w:cs="Tahoma"/>
          <w:b/>
          <w:bCs/>
          <w:i/>
          <w:iCs/>
          <w:color w:val="000000"/>
          <w:sz w:val="21"/>
          <w:szCs w:val="21"/>
          <w:lang w:val="es-EC"/>
        </w:rPr>
      </w:pPr>
    </w:p>
    <w:p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w:t>
      </w:r>
      <w:r w:rsidRPr="00E16FAA">
        <w:rPr>
          <w:rFonts w:ascii="Verdana" w:hAnsi="Verdana" w:cs="Tahoma"/>
          <w:color w:val="000000"/>
          <w:sz w:val="21"/>
          <w:szCs w:val="21"/>
          <w:lang w:val="es-EC"/>
        </w:rPr>
        <w:lastRenderedPageBreak/>
        <w:t>concluidos y facturados en el siguiente periodo económico. Son presentados en el Estado de Situación Financiera al costo o valor de realización, el menor.</w:t>
      </w:r>
    </w:p>
    <w:p w:rsidR="00E16FAA" w:rsidRPr="00E16FAA" w:rsidRDefault="00E16FAA" w:rsidP="00E16FAA">
      <w:pPr>
        <w:ind w:right="-2"/>
        <w:jc w:val="both"/>
        <w:rPr>
          <w:rFonts w:ascii="Verdana" w:hAnsi="Verdana" w:cs="Tahoma"/>
          <w:color w:val="000000"/>
          <w:sz w:val="21"/>
          <w:szCs w:val="21"/>
        </w:rPr>
      </w:pPr>
    </w:p>
    <w:p w:rsidR="00E16FAA" w:rsidRPr="00E16FAA" w:rsidRDefault="00E16FAA" w:rsidP="00E16FAA">
      <w:pPr>
        <w:ind w:left="680" w:right="-2" w:hanging="680"/>
        <w:jc w:val="both"/>
        <w:rPr>
          <w:rFonts w:ascii="Verdana" w:hAnsi="Verdana" w:cs="Calibri"/>
          <w:color w:val="000000"/>
          <w:sz w:val="21"/>
          <w:szCs w:val="21"/>
          <w:lang w:val="es-EC"/>
        </w:rPr>
      </w:pPr>
      <w:bookmarkStart w:id="10" w:name="_Hlk30584932"/>
      <w:bookmarkStart w:id="11"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10"/>
      <w:r w:rsidRPr="00E16FAA">
        <w:rPr>
          <w:rFonts w:ascii="Verdana" w:hAnsi="Verdana" w:cs="Calibri"/>
          <w:color w:val="000000"/>
          <w:sz w:val="21"/>
          <w:szCs w:val="21"/>
          <w:lang w:val="es-EC"/>
        </w:rPr>
        <w:t xml:space="preserve">inicialmente por su costo, el mismo que comprende su precio de adquisición </w:t>
      </w:r>
      <w:bookmarkEnd w:id="11"/>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rsidR="00E16FAA" w:rsidRPr="00E16FAA" w:rsidRDefault="00E16FAA" w:rsidP="00E16FAA">
      <w:pPr>
        <w:ind w:left="680" w:right="-2" w:hanging="680"/>
        <w:jc w:val="both"/>
        <w:rPr>
          <w:rFonts w:ascii="Verdana" w:hAnsi="Verdana" w:cs="Calibri"/>
          <w:color w:val="000000"/>
          <w:sz w:val="21"/>
          <w:szCs w:val="21"/>
          <w:lang w:val="es-EC"/>
        </w:rPr>
      </w:pPr>
    </w:p>
    <w:p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rsidR="00E16FAA" w:rsidRPr="00E16FAA" w:rsidRDefault="00E16FAA" w:rsidP="00E16FAA">
      <w:pPr>
        <w:ind w:left="567" w:right="-2" w:hanging="567"/>
        <w:jc w:val="both"/>
        <w:rPr>
          <w:rFonts w:ascii="Verdana" w:hAnsi="Verdana" w:cs="Calibri"/>
          <w:color w:val="000000"/>
          <w:sz w:val="21"/>
          <w:szCs w:val="21"/>
          <w:lang w:val="es-EC"/>
        </w:rPr>
      </w:pPr>
    </w:p>
    <w:p w:rsidR="00E16FAA" w:rsidRPr="00E16FAA" w:rsidRDefault="001B0C01"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Al 31 de diciembre del 2021</w:t>
      </w:r>
      <w:r w:rsidR="00E16FAA" w:rsidRPr="00E16FAA">
        <w:rPr>
          <w:rFonts w:ascii="Verdana" w:hAnsi="Verdana" w:cs="Calibri"/>
          <w:color w:val="000000"/>
          <w:sz w:val="21"/>
          <w:szCs w:val="21"/>
          <w:lang w:val="es-EC"/>
        </w:rPr>
        <w:t xml:space="preserve"> los vehículos son medidos a su valor razonable de mercado utilizando el modelo de revalorización (Ver nota 4);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rsidR="00E16FAA" w:rsidRPr="00E16FAA" w:rsidRDefault="00E16FAA" w:rsidP="00E16FAA">
      <w:pPr>
        <w:ind w:left="567" w:right="-2" w:hanging="567"/>
        <w:jc w:val="both"/>
        <w:rPr>
          <w:rFonts w:ascii="Verdana" w:hAnsi="Verdana" w:cs="Calibri"/>
          <w:color w:val="000000"/>
          <w:sz w:val="21"/>
          <w:szCs w:val="21"/>
          <w:lang w:val="es-EC"/>
        </w:rPr>
      </w:pPr>
    </w:p>
    <w:p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rsidR="00E16FAA" w:rsidRPr="00E16FAA" w:rsidRDefault="00E16FAA" w:rsidP="00E16FAA">
      <w:pPr>
        <w:ind w:left="680" w:right="-2"/>
        <w:jc w:val="both"/>
        <w:rPr>
          <w:rFonts w:ascii="Verdana" w:hAnsi="Verdana" w:cs="Calibri"/>
          <w:color w:val="000000"/>
          <w:sz w:val="21"/>
          <w:szCs w:val="21"/>
          <w:lang w:val="es-EC"/>
        </w:rPr>
      </w:pPr>
    </w:p>
    <w:p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2" w:name="_Hlk68088227"/>
    </w:p>
    <w:p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2"/>
    <w:p w:rsidR="00E16FAA" w:rsidRPr="00E16FAA" w:rsidRDefault="00E16FAA" w:rsidP="00E16FAA">
      <w:pPr>
        <w:ind w:left="567" w:right="-2" w:hanging="567"/>
        <w:jc w:val="both"/>
        <w:rPr>
          <w:rFonts w:ascii="Verdana" w:hAnsi="Verdana" w:cs="Arial"/>
          <w:b/>
          <w:color w:val="000000"/>
          <w:sz w:val="18"/>
          <w:szCs w:val="18"/>
          <w:u w:val="single"/>
          <w:lang w:val="es-EC"/>
        </w:rPr>
      </w:pPr>
    </w:p>
    <w:p w:rsidR="00E16FAA" w:rsidRPr="00E16FAA" w:rsidRDefault="00E16FAA" w:rsidP="00E16FAA">
      <w:pPr>
        <w:ind w:left="645" w:right="-2" w:hanging="645"/>
        <w:jc w:val="both"/>
        <w:rPr>
          <w:rFonts w:ascii="Verdana" w:hAnsi="Verdana" w:cs="Calibri"/>
          <w:color w:val="000000"/>
          <w:sz w:val="21"/>
          <w:szCs w:val="21"/>
          <w:lang w:val="es-EC"/>
        </w:rPr>
      </w:pPr>
      <w:bookmarkStart w:id="13"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Deterioro del valor de los Activos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activos para determinar si existen indicios de que </w:t>
      </w:r>
      <w:bookmarkEnd w:id="13"/>
      <w:r w:rsidRPr="00E16FAA">
        <w:rPr>
          <w:rFonts w:ascii="Verdana" w:hAnsi="Verdana" w:cs="Calibri"/>
          <w:color w:val="000000"/>
          <w:sz w:val="21"/>
          <w:szCs w:val="21"/>
          <w:lang w:val="es-EC"/>
        </w:rPr>
        <w:t xml:space="preserve">los activos 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w:t>
      </w:r>
      <w:r w:rsidRPr="00E16FAA">
        <w:rPr>
          <w:rFonts w:ascii="Verdana" w:hAnsi="Verdana" w:cs="Calibri"/>
          <w:color w:val="000000"/>
          <w:sz w:val="21"/>
          <w:szCs w:val="21"/>
          <w:lang w:val="es-EC"/>
        </w:rPr>
        <w:lastRenderedPageBreak/>
        <w:t>importe recuperable estimado, y se reconoce una pérdida por deterioro del valor en resultados</w:t>
      </w:r>
    </w:p>
    <w:p w:rsidR="00E16FAA" w:rsidRPr="00E16FAA" w:rsidRDefault="00E16FAA" w:rsidP="00E16FAA">
      <w:pPr>
        <w:ind w:left="645" w:right="-2" w:hanging="645"/>
        <w:jc w:val="both"/>
        <w:rPr>
          <w:rFonts w:ascii="Verdana" w:hAnsi="Verdana" w:cs="Calibri"/>
          <w:color w:val="000000"/>
          <w:sz w:val="21"/>
          <w:szCs w:val="21"/>
          <w:lang w:val="es-EC"/>
        </w:rPr>
      </w:pPr>
    </w:p>
    <w:p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rsidR="00E16FAA" w:rsidRPr="00E16FAA" w:rsidRDefault="00E16FAA" w:rsidP="00E16FAA">
      <w:pPr>
        <w:ind w:left="567" w:right="-2"/>
        <w:jc w:val="both"/>
        <w:rPr>
          <w:rFonts w:ascii="Verdana" w:hAnsi="Verdana" w:cs="Calibri"/>
          <w:color w:val="000000"/>
          <w:sz w:val="21"/>
          <w:szCs w:val="21"/>
          <w:lang w:val="es-EC"/>
        </w:rPr>
      </w:pPr>
    </w:p>
    <w:p w:rsidR="003A439E" w:rsidRDefault="003A439E" w:rsidP="00B72D3E">
      <w:pPr>
        <w:pStyle w:val="Prrafodelista"/>
        <w:ind w:left="454"/>
        <w:jc w:val="both"/>
        <w:rPr>
          <w:rFonts w:ascii="Verdana" w:hAnsi="Verdana" w:cs="Calibri"/>
          <w:bCs/>
          <w:color w:val="000000"/>
          <w:sz w:val="21"/>
          <w:szCs w:val="21"/>
        </w:rPr>
      </w:pPr>
    </w:p>
    <w:p w:rsidR="001B0C01" w:rsidRDefault="001B0C01" w:rsidP="001B0C01">
      <w:pPr>
        <w:ind w:left="567" w:right="-2" w:hanging="567"/>
        <w:jc w:val="both"/>
        <w:rPr>
          <w:rFonts w:ascii="Verdana" w:hAnsi="Verdana" w:cs="Calibri"/>
          <w:sz w:val="21"/>
          <w:szCs w:val="21"/>
          <w:lang w:val="es-EC"/>
        </w:rPr>
      </w:pPr>
      <w:bookmarkStart w:id="14" w:name="_Hlk30585773"/>
      <w:r>
        <w:rPr>
          <w:rFonts w:ascii="Verdana" w:hAnsi="Verdana" w:cs="Calibri"/>
          <w:b/>
          <w:bCs/>
          <w:color w:val="000000"/>
          <w:sz w:val="21"/>
          <w:szCs w:val="21"/>
        </w:rPr>
        <w:t xml:space="preserve">3.6.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4"/>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rsidR="001B0C01" w:rsidRDefault="001B0C01" w:rsidP="001B0C01">
      <w:pPr>
        <w:ind w:right="-2"/>
        <w:jc w:val="both"/>
        <w:rPr>
          <w:rFonts w:ascii="Verdana" w:hAnsi="Verdana" w:cs="Calibri"/>
          <w:b/>
          <w:color w:val="000000"/>
          <w:sz w:val="21"/>
          <w:szCs w:val="21"/>
          <w:u w:val="single"/>
          <w:lang w:val="es-EC"/>
        </w:rPr>
      </w:pPr>
    </w:p>
    <w:p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rsidR="001B0C01" w:rsidRDefault="001B0C01" w:rsidP="001B0C01">
      <w:pPr>
        <w:ind w:left="567" w:right="-2" w:hanging="567"/>
        <w:jc w:val="both"/>
        <w:rPr>
          <w:rFonts w:ascii="Verdana" w:hAnsi="Verdana" w:cs="Calibri"/>
          <w:b/>
          <w:i/>
          <w:color w:val="000000"/>
          <w:sz w:val="21"/>
          <w:szCs w:val="21"/>
        </w:rPr>
      </w:pPr>
    </w:p>
    <w:p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rsidR="001B0C01" w:rsidRDefault="001B0C01" w:rsidP="001B0C01">
      <w:pPr>
        <w:ind w:left="567" w:right="-2"/>
        <w:jc w:val="both"/>
        <w:rPr>
          <w:rFonts w:ascii="Verdana" w:hAnsi="Verdana" w:cs="Calibri"/>
          <w:color w:val="000000"/>
          <w:sz w:val="21"/>
          <w:szCs w:val="21"/>
          <w:lang w:val="es-EC"/>
        </w:rPr>
      </w:pPr>
    </w:p>
    <w:p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rsidR="001B0C01" w:rsidRDefault="001B0C01" w:rsidP="001B0C01">
      <w:pPr>
        <w:ind w:left="567" w:right="-2"/>
        <w:jc w:val="both"/>
        <w:rPr>
          <w:rFonts w:ascii="Verdana" w:hAnsi="Verdana" w:cs="Calibri"/>
          <w:color w:val="000000"/>
          <w:sz w:val="21"/>
          <w:szCs w:val="21"/>
        </w:rPr>
      </w:pPr>
    </w:p>
    <w:p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rsidR="001B0C01" w:rsidRDefault="001B0C01" w:rsidP="001B0C01">
      <w:pPr>
        <w:ind w:left="567" w:right="-2"/>
        <w:jc w:val="both"/>
        <w:rPr>
          <w:rFonts w:ascii="Verdana" w:hAnsi="Verdana" w:cs="Calibri"/>
          <w:color w:val="000000"/>
          <w:sz w:val="21"/>
          <w:szCs w:val="21"/>
        </w:rPr>
      </w:pPr>
    </w:p>
    <w:p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rsidR="001B0C01" w:rsidRDefault="001B0C01" w:rsidP="001B0C01">
      <w:pPr>
        <w:ind w:left="567" w:right="-2"/>
        <w:jc w:val="both"/>
        <w:rPr>
          <w:rFonts w:ascii="Verdana" w:hAnsi="Verdana" w:cs="Calibri"/>
          <w:b/>
          <w:sz w:val="21"/>
          <w:szCs w:val="21"/>
          <w:u w:val="single"/>
          <w:lang w:val="es-EC"/>
        </w:rPr>
      </w:pPr>
    </w:p>
    <w:p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rsidR="001B0C01" w:rsidRDefault="001B0C01" w:rsidP="001B0C01">
      <w:pPr>
        <w:autoSpaceDE w:val="0"/>
        <w:autoSpaceDN w:val="0"/>
        <w:adjustRightInd w:val="0"/>
        <w:rPr>
          <w:rFonts w:ascii="Verdana" w:hAnsi="Verdana" w:cs="Arial"/>
          <w:sz w:val="21"/>
          <w:szCs w:val="21"/>
          <w:lang w:val="es-EC" w:eastAsia="es-EC"/>
        </w:rPr>
      </w:pPr>
    </w:p>
    <w:p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rsidR="000A6E2B" w:rsidRDefault="000A6E2B" w:rsidP="001B0C01">
      <w:pPr>
        <w:autoSpaceDE w:val="0"/>
        <w:autoSpaceDN w:val="0"/>
        <w:adjustRightInd w:val="0"/>
        <w:ind w:left="567"/>
        <w:jc w:val="both"/>
        <w:rPr>
          <w:rFonts w:ascii="Verdana" w:hAnsi="Verdana" w:cs="Arial"/>
          <w:sz w:val="21"/>
          <w:szCs w:val="21"/>
          <w:lang w:val="es-EC" w:eastAsia="es-EC"/>
        </w:rPr>
      </w:pPr>
    </w:p>
    <w:p w:rsidR="000A6E2B" w:rsidRDefault="000A6E2B" w:rsidP="000A6E2B">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Reconocimiento de Ingresos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rsidR="000A6E2B" w:rsidRDefault="000A6E2B" w:rsidP="000A6E2B">
      <w:pPr>
        <w:ind w:left="709" w:right="-2" w:hanging="709"/>
        <w:jc w:val="both"/>
        <w:rPr>
          <w:rFonts w:ascii="Verdana" w:hAnsi="Verdana" w:cs="Calibri"/>
          <w:sz w:val="21"/>
          <w:szCs w:val="21"/>
        </w:rPr>
      </w:pPr>
    </w:p>
    <w:p w:rsidR="000A6E2B" w:rsidRDefault="000A6E2B" w:rsidP="000A6E2B">
      <w:pPr>
        <w:ind w:left="709" w:right="-2"/>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p>
    <w:p w:rsidR="000A6E2B" w:rsidRDefault="000A6E2B" w:rsidP="000A6E2B">
      <w:pPr>
        <w:ind w:left="567" w:right="-2"/>
        <w:jc w:val="both"/>
        <w:rPr>
          <w:rFonts w:ascii="Verdana" w:hAnsi="Verdana" w:cs="Calibri"/>
          <w:sz w:val="21"/>
          <w:szCs w:val="21"/>
        </w:rPr>
      </w:pPr>
      <w:r>
        <w:rPr>
          <w:rFonts w:ascii="Verdana" w:hAnsi="Verdana" w:cs="Calibri"/>
          <w:sz w:val="21"/>
          <w:szCs w:val="21"/>
        </w:rPr>
        <w:tab/>
      </w:r>
    </w:p>
    <w:p w:rsidR="000A6E2B" w:rsidRDefault="000A6E2B" w:rsidP="000A6E2B">
      <w:pPr>
        <w:ind w:left="709"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rsidR="000A6E2B" w:rsidRDefault="000A6E2B" w:rsidP="000A6E2B">
      <w:pPr>
        <w:ind w:left="567" w:right="-2"/>
        <w:jc w:val="both"/>
        <w:rPr>
          <w:rFonts w:ascii="Verdana" w:hAnsi="Verdana" w:cs="Calibri"/>
          <w:sz w:val="21"/>
          <w:szCs w:val="21"/>
        </w:rPr>
      </w:pPr>
      <w:r>
        <w:rPr>
          <w:rFonts w:ascii="Verdana" w:hAnsi="Verdana" w:cs="Calibri"/>
          <w:sz w:val="21"/>
          <w:szCs w:val="21"/>
        </w:rPr>
        <w:tab/>
      </w:r>
    </w:p>
    <w:p w:rsidR="000A6E2B" w:rsidRDefault="000A6E2B" w:rsidP="000A6E2B">
      <w:pPr>
        <w:ind w:left="709" w:right="-2" w:hanging="709"/>
        <w:jc w:val="both"/>
        <w:rPr>
          <w:rFonts w:ascii="Verdana" w:hAnsi="Verdana" w:cs="Calibri"/>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Pr>
          <w:rFonts w:ascii="Verdana" w:hAnsi="Verdana" w:cs="Calibri"/>
          <w:color w:val="000000"/>
          <w:sz w:val="21"/>
          <w:szCs w:val="21"/>
          <w:lang w:val="es-EC"/>
        </w:rPr>
        <w:tab/>
      </w:r>
      <w:r>
        <w:rPr>
          <w:rFonts w:ascii="Verdana" w:hAnsi="Verdana" w:cs="Calibri"/>
          <w:b/>
          <w:i/>
          <w:iCs/>
          <w:sz w:val="21"/>
          <w:szCs w:val="21"/>
          <w:lang w:val="es-EC"/>
        </w:rPr>
        <w:t>Reconocimiento de Costos y Gastos</w:t>
      </w:r>
      <w:r>
        <w:rPr>
          <w:rFonts w:ascii="Verdana" w:hAnsi="Verdana" w:cs="Calibri"/>
          <w:bCs/>
          <w:sz w:val="21"/>
          <w:szCs w:val="21"/>
          <w:lang w:val="es-EC"/>
        </w:rPr>
        <w:t xml:space="preserve"> -</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 atribuibles a los servicios prestados, en la fecha en la cual tales servicios son completados y facturados. Aquellos costos incurridos en proyectos que al cierre del ejercicio se encuentran en proceso, se presentan como inventarios dentro de los activos corrientes.</w:t>
      </w:r>
    </w:p>
    <w:p w:rsidR="000A6E2B" w:rsidRDefault="000A6E2B" w:rsidP="000A6E2B">
      <w:pPr>
        <w:ind w:left="709" w:right="-2" w:hanging="709"/>
        <w:jc w:val="both"/>
        <w:rPr>
          <w:rFonts w:ascii="Verdana" w:hAnsi="Verdana" w:cs="Calibri"/>
          <w:sz w:val="21"/>
          <w:szCs w:val="21"/>
          <w:lang w:val="es-EC"/>
        </w:rPr>
      </w:pPr>
    </w:p>
    <w:p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3.13), y se registran en el período más cercano a la fecha en que se conocen.</w:t>
      </w:r>
    </w:p>
    <w:p w:rsidR="000A6E2B" w:rsidRDefault="000A6E2B" w:rsidP="000A6E2B">
      <w:pPr>
        <w:ind w:left="567" w:right="-2" w:hanging="567"/>
        <w:jc w:val="both"/>
        <w:rPr>
          <w:rFonts w:ascii="Verdana" w:hAnsi="Verdana" w:cs="Calibri"/>
          <w:b/>
          <w:sz w:val="21"/>
          <w:szCs w:val="21"/>
          <w:u w:val="single"/>
          <w:lang w:val="es-EC"/>
        </w:rPr>
      </w:pPr>
    </w:p>
    <w:p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Pagos por Arrendamientos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rsidR="000A6E2B" w:rsidRDefault="000A6E2B" w:rsidP="000A6E2B">
      <w:pPr>
        <w:ind w:left="709" w:right="-2" w:hanging="709"/>
        <w:jc w:val="both"/>
        <w:rPr>
          <w:rFonts w:ascii="Verdana" w:hAnsi="Verdana" w:cs="Calibri"/>
          <w:color w:val="000000"/>
          <w:sz w:val="21"/>
          <w:szCs w:val="21"/>
          <w:lang w:val="es-EC"/>
        </w:rPr>
      </w:pPr>
    </w:p>
    <w:p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bCs/>
          <w:color w:val="000000"/>
          <w:sz w:val="21"/>
          <w:szCs w:val="21"/>
          <w:lang w:val="es-EC"/>
        </w:rPr>
        <w:t>3.11.</w:t>
      </w:r>
      <w:r>
        <w:rPr>
          <w:rFonts w:ascii="Verdana" w:hAnsi="Verdana" w:cs="Calibri"/>
          <w:b/>
          <w:bCs/>
          <w:color w:val="000000"/>
          <w:sz w:val="21"/>
          <w:szCs w:val="21"/>
          <w:lang w:val="es-EC"/>
        </w:rPr>
        <w:tab/>
      </w:r>
      <w:r>
        <w:rPr>
          <w:rFonts w:ascii="Verdana" w:hAnsi="Verdana" w:cs="Calibri"/>
          <w:b/>
          <w:bCs/>
          <w:i/>
          <w:iCs/>
          <w:color w:val="000000"/>
          <w:sz w:val="21"/>
          <w:szCs w:val="21"/>
          <w:lang w:val="es-EC"/>
        </w:rPr>
        <w:t>Participación de Trabajadores</w:t>
      </w:r>
      <w:r>
        <w:rPr>
          <w:rFonts w:ascii="Verdana" w:hAnsi="Verdana" w:cs="Calibri"/>
          <w:color w:val="000000"/>
          <w:sz w:val="21"/>
          <w:szCs w:val="21"/>
          <w:lang w:val="es-EC"/>
        </w:rPr>
        <w:t xml:space="preserve"> - El gasto de participación de trabajadores es registrado en el período en que se obtiene la utilidad que lo genera; y calculado aplicando la tasa del 15% a la base imponible determinada en la Nota 19.</w:t>
      </w:r>
    </w:p>
    <w:p w:rsidR="000A6E2B" w:rsidRDefault="000A6E2B" w:rsidP="000A6E2B">
      <w:pPr>
        <w:ind w:left="709" w:right="-2" w:hanging="709"/>
        <w:jc w:val="both"/>
        <w:rPr>
          <w:rFonts w:ascii="Verdana" w:hAnsi="Verdana" w:cs="Calibri"/>
          <w:b/>
          <w:color w:val="000000"/>
          <w:sz w:val="21"/>
          <w:szCs w:val="21"/>
          <w:u w:val="single"/>
          <w:lang w:val="es-EC"/>
        </w:rPr>
      </w:pPr>
    </w:p>
    <w:p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Provisiones y Contingencias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rsidR="000A6E2B" w:rsidRDefault="000A6E2B" w:rsidP="000A6E2B">
      <w:pPr>
        <w:ind w:left="708"/>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w:t>
      </w:r>
      <w:r>
        <w:rPr>
          <w:rFonts w:ascii="Verdana" w:hAnsi="Verdana" w:cs="Calibri"/>
          <w:color w:val="000000"/>
          <w:sz w:val="21"/>
          <w:szCs w:val="21"/>
          <w:lang w:val="es-EC"/>
        </w:rPr>
        <w:lastRenderedPageBreak/>
        <w:t xml:space="preserve">notas a los Estados Financieros los detalles cualitativos de la situación que originaría el pasivo contingente. </w:t>
      </w:r>
    </w:p>
    <w:p w:rsidR="000A6E2B" w:rsidRDefault="000A6E2B" w:rsidP="000A6E2B">
      <w:pPr>
        <w:autoSpaceDE w:val="0"/>
        <w:autoSpaceDN w:val="0"/>
        <w:adjustRightInd w:val="0"/>
        <w:jc w:val="both"/>
        <w:rPr>
          <w:rFonts w:ascii="Verdana" w:hAnsi="Verdana" w:cs="Calibri"/>
          <w:color w:val="000000"/>
          <w:sz w:val="21"/>
          <w:szCs w:val="21"/>
          <w:lang w:val="es-EC"/>
        </w:rPr>
      </w:pPr>
    </w:p>
    <w:p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5"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Beneficios a Empleados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5"/>
    </w:p>
    <w:p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rsidR="000A6E2B" w:rsidRDefault="000A6E2B" w:rsidP="000A6E2B">
      <w:pPr>
        <w:autoSpaceDE w:val="0"/>
        <w:autoSpaceDN w:val="0"/>
        <w:adjustRightInd w:val="0"/>
        <w:jc w:val="both"/>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rsidR="000A6E2B" w:rsidRDefault="000A6E2B" w:rsidP="000A6E2B">
      <w:pPr>
        <w:autoSpaceDE w:val="0"/>
        <w:autoSpaceDN w:val="0"/>
        <w:adjustRightInd w:val="0"/>
        <w:jc w:val="both"/>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rsidR="000A6E2B" w:rsidRDefault="000A6E2B" w:rsidP="000A6E2B">
      <w:pPr>
        <w:autoSpaceDE w:val="0"/>
        <w:autoSpaceDN w:val="0"/>
        <w:adjustRightInd w:val="0"/>
        <w:ind w:left="567"/>
        <w:jc w:val="both"/>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rsidR="000A6E2B" w:rsidRDefault="000A6E2B" w:rsidP="000A6E2B">
      <w:pPr>
        <w:autoSpaceDE w:val="0"/>
        <w:autoSpaceDN w:val="0"/>
        <w:adjustRightInd w:val="0"/>
        <w:ind w:left="567"/>
        <w:jc w:val="both"/>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rsidR="000A6E2B" w:rsidRDefault="000A6E2B" w:rsidP="000A6E2B">
      <w:pPr>
        <w:autoSpaceDE w:val="0"/>
        <w:autoSpaceDN w:val="0"/>
        <w:adjustRightInd w:val="0"/>
        <w:jc w:val="both"/>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de conformidad con lo establecido en el Código del Trabajo de la República del Ecuador. El gasto por la participación de los trabajadores en las utilidades se calcula partiendo de la utilidad contable y es reportado en el Estado de Resultados del periodo, como una partida previa al gasto del impuesto a la renta.</w:t>
      </w:r>
    </w:p>
    <w:p w:rsidR="000A6E2B" w:rsidRDefault="000A6E2B" w:rsidP="000A6E2B">
      <w:pPr>
        <w:autoSpaceDE w:val="0"/>
        <w:autoSpaceDN w:val="0"/>
        <w:adjustRightInd w:val="0"/>
        <w:ind w:left="567"/>
        <w:jc w:val="both"/>
        <w:rPr>
          <w:rFonts w:ascii="Verdana" w:hAnsi="Verdana" w:cs="Calibri"/>
          <w:color w:val="000000"/>
          <w:sz w:val="21"/>
          <w:szCs w:val="21"/>
          <w:lang w:val="es-EC"/>
        </w:rPr>
      </w:pPr>
    </w:p>
    <w:p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indemnizaciones por terminación o cese laboral son reconocidas como gasto cuando la Compañía se ha </w:t>
      </w:r>
      <w:r>
        <w:rPr>
          <w:rFonts w:ascii="Verdana" w:hAnsi="Verdana" w:cs="Calibri"/>
          <w:color w:val="000000"/>
          <w:sz w:val="21"/>
          <w:szCs w:val="21"/>
          <w:lang w:val="es-EC"/>
        </w:rPr>
        <w:lastRenderedPageBreak/>
        <w:t>comprometido, sin posibilidad realista de dar marcha atrás, a un plan formal detallado ya sea para dar término al contrato del empleado, o para proveer beneficios por cese como resultado de una oferta realizada para incentivar la renuncia voluntaria.</w:t>
      </w:r>
    </w:p>
    <w:p w:rsidR="000A6E2B" w:rsidRDefault="000A6E2B" w:rsidP="000A6E2B">
      <w:pPr>
        <w:autoSpaceDE w:val="0"/>
        <w:autoSpaceDN w:val="0"/>
        <w:adjustRightInd w:val="0"/>
        <w:jc w:val="both"/>
        <w:rPr>
          <w:rFonts w:ascii="Verdana" w:hAnsi="Verdana" w:cs="Calibri"/>
          <w:b/>
          <w:i/>
          <w:color w:val="000000"/>
          <w:sz w:val="21"/>
          <w:szCs w:val="21"/>
          <w:lang w:val="es-EC"/>
        </w:rPr>
      </w:pPr>
    </w:p>
    <w:p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Capital Social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6" w:name="_Hlk31021995"/>
      <w:bookmarkStart w:id="17"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Reserva Legal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6"/>
      <w:r>
        <w:rPr>
          <w:rFonts w:ascii="Verdana" w:hAnsi="Verdana" w:cs="Arial"/>
          <w:sz w:val="21"/>
          <w:szCs w:val="21"/>
          <w:lang w:val="es-EC" w:eastAsia="es-EC"/>
        </w:rPr>
        <w:t xml:space="preserve">que represente por lo menos el 50% del capital pagado. Esta reserva puede </w:t>
      </w:r>
      <w:bookmarkEnd w:id="17"/>
      <w:r>
        <w:rPr>
          <w:rFonts w:ascii="Verdana" w:hAnsi="Verdana" w:cs="Arial"/>
          <w:sz w:val="21"/>
          <w:szCs w:val="21"/>
          <w:lang w:val="es-EC" w:eastAsia="es-EC"/>
        </w:rPr>
        <w:t>ser utilizada únicamente para absorber pérdidas de operaciones o para aumentar el capital.</w:t>
      </w:r>
    </w:p>
    <w:p w:rsidR="000A6E2B" w:rsidRDefault="000A6E2B" w:rsidP="000A6E2B">
      <w:pPr>
        <w:autoSpaceDE w:val="0"/>
        <w:autoSpaceDN w:val="0"/>
        <w:adjustRightInd w:val="0"/>
        <w:ind w:left="709" w:hanging="709"/>
        <w:jc w:val="both"/>
        <w:rPr>
          <w:rFonts w:ascii="Verdana" w:hAnsi="Verdana" w:cs="Arial"/>
          <w:sz w:val="21"/>
          <w:szCs w:val="21"/>
          <w:lang w:val="es-EC" w:eastAsia="es-EC"/>
        </w:rPr>
      </w:pPr>
    </w:p>
    <w:p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8"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Reserva Facultativa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8"/>
      <w:r>
        <w:rPr>
          <w:rFonts w:ascii="Verdana" w:hAnsi="Verdana" w:cs="Arial"/>
          <w:sz w:val="21"/>
          <w:szCs w:val="21"/>
          <w:lang w:val="es-EC"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rsidR="000A6E2B" w:rsidRDefault="000A6E2B" w:rsidP="000A6E2B">
      <w:pPr>
        <w:autoSpaceDE w:val="0"/>
        <w:autoSpaceDN w:val="0"/>
        <w:adjustRightInd w:val="0"/>
        <w:ind w:left="709" w:hanging="709"/>
        <w:jc w:val="both"/>
        <w:rPr>
          <w:rFonts w:ascii="Verdana" w:hAnsi="Verdana" w:cs="Arial"/>
          <w:sz w:val="21"/>
          <w:szCs w:val="21"/>
          <w:lang w:val="es-EC" w:eastAsia="es-EC"/>
        </w:rPr>
      </w:pPr>
    </w:p>
    <w:p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 xml:space="preserve">3.17. </w:t>
      </w:r>
      <w:r>
        <w:rPr>
          <w:rFonts w:ascii="Verdana" w:hAnsi="Verdana" w:cs="Calibri"/>
          <w:b/>
          <w:bCs/>
          <w:i/>
          <w:iCs/>
          <w:color w:val="000000"/>
          <w:sz w:val="21"/>
          <w:szCs w:val="21"/>
          <w:lang w:val="es-EC"/>
        </w:rPr>
        <w:t>Superávit de Revalorización –</w:t>
      </w:r>
      <w:r>
        <w:rPr>
          <w:rFonts w:ascii="Verdana" w:hAnsi="Verdana" w:cs="Calibri"/>
          <w:b/>
          <w:bCs/>
          <w:color w:val="000000"/>
          <w:sz w:val="21"/>
          <w:szCs w:val="21"/>
          <w:lang w:val="es-EC"/>
        </w:rPr>
        <w:t xml:space="preserve"> </w:t>
      </w:r>
      <w:r>
        <w:rPr>
          <w:rFonts w:ascii="Verdana" w:hAnsi="Verdana" w:cs="Calibri"/>
          <w:color w:val="000000"/>
          <w:sz w:val="21"/>
          <w:szCs w:val="21"/>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Otros Resultados Integrales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rsidR="000A6E2B" w:rsidRDefault="000A6E2B" w:rsidP="000A6E2B">
      <w:pPr>
        <w:jc w:val="both"/>
        <w:rPr>
          <w:rFonts w:ascii="Verdana" w:hAnsi="Verdana" w:cs="Calibri"/>
          <w:color w:val="000000"/>
          <w:sz w:val="21"/>
          <w:szCs w:val="21"/>
          <w:lang w:val="es-EC"/>
        </w:rPr>
      </w:pPr>
    </w:p>
    <w:p w:rsidR="00E64997" w:rsidRDefault="00E64997" w:rsidP="00E64997">
      <w:pPr>
        <w:numPr>
          <w:ilvl w:val="0"/>
          <w:numId w:val="6"/>
        </w:numPr>
        <w:jc w:val="both"/>
        <w:rPr>
          <w:rFonts w:ascii="Verdana" w:hAnsi="Verdana" w:cs="Calibri"/>
          <w:b/>
          <w:bCs/>
          <w:color w:val="000000"/>
          <w:sz w:val="21"/>
          <w:szCs w:val="21"/>
          <w:lang w:val="es-EC"/>
        </w:rPr>
      </w:pPr>
      <w:r>
        <w:rPr>
          <w:rFonts w:ascii="Verdana" w:hAnsi="Verdana" w:cs="Calibri"/>
          <w:b/>
          <w:bCs/>
          <w:color w:val="000000"/>
          <w:sz w:val="21"/>
          <w:szCs w:val="21"/>
          <w:lang w:val="es-EC"/>
        </w:rPr>
        <w:t>CAMBIO EN POLITICAS CONTABLES</w:t>
      </w:r>
    </w:p>
    <w:p w:rsidR="00E64997" w:rsidRDefault="00E64997" w:rsidP="00E64997">
      <w:pPr>
        <w:ind w:left="360"/>
        <w:jc w:val="both"/>
        <w:rPr>
          <w:rFonts w:ascii="Verdana" w:hAnsi="Verdana" w:cs="Calibri"/>
          <w:color w:val="000000"/>
          <w:sz w:val="21"/>
          <w:szCs w:val="21"/>
          <w:lang w:val="es-EC"/>
        </w:rPr>
      </w:pPr>
    </w:p>
    <w:p w:rsidR="00E64997" w:rsidRDefault="00E64997" w:rsidP="00E64997">
      <w:pPr>
        <w:ind w:left="360"/>
        <w:jc w:val="both"/>
        <w:rPr>
          <w:rFonts w:ascii="Verdana" w:hAnsi="Verdana" w:cs="Calibri"/>
          <w:color w:val="000000"/>
          <w:sz w:val="21"/>
          <w:szCs w:val="21"/>
          <w:lang w:val="es-EC"/>
        </w:rPr>
      </w:pPr>
      <w:r>
        <w:rPr>
          <w:rFonts w:ascii="Verdana" w:hAnsi="Verdana" w:cs="Calibri"/>
          <w:color w:val="000000"/>
          <w:sz w:val="21"/>
          <w:szCs w:val="21"/>
          <w:lang w:val="es-EC"/>
        </w:rPr>
        <w:t>A par</w:t>
      </w:r>
      <w:r w:rsidR="00E36780">
        <w:rPr>
          <w:rFonts w:ascii="Verdana" w:hAnsi="Verdana" w:cs="Calibri"/>
          <w:color w:val="000000"/>
          <w:sz w:val="21"/>
          <w:szCs w:val="21"/>
          <w:lang w:val="es-EC"/>
        </w:rPr>
        <w:t>tir del 31 de diciembre del 2021</w:t>
      </w:r>
      <w:r>
        <w:rPr>
          <w:rFonts w:ascii="Verdana" w:hAnsi="Verdana" w:cs="Calibri"/>
          <w:color w:val="000000"/>
          <w:sz w:val="21"/>
          <w:szCs w:val="21"/>
          <w:lang w:val="es-EC"/>
        </w:rPr>
        <w:t xml:space="preserve"> la Compañía eligió cambiar su política contable para la medición del valor razonable de vehículos por el modelo de revaluación, estimando dicho importe revalorizado en base a información del mercado; como resultado de este cambio contable los activos y el patrimonio se incrementaron en US$38</w:t>
      </w:r>
      <w:r w:rsidR="00E36780">
        <w:rPr>
          <w:rFonts w:ascii="Verdana" w:hAnsi="Verdana" w:cs="Calibri"/>
          <w:color w:val="000000"/>
          <w:sz w:val="21"/>
          <w:szCs w:val="21"/>
          <w:lang w:val="es-EC"/>
        </w:rPr>
        <w:t xml:space="preserve"> mil al 31 de diciembre del 2021</w:t>
      </w:r>
      <w:r>
        <w:rPr>
          <w:rFonts w:ascii="Verdana" w:hAnsi="Verdana" w:cs="Calibri"/>
          <w:color w:val="000000"/>
          <w:sz w:val="21"/>
          <w:szCs w:val="21"/>
          <w:lang w:val="es-EC"/>
        </w:rPr>
        <w:t>. La Gerencia considera que este cambio contable resulta en una presentación más fiable y razonable de la posición financiera de la Compañía.</w:t>
      </w:r>
    </w:p>
    <w:p w:rsidR="00E64997" w:rsidRDefault="00E64997" w:rsidP="00E64997">
      <w:pPr>
        <w:ind w:left="360"/>
        <w:jc w:val="both"/>
        <w:rPr>
          <w:rFonts w:ascii="Verdana" w:hAnsi="Verdana" w:cs="Calibri"/>
          <w:color w:val="000000"/>
          <w:sz w:val="21"/>
          <w:szCs w:val="21"/>
          <w:lang w:val="es-EC"/>
        </w:rPr>
      </w:pPr>
      <w:r>
        <w:rPr>
          <w:rFonts w:ascii="Verdana" w:hAnsi="Verdana" w:cs="Calibri"/>
          <w:color w:val="000000"/>
          <w:sz w:val="21"/>
          <w:szCs w:val="21"/>
          <w:lang w:val="es-EC"/>
        </w:rPr>
        <w:t xml:space="preserve"> </w:t>
      </w:r>
    </w:p>
    <w:p w:rsidR="00E64997" w:rsidRDefault="00E64997" w:rsidP="00E64997">
      <w:pPr>
        <w:numPr>
          <w:ilvl w:val="0"/>
          <w:numId w:val="6"/>
        </w:numPr>
        <w:jc w:val="both"/>
        <w:rPr>
          <w:rFonts w:ascii="Verdana" w:hAnsi="Verdana" w:cs="Calibri"/>
          <w:color w:val="000000"/>
          <w:sz w:val="21"/>
          <w:szCs w:val="21"/>
          <w:lang w:val="es-EC"/>
        </w:rPr>
      </w:pPr>
      <w:r>
        <w:rPr>
          <w:rFonts w:ascii="Verdana" w:hAnsi="Verdana" w:cs="Calibri"/>
          <w:b/>
          <w:color w:val="000000"/>
          <w:sz w:val="21"/>
          <w:szCs w:val="21"/>
          <w:lang w:val="es-EC"/>
        </w:rPr>
        <w:t>INFORMACION RESPECTO DE LA INCERTIDUMBRE EN JUICIOS Y ESTIMACIONES</w:t>
      </w:r>
    </w:p>
    <w:p w:rsidR="00E64997" w:rsidRDefault="00E64997" w:rsidP="00E64997">
      <w:pPr>
        <w:ind w:left="360"/>
        <w:jc w:val="both"/>
        <w:rPr>
          <w:rFonts w:ascii="Verdana" w:hAnsi="Verdana" w:cs="Calibri"/>
          <w:color w:val="000000"/>
          <w:sz w:val="21"/>
          <w:szCs w:val="21"/>
          <w:lang w:val="es-EC"/>
        </w:rPr>
      </w:pPr>
    </w:p>
    <w:p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w:t>
      </w:r>
      <w:r>
        <w:rPr>
          <w:rFonts w:ascii="Verdana" w:hAnsi="Verdana" w:cs="Calibri"/>
          <w:sz w:val="21"/>
          <w:szCs w:val="21"/>
          <w:lang w:val="es-ES_tradnl"/>
        </w:rPr>
        <w:lastRenderedPageBreak/>
        <w:t>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rsidR="00E64997" w:rsidRDefault="00E64997" w:rsidP="00E64997">
      <w:pPr>
        <w:ind w:left="720"/>
        <w:jc w:val="both"/>
        <w:rPr>
          <w:rFonts w:ascii="Verdana" w:hAnsi="Verdana" w:cs="Calibri"/>
          <w:color w:val="000000"/>
          <w:sz w:val="21"/>
          <w:szCs w:val="21"/>
          <w:lang w:val="es-ES_tradnl"/>
        </w:rPr>
      </w:pPr>
    </w:p>
    <w:p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a) Incertidumbres: </w:t>
      </w:r>
      <w:r>
        <w:rPr>
          <w:rFonts w:ascii="Verdana" w:hAnsi="Verdana" w:cs="Calibri"/>
          <w:bCs/>
          <w:iCs/>
          <w:color w:val="000000"/>
          <w:sz w:val="21"/>
          <w:szCs w:val="21"/>
          <w:lang w:val="es-ES_tradnl"/>
        </w:rPr>
        <w:t>Las principales incertidumbres tienen relación con:</w:t>
      </w:r>
    </w:p>
    <w:p w:rsidR="00E64997" w:rsidRDefault="00E64997" w:rsidP="00E64997">
      <w:pPr>
        <w:ind w:left="360"/>
        <w:jc w:val="both"/>
        <w:rPr>
          <w:rFonts w:ascii="Verdana" w:hAnsi="Verdana" w:cs="Calibri"/>
          <w:b/>
          <w:i/>
          <w:color w:val="000000"/>
          <w:sz w:val="21"/>
          <w:szCs w:val="21"/>
          <w:lang w:val="es-ES_tradnl"/>
        </w:rPr>
      </w:pPr>
    </w:p>
    <w:p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rsidR="00637C98" w:rsidRDefault="00637C98" w:rsidP="00E64997">
      <w:pPr>
        <w:ind w:left="360"/>
        <w:jc w:val="both"/>
        <w:rPr>
          <w:rFonts w:ascii="Verdana" w:hAnsi="Verdana" w:cs="Calibri"/>
          <w:i/>
          <w:iCs/>
          <w:color w:val="000000"/>
          <w:sz w:val="21"/>
          <w:szCs w:val="21"/>
          <w:lang w:val="es-ES_tradnl"/>
        </w:rPr>
      </w:pPr>
    </w:p>
    <w:p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rsidR="00E64997" w:rsidRDefault="00E64997" w:rsidP="00E64997">
      <w:pPr>
        <w:ind w:left="360"/>
        <w:jc w:val="both"/>
        <w:rPr>
          <w:rFonts w:ascii="Verdana" w:hAnsi="Verdana" w:cs="Calibri"/>
          <w:color w:val="000000"/>
          <w:sz w:val="21"/>
          <w:szCs w:val="21"/>
          <w:lang w:val="es-ES_tradnl"/>
        </w:rPr>
      </w:pPr>
    </w:p>
    <w:p w:rsidR="00E64997" w:rsidRDefault="00E64997" w:rsidP="00E64997">
      <w:pPr>
        <w:ind w:firstLine="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p>
    <w:p w:rsidR="00E64997" w:rsidRDefault="00E64997" w:rsidP="00E64997">
      <w:pPr>
        <w:ind w:left="360" w:firstLine="348"/>
        <w:jc w:val="both"/>
        <w:rPr>
          <w:rFonts w:ascii="Verdana" w:hAnsi="Verdana" w:cs="Calibri"/>
          <w:color w:val="000000"/>
          <w:sz w:val="21"/>
          <w:szCs w:val="21"/>
          <w:lang w:val="es-ES_tradnl"/>
        </w:rPr>
      </w:pPr>
    </w:p>
    <w:p w:rsidR="00E64997" w:rsidRDefault="00637C98"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de descuento: 8.31% en 2021 y 8.21% en 2020</w:t>
      </w:r>
    </w:p>
    <w:p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3% en 2021 y 2020</w:t>
      </w:r>
    </w:p>
    <w:p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ción de personal: 13.10% en 2021 y 9.32% en 2020</w:t>
      </w:r>
    </w:p>
    <w:p w:rsidR="00E64997" w:rsidRDefault="00E64997" w:rsidP="00E64997">
      <w:pPr>
        <w:ind w:left="1068"/>
        <w:jc w:val="both"/>
        <w:rPr>
          <w:rFonts w:ascii="Verdana" w:hAnsi="Verdana" w:cs="Calibri"/>
          <w:color w:val="000000"/>
          <w:sz w:val="21"/>
          <w:szCs w:val="21"/>
          <w:lang w:val="es-ES_tradnl"/>
        </w:rPr>
      </w:pPr>
    </w:p>
    <w:p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b) Juicios en la Aplicación de las Políticas Contables: </w:t>
      </w:r>
      <w:r>
        <w:rPr>
          <w:rFonts w:ascii="Verdana" w:hAnsi="Verdana" w:cs="Calibri"/>
          <w:bCs/>
          <w:iCs/>
          <w:color w:val="000000"/>
          <w:sz w:val="21"/>
          <w:szCs w:val="21"/>
          <w:lang w:val="es-ES_tradnl"/>
        </w:rPr>
        <w:t>Las principales estimaciones y aplicación de juicio profesional tienen relación con:</w:t>
      </w:r>
    </w:p>
    <w:p w:rsidR="00E64997" w:rsidRDefault="00E64997" w:rsidP="00E64997">
      <w:pPr>
        <w:ind w:left="360"/>
        <w:jc w:val="both"/>
        <w:rPr>
          <w:rFonts w:ascii="Verdana" w:hAnsi="Verdana" w:cs="Calibri"/>
          <w:b/>
          <w:i/>
          <w:color w:val="000000"/>
          <w:sz w:val="21"/>
          <w:szCs w:val="21"/>
          <w:lang w:val="es-ES_tradnl"/>
        </w:rPr>
      </w:pPr>
    </w:p>
    <w:p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rsidR="00E64997" w:rsidRDefault="00E64997" w:rsidP="00E64997">
      <w:pPr>
        <w:ind w:left="360"/>
        <w:jc w:val="both"/>
        <w:rPr>
          <w:rFonts w:ascii="Verdana" w:hAnsi="Verdana" w:cs="Calibri"/>
          <w:i/>
          <w:iCs/>
          <w:color w:val="000000"/>
          <w:sz w:val="21"/>
          <w:szCs w:val="21"/>
          <w:u w:val="single"/>
          <w:lang w:val="es-ES_tradnl"/>
        </w:rPr>
      </w:pPr>
    </w:p>
    <w:p w:rsidR="00E64997" w:rsidRDefault="00E64997" w:rsidP="00E64997">
      <w:pPr>
        <w:ind w:left="360"/>
        <w:jc w:val="both"/>
        <w:rPr>
          <w:rFonts w:ascii="Verdana" w:hAnsi="Verdana" w:cs="Calibri"/>
          <w:bCs/>
          <w:sz w:val="21"/>
          <w:szCs w:val="21"/>
        </w:rPr>
      </w:pPr>
      <w:r>
        <w:rPr>
          <w:rFonts w:ascii="Verdana" w:hAnsi="Verdana" w:cs="Calibri"/>
          <w:i/>
          <w:iCs/>
          <w:color w:val="000000"/>
          <w:sz w:val="21"/>
          <w:szCs w:val="21"/>
          <w:u w:val="single"/>
          <w:lang w:val="es-ES_tradnl"/>
        </w:rPr>
        <w:t>Deterioro de cuentas por cobrar</w:t>
      </w:r>
      <w:r>
        <w:rPr>
          <w:rFonts w:ascii="Verdana" w:hAnsi="Verdana" w:cs="Calibri"/>
          <w:color w:val="000000"/>
          <w:sz w:val="21"/>
          <w:szCs w:val="21"/>
          <w:lang w:val="es-ES_tradnl"/>
        </w:rPr>
        <w:t xml:space="preserve"> – </w:t>
      </w:r>
      <w:r>
        <w:rPr>
          <w:rFonts w:ascii="Verdana" w:hAnsi="Verdana" w:cs="Calibri"/>
          <w:color w:val="000000"/>
          <w:sz w:val="21"/>
          <w:szCs w:val="21"/>
        </w:rPr>
        <w:t xml:space="preserve">Al final de cada periodo que se informa, los importes en libros de los deudores comerciales y otras cuentas por cobrar se revisan de manera individual, o por grupos de clientes de características similares de riesgo, para determinar si existe alguna evidencia objetiva de que no vayan a ser recuperables; si es así, se </w:t>
      </w:r>
      <w:r>
        <w:rPr>
          <w:rFonts w:ascii="Verdana" w:hAnsi="Verdana" w:cs="Calibri"/>
          <w:color w:val="000000"/>
          <w:sz w:val="21"/>
          <w:szCs w:val="21"/>
        </w:rPr>
        <w:lastRenderedPageBreak/>
        <w:t>establece una provisión para cuentas incobrables que reduce su valor al de probable realización</w:t>
      </w:r>
      <w:r>
        <w:rPr>
          <w:rFonts w:ascii="Verdana" w:hAnsi="Verdana" w:cs="Calibri"/>
          <w:bCs/>
          <w:sz w:val="21"/>
          <w:szCs w:val="21"/>
        </w:rPr>
        <w:t>. El castigo de las cuentas por cobrar a clientes, si hubiera, es registrado con débito a la provisión y, la diferencia no cubierta por la provisión es contabilizada directamente en los resultados del período.</w:t>
      </w:r>
    </w:p>
    <w:p w:rsidR="00637C98" w:rsidRDefault="00637C98" w:rsidP="00E64997">
      <w:pPr>
        <w:ind w:left="360"/>
        <w:jc w:val="both"/>
        <w:rPr>
          <w:rFonts w:ascii="Verdana" w:hAnsi="Verdana" w:cs="Calibri"/>
          <w:color w:val="000000"/>
          <w:sz w:val="21"/>
          <w:szCs w:val="21"/>
          <w:lang w:val="es-ES_tradnl"/>
        </w:rPr>
      </w:pPr>
    </w:p>
    <w:p w:rsidR="00F865CE" w:rsidRDefault="00F865CE" w:rsidP="00F865CE">
      <w:pPr>
        <w:numPr>
          <w:ilvl w:val="0"/>
          <w:numId w:val="6"/>
        </w:numPr>
        <w:jc w:val="both"/>
        <w:rPr>
          <w:rFonts w:ascii="Verdana" w:hAnsi="Verdana" w:cs="Calibri"/>
          <w:color w:val="000000"/>
          <w:sz w:val="21"/>
          <w:szCs w:val="21"/>
          <w:lang w:val="es-ES_tradnl"/>
        </w:rPr>
      </w:pPr>
      <w:r>
        <w:rPr>
          <w:rFonts w:ascii="Verdana" w:hAnsi="Verdana" w:cs="Calibri"/>
          <w:b/>
          <w:color w:val="000000"/>
          <w:sz w:val="21"/>
          <w:szCs w:val="21"/>
          <w:lang w:val="es-EC"/>
        </w:rPr>
        <w:t>EFECTIVO Y EQUIVALENTES DE EFECTIVO</w:t>
      </w:r>
    </w:p>
    <w:p w:rsidR="00F865CE" w:rsidRDefault="00F865CE" w:rsidP="00F865CE">
      <w:pPr>
        <w:spacing w:after="160" w:line="259" w:lineRule="auto"/>
        <w:rPr>
          <w:rFonts w:ascii="Verdana" w:hAnsi="Verdana" w:cs="Calibri"/>
          <w:color w:val="000000"/>
          <w:sz w:val="21"/>
          <w:szCs w:val="21"/>
          <w:lang w:val="es-ES_tradnl"/>
        </w:rPr>
      </w:pPr>
    </w:p>
    <w:p w:rsidR="00637C98" w:rsidRDefault="00637C98" w:rsidP="00F865CE">
      <w:pPr>
        <w:spacing w:after="160" w:line="259" w:lineRule="auto"/>
        <w:rPr>
          <w:rFonts w:ascii="Verdana" w:hAnsi="Verdana" w:cs="Calibri"/>
          <w:color w:val="000000"/>
          <w:sz w:val="21"/>
          <w:szCs w:val="21"/>
          <w:lang w:val="es-ES_tradnl"/>
        </w:rPr>
      </w:pPr>
      <w:r>
        <w:rPr>
          <w:rFonts w:ascii="Verdana" w:hAnsi="Verdana" w:cs="Arial"/>
          <w:bCs/>
          <w:color w:val="000000"/>
          <w:sz w:val="21"/>
          <w:szCs w:val="21"/>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2551"/>
        <w:gridCol w:w="2257"/>
      </w:tblGrid>
      <w:tr w:rsidR="00637C98" w:rsidRPr="00B77661" w:rsidTr="00B77661">
        <w:tc>
          <w:tcPr>
            <w:tcW w:w="3686" w:type="dxa"/>
          </w:tcPr>
          <w:p w:rsidR="00637C98" w:rsidRPr="00B77661" w:rsidRDefault="00637C98" w:rsidP="00A61C8B">
            <w:pPr>
              <w:rPr>
                <w:rFonts w:ascii="Verdana" w:hAnsi="Verdana" w:cs="Arial"/>
                <w:sz w:val="21"/>
                <w:szCs w:val="21"/>
              </w:rPr>
            </w:pPr>
          </w:p>
        </w:tc>
        <w:tc>
          <w:tcPr>
            <w:tcW w:w="2551" w:type="dxa"/>
          </w:tcPr>
          <w:p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2021</w:t>
            </w:r>
          </w:p>
        </w:tc>
        <w:tc>
          <w:tcPr>
            <w:tcW w:w="2257" w:type="dxa"/>
          </w:tcPr>
          <w:p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2020</w:t>
            </w:r>
          </w:p>
        </w:tc>
      </w:tr>
      <w:tr w:rsidR="00637C98" w:rsidRPr="00B77661" w:rsidTr="00B77661">
        <w:tc>
          <w:tcPr>
            <w:tcW w:w="3686" w:type="dxa"/>
          </w:tcPr>
          <w:p w:rsidR="00637C98" w:rsidRPr="00B77661" w:rsidRDefault="00637C98" w:rsidP="00A61C8B">
            <w:pPr>
              <w:rPr>
                <w:rFonts w:ascii="Verdana" w:hAnsi="Verdana" w:cs="Arial"/>
                <w:sz w:val="21"/>
                <w:szCs w:val="21"/>
              </w:rPr>
            </w:pPr>
          </w:p>
        </w:tc>
        <w:tc>
          <w:tcPr>
            <w:tcW w:w="2551" w:type="dxa"/>
          </w:tcPr>
          <w:p w:rsidR="00637C98" w:rsidRPr="00B77661" w:rsidRDefault="00637C98" w:rsidP="00637C98">
            <w:pPr>
              <w:jc w:val="right"/>
              <w:rPr>
                <w:rFonts w:ascii="Verdana" w:hAnsi="Verdana" w:cs="Arial"/>
                <w:sz w:val="21"/>
                <w:szCs w:val="21"/>
              </w:rPr>
            </w:pPr>
          </w:p>
        </w:tc>
        <w:tc>
          <w:tcPr>
            <w:tcW w:w="2257" w:type="dxa"/>
          </w:tcPr>
          <w:p w:rsidR="00637C98" w:rsidRPr="00B77661" w:rsidRDefault="00637C98" w:rsidP="00637C98">
            <w:pPr>
              <w:jc w:val="right"/>
              <w:rPr>
                <w:rFonts w:ascii="Verdana" w:hAnsi="Verdana" w:cs="Arial"/>
                <w:sz w:val="21"/>
                <w:szCs w:val="21"/>
              </w:rPr>
            </w:pPr>
          </w:p>
        </w:tc>
      </w:tr>
      <w:tr w:rsidR="00637C98" w:rsidRPr="00B77661" w:rsidTr="00B77661">
        <w:tc>
          <w:tcPr>
            <w:tcW w:w="3686" w:type="dxa"/>
          </w:tcPr>
          <w:p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51" w:type="dxa"/>
          </w:tcPr>
          <w:p w:rsidR="00637C98" w:rsidRPr="00B77661" w:rsidRDefault="00637C98" w:rsidP="00637C98">
            <w:pPr>
              <w:jc w:val="right"/>
              <w:rPr>
                <w:rFonts w:ascii="Verdana" w:hAnsi="Verdana" w:cs="Arial"/>
                <w:sz w:val="21"/>
                <w:szCs w:val="21"/>
              </w:rPr>
            </w:pPr>
          </w:p>
        </w:tc>
        <w:tc>
          <w:tcPr>
            <w:tcW w:w="2257" w:type="dxa"/>
          </w:tcPr>
          <w:p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rsidTr="00B77661">
        <w:tc>
          <w:tcPr>
            <w:tcW w:w="3686" w:type="dxa"/>
          </w:tcPr>
          <w:p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51" w:type="dxa"/>
          </w:tcPr>
          <w:p w:rsidR="00637C98" w:rsidRPr="00B77661" w:rsidRDefault="00637C98" w:rsidP="00637C98">
            <w:pPr>
              <w:jc w:val="right"/>
              <w:rPr>
                <w:rFonts w:ascii="Verdana" w:hAnsi="Verdana" w:cs="Arial"/>
                <w:sz w:val="21"/>
                <w:szCs w:val="21"/>
              </w:rPr>
            </w:pPr>
          </w:p>
        </w:tc>
        <w:tc>
          <w:tcPr>
            <w:tcW w:w="2257" w:type="dxa"/>
          </w:tcPr>
          <w:p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B77661" w:rsidTr="00B77661">
        <w:tc>
          <w:tcPr>
            <w:tcW w:w="3686" w:type="dxa"/>
          </w:tcPr>
          <w:p w:rsidR="00637C98" w:rsidRPr="00B77661" w:rsidRDefault="00B77661" w:rsidP="00A61C8B">
            <w:pPr>
              <w:rPr>
                <w:rFonts w:ascii="Verdana" w:hAnsi="Verdana" w:cs="Arial"/>
                <w:sz w:val="21"/>
                <w:szCs w:val="21"/>
              </w:rPr>
            </w:pPr>
            <w:r w:rsidRPr="00B77661">
              <w:rPr>
                <w:rFonts w:ascii="Verdana" w:hAnsi="Verdana" w:cs="Arial"/>
                <w:sz w:val="21"/>
                <w:szCs w:val="21"/>
              </w:rPr>
              <w:t>Caja</w:t>
            </w:r>
          </w:p>
        </w:tc>
        <w:tc>
          <w:tcPr>
            <w:tcW w:w="2551" w:type="dxa"/>
          </w:tcPr>
          <w:p w:rsidR="00637C98" w:rsidRPr="00B77661" w:rsidRDefault="00637C98" w:rsidP="00637C98">
            <w:pPr>
              <w:jc w:val="right"/>
              <w:rPr>
                <w:rFonts w:ascii="Verdana" w:hAnsi="Verdana" w:cs="Arial"/>
                <w:sz w:val="21"/>
                <w:szCs w:val="21"/>
              </w:rPr>
            </w:pPr>
          </w:p>
        </w:tc>
        <w:tc>
          <w:tcPr>
            <w:tcW w:w="2257" w:type="dxa"/>
            <w:tcBorders>
              <w:left w:val="nil"/>
            </w:tcBorders>
          </w:tcPr>
          <w:p w:rsidR="00637C98" w:rsidRPr="004D158E" w:rsidRDefault="00B77661" w:rsidP="00637C98">
            <w:pPr>
              <w:jc w:val="right"/>
              <w:rPr>
                <w:rFonts w:ascii="Verdana" w:hAnsi="Verdana" w:cs="Arial"/>
                <w:sz w:val="21"/>
                <w:szCs w:val="21"/>
                <w:u w:val="single"/>
              </w:rPr>
            </w:pPr>
            <w:r w:rsidRPr="004D158E">
              <w:rPr>
                <w:rFonts w:ascii="Verdana" w:hAnsi="Verdana" w:cs="Arial"/>
                <w:sz w:val="21"/>
                <w:szCs w:val="21"/>
                <w:u w:val="single"/>
              </w:rPr>
              <w:t>160</w:t>
            </w:r>
          </w:p>
        </w:tc>
      </w:tr>
      <w:tr w:rsidR="00637C98" w:rsidRPr="00B77661" w:rsidTr="00B77661">
        <w:tc>
          <w:tcPr>
            <w:tcW w:w="3686" w:type="dxa"/>
          </w:tcPr>
          <w:p w:rsidR="00637C98" w:rsidRPr="00B77661" w:rsidRDefault="00637C98" w:rsidP="00A61C8B">
            <w:pPr>
              <w:rPr>
                <w:rFonts w:ascii="Verdana" w:hAnsi="Verdana" w:cs="Arial"/>
                <w:sz w:val="21"/>
                <w:szCs w:val="21"/>
              </w:rPr>
            </w:pPr>
          </w:p>
          <w:p w:rsidR="00B77661" w:rsidRPr="00B77661" w:rsidRDefault="00B77661" w:rsidP="00A61C8B">
            <w:pPr>
              <w:rPr>
                <w:rFonts w:ascii="Verdana" w:hAnsi="Verdana" w:cs="Arial"/>
                <w:sz w:val="21"/>
                <w:szCs w:val="21"/>
              </w:rPr>
            </w:pPr>
            <w:r w:rsidRPr="00B77661">
              <w:rPr>
                <w:rFonts w:ascii="Verdana" w:hAnsi="Verdana" w:cs="Arial"/>
                <w:sz w:val="21"/>
                <w:szCs w:val="21"/>
              </w:rPr>
              <w:t>Total</w:t>
            </w:r>
          </w:p>
        </w:tc>
        <w:tc>
          <w:tcPr>
            <w:tcW w:w="2551" w:type="dxa"/>
          </w:tcPr>
          <w:p w:rsidR="00637C98" w:rsidRPr="00B77661" w:rsidRDefault="00637C98" w:rsidP="00637C98">
            <w:pPr>
              <w:jc w:val="right"/>
              <w:rPr>
                <w:rFonts w:ascii="Verdana" w:hAnsi="Verdana" w:cs="Arial"/>
                <w:sz w:val="21"/>
                <w:szCs w:val="21"/>
              </w:rPr>
            </w:pPr>
          </w:p>
          <w:p w:rsidR="00B77661" w:rsidRPr="00B77661" w:rsidRDefault="00B77661" w:rsidP="00637C98">
            <w:pPr>
              <w:jc w:val="right"/>
              <w:rPr>
                <w:rFonts w:ascii="Verdana" w:hAnsi="Verdana" w:cs="Arial"/>
                <w:sz w:val="21"/>
                <w:szCs w:val="21"/>
                <w:u w:val="single"/>
              </w:rPr>
            </w:pPr>
          </w:p>
        </w:tc>
        <w:tc>
          <w:tcPr>
            <w:tcW w:w="2257" w:type="dxa"/>
          </w:tcPr>
          <w:p w:rsidR="00637C98" w:rsidRPr="00B77661" w:rsidRDefault="00637C98" w:rsidP="00637C98">
            <w:pPr>
              <w:jc w:val="right"/>
              <w:rPr>
                <w:rFonts w:ascii="Verdana" w:hAnsi="Verdana" w:cs="Arial"/>
                <w:sz w:val="21"/>
                <w:szCs w:val="21"/>
              </w:rPr>
            </w:pPr>
          </w:p>
          <w:p w:rsidR="00B77661" w:rsidRPr="004D158E" w:rsidRDefault="00B77661" w:rsidP="00637C98">
            <w:pPr>
              <w:jc w:val="right"/>
              <w:rPr>
                <w:rFonts w:ascii="Verdana" w:hAnsi="Verdana" w:cs="Arial"/>
                <w:sz w:val="21"/>
                <w:szCs w:val="21"/>
                <w:u w:val="double"/>
              </w:rPr>
            </w:pPr>
            <w:r w:rsidRPr="004D158E">
              <w:rPr>
                <w:rFonts w:ascii="Verdana" w:hAnsi="Verdana" w:cs="Arial"/>
                <w:sz w:val="21"/>
                <w:szCs w:val="21"/>
                <w:u w:val="double"/>
              </w:rPr>
              <w:t>320,535</w:t>
            </w:r>
          </w:p>
        </w:tc>
      </w:tr>
    </w:tbl>
    <w:p w:rsidR="00A61C8B" w:rsidRDefault="00A61C8B" w:rsidP="00A61C8B">
      <w:pPr>
        <w:rPr>
          <w:rFonts w:ascii="Verdana" w:hAnsi="Verdana" w:cs="Arial"/>
          <w:sz w:val="18"/>
          <w:szCs w:val="18"/>
        </w:rPr>
      </w:pPr>
    </w:p>
    <w:p w:rsidR="00272CED" w:rsidRDefault="00272CED" w:rsidP="00A61C8B">
      <w:pPr>
        <w:rPr>
          <w:rFonts w:ascii="Verdana" w:hAnsi="Verdana" w:cs="Arial"/>
          <w:sz w:val="18"/>
          <w:szCs w:val="18"/>
        </w:rPr>
      </w:pPr>
    </w:p>
    <w:p w:rsidR="00272CED" w:rsidRDefault="00272CED" w:rsidP="00272CED">
      <w:pPr>
        <w:jc w:val="both"/>
        <w:rPr>
          <w:rFonts w:ascii="Verdana" w:hAnsi="Verdana" w:cs="Calibri"/>
          <w:b/>
          <w:color w:val="000000"/>
          <w:sz w:val="21"/>
          <w:szCs w:val="21"/>
          <w:lang w:val="es-EC"/>
        </w:rPr>
      </w:pPr>
      <w:r>
        <w:rPr>
          <w:rFonts w:ascii="Verdana" w:hAnsi="Verdana" w:cs="Calibri"/>
          <w:b/>
          <w:color w:val="000000"/>
          <w:sz w:val="21"/>
          <w:szCs w:val="21"/>
          <w:lang w:val="es-EC"/>
        </w:rPr>
        <w:t>7.   CUENTAS POR COBRAR</w:t>
      </w:r>
    </w:p>
    <w:p w:rsidR="00272CED" w:rsidRDefault="00272CED" w:rsidP="00272CED">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2551"/>
        <w:gridCol w:w="2257"/>
      </w:tblGrid>
      <w:tr w:rsidR="00272CED" w:rsidTr="004D158E">
        <w:tc>
          <w:tcPr>
            <w:tcW w:w="3686" w:type="dxa"/>
          </w:tcPr>
          <w:p w:rsidR="00272CED" w:rsidRDefault="00272CED">
            <w:pPr>
              <w:rPr>
                <w:rFonts w:ascii="Verdana" w:hAnsi="Verdana" w:cs="Arial"/>
                <w:sz w:val="21"/>
                <w:szCs w:val="21"/>
              </w:rPr>
            </w:pPr>
          </w:p>
        </w:tc>
        <w:tc>
          <w:tcPr>
            <w:tcW w:w="2551" w:type="dxa"/>
            <w:hideMark/>
          </w:tcPr>
          <w:p w:rsidR="00272CED" w:rsidRDefault="00272CED">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rsidR="00272CED" w:rsidRDefault="00272CED">
            <w:pPr>
              <w:jc w:val="right"/>
              <w:rPr>
                <w:rFonts w:ascii="Verdana" w:hAnsi="Verdana" w:cs="Arial"/>
                <w:sz w:val="21"/>
                <w:szCs w:val="21"/>
                <w:u w:val="single"/>
              </w:rPr>
            </w:pPr>
            <w:r>
              <w:rPr>
                <w:rFonts w:ascii="Verdana" w:hAnsi="Verdana" w:cs="Arial"/>
                <w:sz w:val="21"/>
                <w:szCs w:val="21"/>
                <w:u w:val="single"/>
              </w:rPr>
              <w:t>2020</w:t>
            </w:r>
          </w:p>
        </w:tc>
      </w:tr>
      <w:tr w:rsidR="00272CED" w:rsidTr="004D158E">
        <w:tc>
          <w:tcPr>
            <w:tcW w:w="3686" w:type="dxa"/>
          </w:tcPr>
          <w:p w:rsidR="00272CED" w:rsidRDefault="00272CED">
            <w:pPr>
              <w:rPr>
                <w:rFonts w:ascii="Verdana" w:hAnsi="Verdana" w:cs="Arial"/>
                <w:sz w:val="21"/>
                <w:szCs w:val="21"/>
              </w:rPr>
            </w:pPr>
          </w:p>
        </w:tc>
        <w:tc>
          <w:tcPr>
            <w:tcW w:w="2551" w:type="dxa"/>
          </w:tcPr>
          <w:p w:rsidR="00272CED" w:rsidRDefault="00272CED">
            <w:pPr>
              <w:jc w:val="right"/>
              <w:rPr>
                <w:rFonts w:ascii="Verdana" w:hAnsi="Verdana" w:cs="Arial"/>
                <w:sz w:val="21"/>
                <w:szCs w:val="21"/>
              </w:rPr>
            </w:pPr>
          </w:p>
        </w:tc>
        <w:tc>
          <w:tcPr>
            <w:tcW w:w="2257" w:type="dxa"/>
          </w:tcPr>
          <w:p w:rsidR="00272CED" w:rsidRDefault="00272CED">
            <w:pPr>
              <w:jc w:val="right"/>
              <w:rPr>
                <w:rFonts w:ascii="Verdana" w:hAnsi="Verdana" w:cs="Arial"/>
                <w:sz w:val="21"/>
                <w:szCs w:val="21"/>
              </w:rPr>
            </w:pPr>
          </w:p>
        </w:tc>
      </w:tr>
      <w:tr w:rsidR="00272CED" w:rsidTr="004D158E">
        <w:tc>
          <w:tcPr>
            <w:tcW w:w="3686" w:type="dxa"/>
            <w:hideMark/>
          </w:tcPr>
          <w:p w:rsidR="00272CED" w:rsidRDefault="0032697C">
            <w:pPr>
              <w:rPr>
                <w:rFonts w:ascii="Verdana" w:hAnsi="Verdana" w:cs="Arial"/>
                <w:sz w:val="21"/>
                <w:szCs w:val="21"/>
              </w:rPr>
            </w:pPr>
            <w:r>
              <w:rPr>
                <w:rFonts w:ascii="Verdana" w:hAnsi="Verdana" w:cs="Arial"/>
                <w:sz w:val="21"/>
                <w:szCs w:val="21"/>
              </w:rPr>
              <w:t>Comerciales</w:t>
            </w:r>
          </w:p>
        </w:tc>
        <w:tc>
          <w:tcPr>
            <w:tcW w:w="2551" w:type="dxa"/>
          </w:tcPr>
          <w:p w:rsidR="00272CED" w:rsidRDefault="00272CED">
            <w:pPr>
              <w:jc w:val="right"/>
              <w:rPr>
                <w:rFonts w:ascii="Verdana" w:hAnsi="Verdana" w:cs="Arial"/>
                <w:sz w:val="21"/>
                <w:szCs w:val="21"/>
              </w:rPr>
            </w:pPr>
          </w:p>
        </w:tc>
        <w:tc>
          <w:tcPr>
            <w:tcW w:w="2257" w:type="dxa"/>
            <w:hideMark/>
          </w:tcPr>
          <w:p w:rsidR="00272CED" w:rsidRDefault="004D158E">
            <w:pPr>
              <w:jc w:val="right"/>
              <w:rPr>
                <w:rFonts w:ascii="Verdana" w:hAnsi="Verdana" w:cs="Arial"/>
                <w:sz w:val="21"/>
                <w:szCs w:val="21"/>
              </w:rPr>
            </w:pPr>
            <w:r>
              <w:rPr>
                <w:rFonts w:ascii="Verdana" w:hAnsi="Verdana" w:cs="Arial"/>
                <w:sz w:val="21"/>
                <w:szCs w:val="21"/>
              </w:rPr>
              <w:t>93,870</w:t>
            </w:r>
          </w:p>
        </w:tc>
      </w:tr>
      <w:tr w:rsidR="00272CED" w:rsidTr="004D158E">
        <w:tc>
          <w:tcPr>
            <w:tcW w:w="3686" w:type="dxa"/>
            <w:hideMark/>
          </w:tcPr>
          <w:p w:rsidR="00272CED" w:rsidRDefault="0032697C">
            <w:pPr>
              <w:rPr>
                <w:rFonts w:ascii="Verdana" w:hAnsi="Verdana" w:cs="Arial"/>
                <w:sz w:val="21"/>
                <w:szCs w:val="21"/>
              </w:rPr>
            </w:pPr>
            <w:r>
              <w:rPr>
                <w:rFonts w:ascii="Verdana" w:hAnsi="Verdana" w:cs="Arial"/>
                <w:sz w:val="21"/>
                <w:szCs w:val="21"/>
              </w:rPr>
              <w:t>Anticipos a proveedores</w:t>
            </w:r>
          </w:p>
        </w:tc>
        <w:tc>
          <w:tcPr>
            <w:tcW w:w="2551" w:type="dxa"/>
          </w:tcPr>
          <w:p w:rsidR="00272CED" w:rsidRDefault="00272CED">
            <w:pPr>
              <w:jc w:val="right"/>
              <w:rPr>
                <w:rFonts w:ascii="Verdana" w:hAnsi="Verdana" w:cs="Arial"/>
                <w:sz w:val="21"/>
                <w:szCs w:val="21"/>
              </w:rPr>
            </w:pPr>
          </w:p>
        </w:tc>
        <w:tc>
          <w:tcPr>
            <w:tcW w:w="2257" w:type="dxa"/>
            <w:hideMark/>
          </w:tcPr>
          <w:p w:rsidR="00272CED" w:rsidRDefault="004D158E">
            <w:pPr>
              <w:jc w:val="right"/>
              <w:rPr>
                <w:rFonts w:ascii="Verdana" w:hAnsi="Verdana" w:cs="Arial"/>
                <w:sz w:val="21"/>
                <w:szCs w:val="21"/>
              </w:rPr>
            </w:pPr>
            <w:r>
              <w:rPr>
                <w:rFonts w:ascii="Verdana" w:hAnsi="Verdana" w:cs="Arial"/>
                <w:sz w:val="21"/>
                <w:szCs w:val="21"/>
              </w:rPr>
              <w:t>0</w:t>
            </w:r>
          </w:p>
        </w:tc>
      </w:tr>
      <w:tr w:rsidR="00272CED" w:rsidTr="004D158E">
        <w:tc>
          <w:tcPr>
            <w:tcW w:w="3686" w:type="dxa"/>
            <w:hideMark/>
          </w:tcPr>
          <w:p w:rsidR="00272CED" w:rsidRDefault="0032697C">
            <w:pPr>
              <w:rPr>
                <w:rFonts w:ascii="Verdana" w:hAnsi="Verdana" w:cs="Arial"/>
                <w:sz w:val="21"/>
                <w:szCs w:val="21"/>
              </w:rPr>
            </w:pPr>
            <w:r>
              <w:rPr>
                <w:rFonts w:ascii="Verdana" w:hAnsi="Verdana" w:cs="Arial"/>
                <w:sz w:val="21"/>
                <w:szCs w:val="21"/>
              </w:rPr>
              <w:t>Otras cuentas por cobrar</w:t>
            </w:r>
          </w:p>
        </w:tc>
        <w:tc>
          <w:tcPr>
            <w:tcW w:w="2551" w:type="dxa"/>
          </w:tcPr>
          <w:p w:rsidR="00272CED" w:rsidRDefault="00272CED">
            <w:pPr>
              <w:jc w:val="right"/>
              <w:rPr>
                <w:rFonts w:ascii="Verdana" w:hAnsi="Verdana" w:cs="Arial"/>
                <w:sz w:val="21"/>
                <w:szCs w:val="21"/>
              </w:rPr>
            </w:pPr>
          </w:p>
        </w:tc>
        <w:tc>
          <w:tcPr>
            <w:tcW w:w="2257" w:type="dxa"/>
            <w:hideMark/>
          </w:tcPr>
          <w:p w:rsidR="00272CED" w:rsidRPr="004D158E" w:rsidRDefault="004D158E">
            <w:pPr>
              <w:jc w:val="right"/>
              <w:rPr>
                <w:rFonts w:ascii="Verdana" w:hAnsi="Verdana" w:cs="Arial"/>
                <w:sz w:val="21"/>
                <w:szCs w:val="21"/>
                <w:u w:val="single"/>
              </w:rPr>
            </w:pPr>
            <w:r w:rsidRPr="004D158E">
              <w:rPr>
                <w:rFonts w:ascii="Verdana" w:hAnsi="Verdana" w:cs="Arial"/>
                <w:sz w:val="21"/>
                <w:szCs w:val="21"/>
                <w:u w:val="single"/>
              </w:rPr>
              <w:t>14,164</w:t>
            </w:r>
          </w:p>
        </w:tc>
      </w:tr>
      <w:tr w:rsidR="00272CED" w:rsidTr="004D158E">
        <w:tc>
          <w:tcPr>
            <w:tcW w:w="3686" w:type="dxa"/>
          </w:tcPr>
          <w:p w:rsidR="00272CED" w:rsidRDefault="00272CED">
            <w:pPr>
              <w:rPr>
                <w:rFonts w:ascii="Verdana" w:hAnsi="Verdana" w:cs="Arial"/>
                <w:sz w:val="21"/>
                <w:szCs w:val="21"/>
              </w:rPr>
            </w:pPr>
          </w:p>
          <w:p w:rsidR="00272CED" w:rsidRDefault="00272CED">
            <w:pPr>
              <w:rPr>
                <w:rFonts w:ascii="Verdana" w:hAnsi="Verdana" w:cs="Arial"/>
                <w:sz w:val="21"/>
                <w:szCs w:val="21"/>
              </w:rPr>
            </w:pPr>
            <w:r>
              <w:rPr>
                <w:rFonts w:ascii="Verdana" w:hAnsi="Verdana" w:cs="Arial"/>
                <w:sz w:val="21"/>
                <w:szCs w:val="21"/>
              </w:rPr>
              <w:t>Total</w:t>
            </w:r>
          </w:p>
        </w:tc>
        <w:tc>
          <w:tcPr>
            <w:tcW w:w="2551" w:type="dxa"/>
          </w:tcPr>
          <w:p w:rsidR="00272CED" w:rsidRDefault="00272CED">
            <w:pPr>
              <w:jc w:val="right"/>
              <w:rPr>
                <w:rFonts w:ascii="Verdana" w:hAnsi="Verdana" w:cs="Arial"/>
                <w:sz w:val="21"/>
                <w:szCs w:val="21"/>
              </w:rPr>
            </w:pPr>
          </w:p>
          <w:p w:rsidR="00272CED" w:rsidRDefault="00272CED">
            <w:pPr>
              <w:jc w:val="right"/>
              <w:rPr>
                <w:rFonts w:ascii="Verdana" w:hAnsi="Verdana" w:cs="Arial"/>
                <w:sz w:val="21"/>
                <w:szCs w:val="21"/>
                <w:u w:val="single"/>
              </w:rPr>
            </w:pPr>
          </w:p>
        </w:tc>
        <w:tc>
          <w:tcPr>
            <w:tcW w:w="2257" w:type="dxa"/>
          </w:tcPr>
          <w:p w:rsidR="00272CED" w:rsidRDefault="00272CED">
            <w:pPr>
              <w:jc w:val="right"/>
              <w:rPr>
                <w:rFonts w:ascii="Verdana" w:hAnsi="Verdana" w:cs="Arial"/>
                <w:sz w:val="21"/>
                <w:szCs w:val="21"/>
              </w:rPr>
            </w:pPr>
          </w:p>
          <w:p w:rsidR="00272CED" w:rsidRPr="004D158E" w:rsidRDefault="004D158E">
            <w:pPr>
              <w:jc w:val="right"/>
              <w:rPr>
                <w:rFonts w:ascii="Verdana" w:hAnsi="Verdana" w:cs="Arial"/>
                <w:sz w:val="21"/>
                <w:szCs w:val="21"/>
                <w:u w:val="double"/>
              </w:rPr>
            </w:pPr>
            <w:r>
              <w:rPr>
                <w:rFonts w:ascii="Verdana" w:hAnsi="Verdana" w:cs="Arial"/>
                <w:sz w:val="21"/>
                <w:szCs w:val="21"/>
                <w:u w:val="double"/>
              </w:rPr>
              <w:t>108,034</w:t>
            </w:r>
          </w:p>
        </w:tc>
      </w:tr>
    </w:tbl>
    <w:p w:rsidR="00272CED" w:rsidRDefault="00272CED" w:rsidP="00272CED">
      <w:pPr>
        <w:rPr>
          <w:rFonts w:ascii="Verdana" w:hAnsi="Verdana" w:cs="Arial"/>
          <w:sz w:val="18"/>
          <w:szCs w:val="18"/>
        </w:rPr>
      </w:pPr>
    </w:p>
    <w:p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rsidR="00A43559" w:rsidRDefault="00A43559"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rsidR="00A43559" w:rsidRDefault="00A43559" w:rsidP="00272CED">
      <w:pPr>
        <w:rPr>
          <w:rFonts w:ascii="Verdana" w:hAnsi="Verdana" w:cs="Arial"/>
          <w:sz w:val="18"/>
          <w:szCs w:val="18"/>
        </w:rPr>
      </w:pPr>
      <w:r>
        <w:rPr>
          <w:rFonts w:ascii="Verdana" w:hAnsi="Verdana" w:cs="Arial"/>
          <w:b/>
          <w:bCs/>
          <w:color w:val="000000"/>
          <w:sz w:val="21"/>
          <w:szCs w:val="21"/>
        </w:rPr>
        <w:t>8.    ACTIVO POR IMPUESTOS CORRIENTES</w:t>
      </w:r>
    </w:p>
    <w:p w:rsidR="00A43559" w:rsidRDefault="00A43559" w:rsidP="00A43559">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2551"/>
        <w:gridCol w:w="2257"/>
      </w:tblGrid>
      <w:tr w:rsidR="00A43559" w:rsidTr="00A43559">
        <w:tc>
          <w:tcPr>
            <w:tcW w:w="3686" w:type="dxa"/>
          </w:tcPr>
          <w:p w:rsidR="00A43559" w:rsidRDefault="00A43559">
            <w:pPr>
              <w:rPr>
                <w:rFonts w:ascii="Verdana" w:hAnsi="Verdana" w:cs="Arial"/>
                <w:sz w:val="21"/>
                <w:szCs w:val="21"/>
              </w:rPr>
            </w:pPr>
          </w:p>
        </w:tc>
        <w:tc>
          <w:tcPr>
            <w:tcW w:w="2551" w:type="dxa"/>
            <w:hideMark/>
          </w:tcPr>
          <w:p w:rsidR="00A43559" w:rsidRDefault="00A43559">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rsidR="00A43559" w:rsidRDefault="00A43559">
            <w:pPr>
              <w:jc w:val="right"/>
              <w:rPr>
                <w:rFonts w:ascii="Verdana" w:hAnsi="Verdana" w:cs="Arial"/>
                <w:sz w:val="21"/>
                <w:szCs w:val="21"/>
                <w:u w:val="single"/>
              </w:rPr>
            </w:pPr>
            <w:r>
              <w:rPr>
                <w:rFonts w:ascii="Verdana" w:hAnsi="Verdana" w:cs="Arial"/>
                <w:sz w:val="21"/>
                <w:szCs w:val="21"/>
                <w:u w:val="single"/>
              </w:rPr>
              <w:t>2020</w:t>
            </w:r>
          </w:p>
        </w:tc>
      </w:tr>
      <w:tr w:rsidR="00A43559" w:rsidTr="00A43559">
        <w:tc>
          <w:tcPr>
            <w:tcW w:w="3686" w:type="dxa"/>
          </w:tcPr>
          <w:p w:rsidR="00A43559" w:rsidRDefault="00A43559">
            <w:pPr>
              <w:rPr>
                <w:rFonts w:ascii="Verdana" w:hAnsi="Verdana" w:cs="Arial"/>
                <w:sz w:val="21"/>
                <w:szCs w:val="21"/>
              </w:rPr>
            </w:pPr>
          </w:p>
        </w:tc>
        <w:tc>
          <w:tcPr>
            <w:tcW w:w="2551" w:type="dxa"/>
          </w:tcPr>
          <w:p w:rsidR="00A43559" w:rsidRDefault="00A43559">
            <w:pPr>
              <w:jc w:val="right"/>
              <w:rPr>
                <w:rFonts w:ascii="Verdana" w:hAnsi="Verdana" w:cs="Arial"/>
                <w:sz w:val="21"/>
                <w:szCs w:val="21"/>
              </w:rPr>
            </w:pPr>
          </w:p>
        </w:tc>
        <w:tc>
          <w:tcPr>
            <w:tcW w:w="2257" w:type="dxa"/>
          </w:tcPr>
          <w:p w:rsidR="00A43559" w:rsidRDefault="00A43559">
            <w:pPr>
              <w:jc w:val="right"/>
              <w:rPr>
                <w:rFonts w:ascii="Verdana" w:hAnsi="Verdana" w:cs="Arial"/>
                <w:sz w:val="21"/>
                <w:szCs w:val="21"/>
              </w:rPr>
            </w:pPr>
          </w:p>
        </w:tc>
      </w:tr>
      <w:tr w:rsidR="00A43559" w:rsidTr="00A43559">
        <w:tc>
          <w:tcPr>
            <w:tcW w:w="3686" w:type="dxa"/>
            <w:hideMark/>
          </w:tcPr>
          <w:p w:rsidR="00A43559" w:rsidRDefault="00A43559">
            <w:pPr>
              <w:rPr>
                <w:rFonts w:ascii="Verdana" w:hAnsi="Verdana" w:cs="Arial"/>
                <w:sz w:val="21"/>
                <w:szCs w:val="21"/>
              </w:rPr>
            </w:pPr>
            <w:r>
              <w:rPr>
                <w:rFonts w:ascii="Verdana" w:hAnsi="Verdana" w:cs="Arial"/>
                <w:sz w:val="21"/>
                <w:szCs w:val="21"/>
              </w:rPr>
              <w:t>Crédito tributario por IVA</w:t>
            </w:r>
          </w:p>
        </w:tc>
        <w:tc>
          <w:tcPr>
            <w:tcW w:w="2551" w:type="dxa"/>
          </w:tcPr>
          <w:p w:rsidR="00A43559" w:rsidRDefault="00A43559">
            <w:pPr>
              <w:jc w:val="right"/>
              <w:rPr>
                <w:rFonts w:ascii="Verdana" w:hAnsi="Verdana" w:cs="Arial"/>
                <w:sz w:val="21"/>
                <w:szCs w:val="21"/>
              </w:rPr>
            </w:pPr>
          </w:p>
        </w:tc>
        <w:tc>
          <w:tcPr>
            <w:tcW w:w="2257" w:type="dxa"/>
            <w:hideMark/>
          </w:tcPr>
          <w:p w:rsidR="00A43559" w:rsidRDefault="00A43559">
            <w:pPr>
              <w:jc w:val="right"/>
              <w:rPr>
                <w:rFonts w:ascii="Verdana" w:hAnsi="Verdana" w:cs="Arial"/>
                <w:sz w:val="21"/>
                <w:szCs w:val="21"/>
              </w:rPr>
            </w:pPr>
            <w:r>
              <w:rPr>
                <w:rFonts w:ascii="Verdana" w:hAnsi="Verdana" w:cs="Arial"/>
                <w:sz w:val="21"/>
                <w:szCs w:val="21"/>
              </w:rPr>
              <w:t>123,594</w:t>
            </w:r>
          </w:p>
        </w:tc>
      </w:tr>
      <w:tr w:rsidR="00A43559" w:rsidTr="00A43559">
        <w:tc>
          <w:tcPr>
            <w:tcW w:w="3686" w:type="dxa"/>
            <w:hideMark/>
          </w:tcPr>
          <w:p w:rsidR="00A43559" w:rsidRDefault="00A43559">
            <w:pPr>
              <w:rPr>
                <w:rFonts w:ascii="Verdana" w:hAnsi="Verdana" w:cs="Arial"/>
                <w:sz w:val="21"/>
                <w:szCs w:val="21"/>
              </w:rPr>
            </w:pPr>
            <w:r>
              <w:rPr>
                <w:rFonts w:ascii="Verdana" w:hAnsi="Verdana" w:cs="Arial"/>
                <w:sz w:val="21"/>
                <w:szCs w:val="21"/>
              </w:rPr>
              <w:t>Crédito tributario por impuesto a la renta</w:t>
            </w:r>
          </w:p>
        </w:tc>
        <w:tc>
          <w:tcPr>
            <w:tcW w:w="2551" w:type="dxa"/>
          </w:tcPr>
          <w:p w:rsidR="00A43559" w:rsidRDefault="00A43559">
            <w:pPr>
              <w:jc w:val="right"/>
              <w:rPr>
                <w:rFonts w:ascii="Verdana" w:hAnsi="Verdana" w:cs="Arial"/>
                <w:sz w:val="21"/>
                <w:szCs w:val="21"/>
              </w:rPr>
            </w:pPr>
          </w:p>
        </w:tc>
        <w:tc>
          <w:tcPr>
            <w:tcW w:w="2257" w:type="dxa"/>
            <w:hideMark/>
          </w:tcPr>
          <w:p w:rsidR="00A43559" w:rsidRPr="00A43559" w:rsidRDefault="00A43559">
            <w:pPr>
              <w:jc w:val="right"/>
              <w:rPr>
                <w:rFonts w:ascii="Verdana" w:hAnsi="Verdana" w:cs="Arial"/>
                <w:sz w:val="21"/>
                <w:szCs w:val="21"/>
                <w:u w:val="single"/>
              </w:rPr>
            </w:pPr>
            <w:r w:rsidRPr="00A43559">
              <w:rPr>
                <w:rFonts w:ascii="Verdana" w:hAnsi="Verdana" w:cs="Arial"/>
                <w:sz w:val="21"/>
                <w:szCs w:val="21"/>
                <w:u w:val="single"/>
              </w:rPr>
              <w:t>53,156</w:t>
            </w:r>
          </w:p>
        </w:tc>
      </w:tr>
      <w:tr w:rsidR="00A43559" w:rsidTr="00A43559">
        <w:tc>
          <w:tcPr>
            <w:tcW w:w="3686" w:type="dxa"/>
            <w:hideMark/>
          </w:tcPr>
          <w:p w:rsidR="00A43559" w:rsidRDefault="00A43559">
            <w:pPr>
              <w:rPr>
                <w:rFonts w:ascii="Verdana" w:hAnsi="Verdana" w:cs="Arial"/>
                <w:sz w:val="21"/>
                <w:szCs w:val="21"/>
              </w:rPr>
            </w:pPr>
          </w:p>
        </w:tc>
        <w:tc>
          <w:tcPr>
            <w:tcW w:w="2551" w:type="dxa"/>
          </w:tcPr>
          <w:p w:rsidR="00A43559" w:rsidRDefault="00A43559">
            <w:pPr>
              <w:jc w:val="right"/>
              <w:rPr>
                <w:rFonts w:ascii="Verdana" w:hAnsi="Verdana" w:cs="Arial"/>
                <w:sz w:val="21"/>
                <w:szCs w:val="21"/>
              </w:rPr>
            </w:pPr>
          </w:p>
        </w:tc>
        <w:tc>
          <w:tcPr>
            <w:tcW w:w="2257" w:type="dxa"/>
            <w:hideMark/>
          </w:tcPr>
          <w:p w:rsidR="00A43559" w:rsidRDefault="00A43559">
            <w:pPr>
              <w:jc w:val="right"/>
              <w:rPr>
                <w:rFonts w:ascii="Verdana" w:hAnsi="Verdana" w:cs="Arial"/>
                <w:sz w:val="21"/>
                <w:szCs w:val="21"/>
                <w:u w:val="single"/>
              </w:rPr>
            </w:pPr>
          </w:p>
        </w:tc>
      </w:tr>
      <w:tr w:rsidR="00A43559" w:rsidTr="00A43559">
        <w:tc>
          <w:tcPr>
            <w:tcW w:w="3686" w:type="dxa"/>
          </w:tcPr>
          <w:p w:rsidR="00A43559" w:rsidRDefault="00A43559">
            <w:pPr>
              <w:rPr>
                <w:rFonts w:ascii="Verdana" w:hAnsi="Verdana" w:cs="Arial"/>
                <w:sz w:val="21"/>
                <w:szCs w:val="21"/>
              </w:rPr>
            </w:pPr>
          </w:p>
          <w:p w:rsidR="00A43559" w:rsidRDefault="00A43559">
            <w:pPr>
              <w:rPr>
                <w:rFonts w:ascii="Verdana" w:hAnsi="Verdana" w:cs="Arial"/>
                <w:sz w:val="21"/>
                <w:szCs w:val="21"/>
              </w:rPr>
            </w:pPr>
            <w:r>
              <w:rPr>
                <w:rFonts w:ascii="Verdana" w:hAnsi="Verdana" w:cs="Arial"/>
                <w:sz w:val="21"/>
                <w:szCs w:val="21"/>
              </w:rPr>
              <w:t>Total</w:t>
            </w:r>
          </w:p>
        </w:tc>
        <w:tc>
          <w:tcPr>
            <w:tcW w:w="2551" w:type="dxa"/>
          </w:tcPr>
          <w:p w:rsidR="00A43559" w:rsidRDefault="00A43559">
            <w:pPr>
              <w:jc w:val="right"/>
              <w:rPr>
                <w:rFonts w:ascii="Verdana" w:hAnsi="Verdana" w:cs="Arial"/>
                <w:sz w:val="21"/>
                <w:szCs w:val="21"/>
              </w:rPr>
            </w:pPr>
          </w:p>
          <w:p w:rsidR="00A43559" w:rsidRDefault="00A43559">
            <w:pPr>
              <w:jc w:val="right"/>
              <w:rPr>
                <w:rFonts w:ascii="Verdana" w:hAnsi="Verdana" w:cs="Arial"/>
                <w:sz w:val="21"/>
                <w:szCs w:val="21"/>
                <w:u w:val="single"/>
              </w:rPr>
            </w:pPr>
          </w:p>
        </w:tc>
        <w:tc>
          <w:tcPr>
            <w:tcW w:w="2257" w:type="dxa"/>
          </w:tcPr>
          <w:p w:rsidR="00A43559" w:rsidRDefault="00A43559">
            <w:pPr>
              <w:jc w:val="right"/>
              <w:rPr>
                <w:rFonts w:ascii="Verdana" w:hAnsi="Verdana" w:cs="Arial"/>
                <w:sz w:val="21"/>
                <w:szCs w:val="21"/>
              </w:rPr>
            </w:pPr>
          </w:p>
          <w:p w:rsidR="00A43559" w:rsidRDefault="00A43559">
            <w:pPr>
              <w:jc w:val="right"/>
              <w:rPr>
                <w:rFonts w:ascii="Verdana" w:hAnsi="Verdana" w:cs="Arial"/>
                <w:sz w:val="21"/>
                <w:szCs w:val="21"/>
                <w:u w:val="double"/>
              </w:rPr>
            </w:pPr>
            <w:r>
              <w:rPr>
                <w:rFonts w:ascii="Verdana" w:hAnsi="Verdana" w:cs="Arial"/>
                <w:sz w:val="21"/>
                <w:szCs w:val="21"/>
                <w:u w:val="double"/>
              </w:rPr>
              <w:t>176,750</w:t>
            </w:r>
          </w:p>
        </w:tc>
      </w:tr>
    </w:tbl>
    <w:p w:rsidR="00A43559" w:rsidRDefault="00A43559" w:rsidP="00A43559">
      <w:pPr>
        <w:rPr>
          <w:rFonts w:ascii="Verdana" w:hAnsi="Verdana" w:cs="Arial"/>
          <w:sz w:val="18"/>
          <w:szCs w:val="18"/>
        </w:rPr>
      </w:pPr>
    </w:p>
    <w:p w:rsidR="00A43559" w:rsidRDefault="00A43559" w:rsidP="00A43559">
      <w:pPr>
        <w:rPr>
          <w:rFonts w:ascii="Verdana" w:hAnsi="Verdana" w:cs="Arial"/>
          <w:sz w:val="18"/>
          <w:szCs w:val="18"/>
        </w:rPr>
      </w:pPr>
    </w:p>
    <w:p w:rsidR="00A43559" w:rsidRDefault="00A43559" w:rsidP="00A43559">
      <w:pPr>
        <w:ind w:left="567"/>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 </w:t>
      </w:r>
    </w:p>
    <w:p w:rsidR="00A43559" w:rsidRDefault="00A43559" w:rsidP="00A43559">
      <w:pPr>
        <w:ind w:left="567"/>
        <w:jc w:val="both"/>
        <w:outlineLvl w:val="5"/>
        <w:rPr>
          <w:rFonts w:ascii="Verdana" w:hAnsi="Verdana" w:cs="Arial"/>
          <w:color w:val="000000"/>
          <w:sz w:val="21"/>
          <w:szCs w:val="21"/>
        </w:rPr>
      </w:pPr>
    </w:p>
    <w:p w:rsidR="00A43559" w:rsidRDefault="00A43559" w:rsidP="00A43559">
      <w:pPr>
        <w:ind w:left="567"/>
        <w:jc w:val="both"/>
        <w:outlineLvl w:val="5"/>
        <w:rPr>
          <w:rFonts w:ascii="Verdana" w:hAnsi="Verdana" w:cs="Arial"/>
          <w:color w:val="000000"/>
          <w:sz w:val="21"/>
          <w:szCs w:val="21"/>
        </w:rPr>
      </w:pPr>
      <w:r>
        <w:rPr>
          <w:rFonts w:ascii="Verdana" w:hAnsi="Verdana" w:cs="Arial"/>
          <w:color w:val="000000"/>
          <w:sz w:val="21"/>
          <w:szCs w:val="21"/>
        </w:rPr>
        <w:t>Este crédito tributario puede ser utilizado hasta en cinco años y, al 31 de diciembre del 2021, su saldo se origina US$18 en el 2021, US$19 mil en el año 2020 y US$16 mil en el año 2019.</w:t>
      </w:r>
    </w:p>
    <w:p w:rsidR="00A43559" w:rsidRDefault="00A43559" w:rsidP="00A43559">
      <w:pPr>
        <w:ind w:left="567"/>
        <w:jc w:val="both"/>
        <w:outlineLvl w:val="5"/>
        <w:rPr>
          <w:rFonts w:ascii="Verdana" w:hAnsi="Verdana" w:cs="Arial"/>
          <w:color w:val="000000"/>
          <w:sz w:val="21"/>
          <w:szCs w:val="21"/>
        </w:rPr>
      </w:pPr>
    </w:p>
    <w:p w:rsidR="00067512" w:rsidRDefault="00067512"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lastRenderedPageBreak/>
        <w:t>9.     INVENTARIOS</w:t>
      </w:r>
    </w:p>
    <w:tbl>
      <w:tblPr>
        <w:tblStyle w:val="Tablaconcuadrcula"/>
        <w:tblpPr w:leftFromText="141" w:rightFromText="141" w:vertAnchor="page" w:horzAnchor="margin" w:tblpY="19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410"/>
        <w:gridCol w:w="1978"/>
      </w:tblGrid>
      <w:tr w:rsidR="00F865CE" w:rsidTr="00F865CE">
        <w:tc>
          <w:tcPr>
            <w:tcW w:w="4106" w:type="dxa"/>
          </w:tcPr>
          <w:p w:rsidR="00F865CE" w:rsidRDefault="00F865CE" w:rsidP="00F865CE">
            <w:pPr>
              <w:rPr>
                <w:rFonts w:ascii="Verdana" w:hAnsi="Verdana" w:cs="Arial"/>
                <w:sz w:val="21"/>
                <w:szCs w:val="21"/>
              </w:rPr>
            </w:pPr>
          </w:p>
        </w:tc>
        <w:tc>
          <w:tcPr>
            <w:tcW w:w="2410" w:type="dxa"/>
            <w:hideMark/>
          </w:tcPr>
          <w:p w:rsidR="00F865CE" w:rsidRDefault="00F865CE" w:rsidP="00F865CE">
            <w:pPr>
              <w:jc w:val="right"/>
              <w:rPr>
                <w:rFonts w:ascii="Verdana" w:hAnsi="Verdana" w:cs="Arial"/>
                <w:sz w:val="21"/>
                <w:szCs w:val="21"/>
                <w:u w:val="single"/>
              </w:rPr>
            </w:pPr>
            <w:r>
              <w:rPr>
                <w:rFonts w:ascii="Verdana" w:hAnsi="Verdana" w:cs="Arial"/>
                <w:sz w:val="21"/>
                <w:szCs w:val="21"/>
                <w:u w:val="single"/>
              </w:rPr>
              <w:t>2021</w:t>
            </w:r>
          </w:p>
        </w:tc>
        <w:tc>
          <w:tcPr>
            <w:tcW w:w="1978" w:type="dxa"/>
            <w:hideMark/>
          </w:tcPr>
          <w:p w:rsidR="00F865CE" w:rsidRDefault="00F865CE" w:rsidP="00F865CE">
            <w:pPr>
              <w:jc w:val="right"/>
              <w:rPr>
                <w:rFonts w:ascii="Verdana" w:hAnsi="Verdana" w:cs="Arial"/>
                <w:sz w:val="21"/>
                <w:szCs w:val="21"/>
                <w:u w:val="single"/>
              </w:rPr>
            </w:pPr>
            <w:r>
              <w:rPr>
                <w:rFonts w:ascii="Verdana" w:hAnsi="Verdana" w:cs="Arial"/>
                <w:sz w:val="21"/>
                <w:szCs w:val="21"/>
                <w:u w:val="single"/>
              </w:rPr>
              <w:t>2020</w:t>
            </w:r>
          </w:p>
        </w:tc>
      </w:tr>
      <w:tr w:rsidR="00F865CE" w:rsidTr="00F865CE">
        <w:tc>
          <w:tcPr>
            <w:tcW w:w="4106" w:type="dxa"/>
          </w:tcPr>
          <w:p w:rsidR="00F865CE" w:rsidRDefault="00F865CE" w:rsidP="00F865CE">
            <w:pPr>
              <w:rPr>
                <w:rFonts w:ascii="Verdana" w:hAnsi="Verdana" w:cs="Arial"/>
                <w:sz w:val="21"/>
                <w:szCs w:val="21"/>
              </w:rPr>
            </w:pPr>
          </w:p>
        </w:tc>
        <w:tc>
          <w:tcPr>
            <w:tcW w:w="2410" w:type="dxa"/>
          </w:tcPr>
          <w:p w:rsidR="00F865CE" w:rsidRDefault="00F865CE" w:rsidP="00F865CE">
            <w:pPr>
              <w:jc w:val="right"/>
              <w:rPr>
                <w:rFonts w:ascii="Verdana" w:hAnsi="Verdana" w:cs="Arial"/>
                <w:sz w:val="21"/>
                <w:szCs w:val="21"/>
              </w:rPr>
            </w:pPr>
          </w:p>
        </w:tc>
        <w:tc>
          <w:tcPr>
            <w:tcW w:w="1978" w:type="dxa"/>
          </w:tcPr>
          <w:p w:rsidR="00F865CE" w:rsidRDefault="00F865CE" w:rsidP="00F865CE">
            <w:pPr>
              <w:jc w:val="right"/>
              <w:rPr>
                <w:rFonts w:ascii="Verdana" w:hAnsi="Verdana" w:cs="Arial"/>
                <w:sz w:val="21"/>
                <w:szCs w:val="21"/>
              </w:rPr>
            </w:pPr>
          </w:p>
        </w:tc>
      </w:tr>
      <w:tr w:rsidR="00F865CE" w:rsidTr="00F865CE">
        <w:tc>
          <w:tcPr>
            <w:tcW w:w="4106" w:type="dxa"/>
            <w:hideMark/>
          </w:tcPr>
          <w:p w:rsidR="00F865CE" w:rsidRDefault="00F865CE" w:rsidP="00F865CE">
            <w:pPr>
              <w:rPr>
                <w:rFonts w:ascii="Verdana" w:hAnsi="Verdana" w:cs="Arial"/>
                <w:sz w:val="21"/>
                <w:szCs w:val="21"/>
              </w:rPr>
            </w:pPr>
            <w:r>
              <w:rPr>
                <w:rFonts w:ascii="Verdana" w:hAnsi="Verdana" w:cs="Arial"/>
                <w:sz w:val="21"/>
                <w:szCs w:val="21"/>
              </w:rPr>
              <w:t>Mobiliario para eventos</w:t>
            </w:r>
          </w:p>
        </w:tc>
        <w:tc>
          <w:tcPr>
            <w:tcW w:w="2410" w:type="dxa"/>
          </w:tcPr>
          <w:p w:rsidR="00F865CE" w:rsidRDefault="00F865CE" w:rsidP="00F865CE">
            <w:pPr>
              <w:jc w:val="right"/>
              <w:rPr>
                <w:rFonts w:ascii="Verdana" w:hAnsi="Verdana" w:cs="Arial"/>
                <w:sz w:val="21"/>
                <w:szCs w:val="21"/>
              </w:rPr>
            </w:pPr>
          </w:p>
        </w:tc>
        <w:tc>
          <w:tcPr>
            <w:tcW w:w="1978" w:type="dxa"/>
            <w:hideMark/>
          </w:tcPr>
          <w:p w:rsidR="00F865CE" w:rsidRDefault="00F865CE" w:rsidP="00F865CE">
            <w:pPr>
              <w:jc w:val="right"/>
              <w:rPr>
                <w:rFonts w:ascii="Verdana" w:hAnsi="Verdana" w:cs="Arial"/>
                <w:sz w:val="21"/>
                <w:szCs w:val="21"/>
              </w:rPr>
            </w:pPr>
            <w:r>
              <w:rPr>
                <w:rFonts w:ascii="Verdana" w:hAnsi="Verdana" w:cs="Arial"/>
                <w:sz w:val="21"/>
                <w:szCs w:val="21"/>
              </w:rPr>
              <w:t>47,427</w:t>
            </w:r>
          </w:p>
        </w:tc>
      </w:tr>
      <w:tr w:rsidR="00F865CE" w:rsidTr="00F865CE">
        <w:tc>
          <w:tcPr>
            <w:tcW w:w="4106" w:type="dxa"/>
            <w:hideMark/>
          </w:tcPr>
          <w:p w:rsidR="00F865CE" w:rsidRDefault="00F865CE" w:rsidP="00F865CE">
            <w:pPr>
              <w:rPr>
                <w:rFonts w:ascii="Verdana" w:hAnsi="Verdana" w:cs="Arial"/>
                <w:sz w:val="21"/>
                <w:szCs w:val="21"/>
              </w:rPr>
            </w:pPr>
            <w:r>
              <w:rPr>
                <w:rFonts w:ascii="Verdana" w:hAnsi="Verdana" w:cs="Arial"/>
                <w:sz w:val="21"/>
                <w:szCs w:val="21"/>
              </w:rPr>
              <w:t>Eventos en curso</w:t>
            </w:r>
          </w:p>
          <w:p w:rsidR="00F865CE" w:rsidRDefault="00F865CE" w:rsidP="00F865CE">
            <w:pPr>
              <w:rPr>
                <w:rFonts w:ascii="Verdana" w:hAnsi="Verdana" w:cs="Arial"/>
                <w:sz w:val="21"/>
                <w:szCs w:val="21"/>
              </w:rPr>
            </w:pPr>
          </w:p>
          <w:p w:rsidR="00F865CE" w:rsidRDefault="00F865CE" w:rsidP="00F865CE">
            <w:pPr>
              <w:rPr>
                <w:rFonts w:ascii="Verdana" w:hAnsi="Verdana" w:cs="Arial"/>
                <w:sz w:val="21"/>
                <w:szCs w:val="21"/>
              </w:rPr>
            </w:pPr>
            <w:r>
              <w:rPr>
                <w:rFonts w:ascii="Verdana" w:hAnsi="Verdana" w:cs="Arial"/>
                <w:sz w:val="21"/>
                <w:szCs w:val="21"/>
              </w:rPr>
              <w:t>Subtotal</w:t>
            </w:r>
          </w:p>
          <w:p w:rsidR="00F865CE" w:rsidRDefault="00F865CE" w:rsidP="00F865CE">
            <w:pPr>
              <w:rPr>
                <w:rFonts w:ascii="Verdana" w:hAnsi="Verdana" w:cs="Arial"/>
                <w:sz w:val="21"/>
                <w:szCs w:val="21"/>
              </w:rPr>
            </w:pPr>
          </w:p>
        </w:tc>
        <w:tc>
          <w:tcPr>
            <w:tcW w:w="2410" w:type="dxa"/>
          </w:tcPr>
          <w:p w:rsidR="00F865CE" w:rsidRDefault="00F865CE" w:rsidP="00F865CE">
            <w:pPr>
              <w:jc w:val="right"/>
              <w:rPr>
                <w:rFonts w:ascii="Verdana" w:hAnsi="Verdana" w:cs="Arial"/>
                <w:sz w:val="21"/>
                <w:szCs w:val="21"/>
              </w:rPr>
            </w:pPr>
          </w:p>
        </w:tc>
        <w:tc>
          <w:tcPr>
            <w:tcW w:w="1978" w:type="dxa"/>
            <w:hideMark/>
          </w:tcPr>
          <w:p w:rsidR="00F865CE" w:rsidRPr="00067512" w:rsidRDefault="00F865CE" w:rsidP="00F865CE">
            <w:pPr>
              <w:jc w:val="right"/>
              <w:rPr>
                <w:rFonts w:ascii="Verdana" w:hAnsi="Verdana" w:cs="Arial"/>
                <w:sz w:val="21"/>
                <w:szCs w:val="21"/>
                <w:u w:val="single"/>
              </w:rPr>
            </w:pPr>
            <w:r w:rsidRPr="00067512">
              <w:rPr>
                <w:rFonts w:ascii="Verdana" w:hAnsi="Verdana" w:cs="Arial"/>
                <w:sz w:val="21"/>
                <w:szCs w:val="21"/>
                <w:u w:val="single"/>
              </w:rPr>
              <w:t>13,000</w:t>
            </w:r>
          </w:p>
          <w:p w:rsidR="00F865CE" w:rsidRDefault="00F865CE" w:rsidP="00F865CE">
            <w:pPr>
              <w:jc w:val="right"/>
              <w:rPr>
                <w:rFonts w:ascii="Verdana" w:hAnsi="Verdana" w:cs="Arial"/>
                <w:sz w:val="21"/>
                <w:szCs w:val="21"/>
              </w:rPr>
            </w:pPr>
          </w:p>
          <w:p w:rsidR="00F865CE" w:rsidRDefault="00F865CE" w:rsidP="00F865CE">
            <w:pPr>
              <w:jc w:val="right"/>
              <w:rPr>
                <w:rFonts w:ascii="Verdana" w:hAnsi="Verdana" w:cs="Arial"/>
                <w:sz w:val="21"/>
                <w:szCs w:val="21"/>
              </w:rPr>
            </w:pPr>
            <w:r>
              <w:rPr>
                <w:rFonts w:ascii="Verdana" w:hAnsi="Verdana" w:cs="Arial"/>
                <w:sz w:val="21"/>
                <w:szCs w:val="21"/>
              </w:rPr>
              <w:t>60,427</w:t>
            </w:r>
          </w:p>
        </w:tc>
      </w:tr>
      <w:tr w:rsidR="00F865CE" w:rsidTr="00F865CE">
        <w:tc>
          <w:tcPr>
            <w:tcW w:w="4106" w:type="dxa"/>
            <w:hideMark/>
          </w:tcPr>
          <w:p w:rsidR="00F865CE" w:rsidRDefault="00F865CE" w:rsidP="00F865CE">
            <w:pPr>
              <w:rPr>
                <w:rFonts w:ascii="Verdana" w:hAnsi="Verdana" w:cs="Arial"/>
                <w:sz w:val="21"/>
                <w:szCs w:val="21"/>
              </w:rPr>
            </w:pPr>
            <w:r>
              <w:rPr>
                <w:rFonts w:ascii="Verdana" w:hAnsi="Verdana" w:cs="Arial"/>
                <w:sz w:val="21"/>
                <w:szCs w:val="21"/>
              </w:rPr>
              <w:t>Menos, amortización de mobiliario para eventos</w:t>
            </w:r>
          </w:p>
        </w:tc>
        <w:tc>
          <w:tcPr>
            <w:tcW w:w="2410" w:type="dxa"/>
          </w:tcPr>
          <w:p w:rsidR="00F865CE" w:rsidRDefault="00F865CE" w:rsidP="00F865CE">
            <w:pPr>
              <w:jc w:val="right"/>
              <w:rPr>
                <w:rFonts w:ascii="Verdana" w:hAnsi="Verdana" w:cs="Arial"/>
                <w:sz w:val="21"/>
                <w:szCs w:val="21"/>
              </w:rPr>
            </w:pPr>
          </w:p>
        </w:tc>
        <w:tc>
          <w:tcPr>
            <w:tcW w:w="1978" w:type="dxa"/>
            <w:hideMark/>
          </w:tcPr>
          <w:p w:rsidR="00F865CE" w:rsidRDefault="00F865CE" w:rsidP="00F865CE">
            <w:pPr>
              <w:jc w:val="right"/>
              <w:rPr>
                <w:rFonts w:ascii="Verdana" w:hAnsi="Verdana" w:cs="Arial"/>
                <w:sz w:val="21"/>
                <w:szCs w:val="21"/>
                <w:u w:val="single"/>
              </w:rPr>
            </w:pPr>
            <w:r>
              <w:rPr>
                <w:rFonts w:ascii="Verdana" w:hAnsi="Verdana" w:cs="Arial"/>
                <w:sz w:val="21"/>
                <w:szCs w:val="21"/>
                <w:u w:val="single"/>
              </w:rPr>
              <w:t>(15,809)</w:t>
            </w:r>
          </w:p>
        </w:tc>
      </w:tr>
      <w:tr w:rsidR="00F865CE" w:rsidTr="00F865CE">
        <w:tc>
          <w:tcPr>
            <w:tcW w:w="4106" w:type="dxa"/>
          </w:tcPr>
          <w:p w:rsidR="00F865CE" w:rsidRDefault="00F865CE" w:rsidP="00F865CE">
            <w:pPr>
              <w:rPr>
                <w:rFonts w:ascii="Verdana" w:hAnsi="Verdana" w:cs="Arial"/>
                <w:sz w:val="21"/>
                <w:szCs w:val="21"/>
              </w:rPr>
            </w:pPr>
          </w:p>
          <w:p w:rsidR="00F865CE" w:rsidRDefault="00F865CE" w:rsidP="00F865CE">
            <w:pPr>
              <w:rPr>
                <w:rFonts w:ascii="Verdana" w:hAnsi="Verdana" w:cs="Arial"/>
                <w:sz w:val="21"/>
                <w:szCs w:val="21"/>
              </w:rPr>
            </w:pPr>
            <w:r>
              <w:rPr>
                <w:rFonts w:ascii="Verdana" w:hAnsi="Verdana" w:cs="Arial"/>
                <w:sz w:val="21"/>
                <w:szCs w:val="21"/>
              </w:rPr>
              <w:t>Total</w:t>
            </w:r>
          </w:p>
        </w:tc>
        <w:tc>
          <w:tcPr>
            <w:tcW w:w="2410" w:type="dxa"/>
          </w:tcPr>
          <w:p w:rsidR="00F865CE" w:rsidRDefault="00F865CE" w:rsidP="00F865CE">
            <w:pPr>
              <w:jc w:val="right"/>
              <w:rPr>
                <w:rFonts w:ascii="Verdana" w:hAnsi="Verdana" w:cs="Arial"/>
                <w:sz w:val="21"/>
                <w:szCs w:val="21"/>
              </w:rPr>
            </w:pPr>
          </w:p>
          <w:p w:rsidR="00F865CE" w:rsidRDefault="00F865CE" w:rsidP="00F865CE">
            <w:pPr>
              <w:jc w:val="right"/>
              <w:rPr>
                <w:rFonts w:ascii="Verdana" w:hAnsi="Verdana" w:cs="Arial"/>
                <w:sz w:val="21"/>
                <w:szCs w:val="21"/>
                <w:u w:val="single"/>
              </w:rPr>
            </w:pPr>
          </w:p>
        </w:tc>
        <w:tc>
          <w:tcPr>
            <w:tcW w:w="1978" w:type="dxa"/>
          </w:tcPr>
          <w:p w:rsidR="00F865CE" w:rsidRDefault="00F865CE" w:rsidP="00F865CE">
            <w:pPr>
              <w:jc w:val="right"/>
              <w:rPr>
                <w:rFonts w:ascii="Verdana" w:hAnsi="Verdana" w:cs="Arial"/>
                <w:sz w:val="21"/>
                <w:szCs w:val="21"/>
              </w:rPr>
            </w:pPr>
          </w:p>
          <w:p w:rsidR="00F865CE" w:rsidRDefault="00F865CE" w:rsidP="00F865CE">
            <w:pPr>
              <w:jc w:val="right"/>
              <w:rPr>
                <w:rFonts w:ascii="Verdana" w:hAnsi="Verdana" w:cs="Arial"/>
                <w:sz w:val="21"/>
                <w:szCs w:val="21"/>
                <w:u w:val="double"/>
              </w:rPr>
            </w:pPr>
            <w:r>
              <w:rPr>
                <w:rFonts w:ascii="Verdana" w:hAnsi="Verdana" w:cs="Arial"/>
                <w:sz w:val="21"/>
                <w:szCs w:val="21"/>
                <w:u w:val="double"/>
              </w:rPr>
              <w:t>44,618</w:t>
            </w:r>
          </w:p>
        </w:tc>
      </w:tr>
    </w:tbl>
    <w:p w:rsidR="00F865CE" w:rsidRPr="00F865CE" w:rsidRDefault="00F865CE" w:rsidP="00F865CE">
      <w:pPr>
        <w:spacing w:after="160" w:line="259" w:lineRule="auto"/>
        <w:rPr>
          <w:rFonts w:ascii="Verdana" w:hAnsi="Verdana" w:cs="Arial"/>
          <w:color w:val="000000"/>
          <w:sz w:val="21"/>
          <w:szCs w:val="21"/>
        </w:rPr>
      </w:pPr>
    </w:p>
    <w:p w:rsidR="00F865CE" w:rsidRDefault="00F865CE" w:rsidP="00A43559">
      <w:pPr>
        <w:ind w:left="567"/>
        <w:jc w:val="both"/>
        <w:outlineLvl w:val="5"/>
        <w:rPr>
          <w:rFonts w:ascii="Verdana" w:hAnsi="Verdana" w:cs="Arial"/>
          <w:color w:val="000000"/>
          <w:sz w:val="21"/>
          <w:szCs w:val="21"/>
        </w:rPr>
      </w:pPr>
    </w:p>
    <w:p w:rsidR="00067512" w:rsidRDefault="00067512"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10.   PROPIEDADES Y EQUIPOS, NETO</w:t>
      </w:r>
    </w:p>
    <w:p w:rsidR="007D770B" w:rsidRDefault="007D770B" w:rsidP="00A43559">
      <w:pPr>
        <w:ind w:firstLine="708"/>
        <w:rPr>
          <w:rFonts w:ascii="Verdana" w:hAnsi="Verdana" w:cs="Arial"/>
          <w:sz w:val="18"/>
          <w:szCs w:val="18"/>
        </w:rPr>
      </w:pPr>
    </w:p>
    <w:p w:rsidR="007D770B" w:rsidRDefault="007D770B" w:rsidP="007D770B">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4"/>
        <w:gridCol w:w="2552"/>
        <w:gridCol w:w="1978"/>
      </w:tblGrid>
      <w:tr w:rsidR="007D770B" w:rsidTr="007D770B">
        <w:tc>
          <w:tcPr>
            <w:tcW w:w="3964" w:type="dxa"/>
          </w:tcPr>
          <w:p w:rsidR="007D770B" w:rsidRDefault="007D770B">
            <w:pPr>
              <w:rPr>
                <w:rFonts w:ascii="Verdana" w:hAnsi="Verdana" w:cs="Arial"/>
                <w:sz w:val="21"/>
                <w:szCs w:val="21"/>
              </w:rPr>
            </w:pPr>
          </w:p>
        </w:tc>
        <w:tc>
          <w:tcPr>
            <w:tcW w:w="2552" w:type="dxa"/>
            <w:hideMark/>
          </w:tcPr>
          <w:p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1978" w:type="dxa"/>
            <w:hideMark/>
          </w:tcPr>
          <w:p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rsidTr="007D770B">
        <w:tc>
          <w:tcPr>
            <w:tcW w:w="3964" w:type="dxa"/>
          </w:tcPr>
          <w:p w:rsidR="007D770B" w:rsidRDefault="007D770B">
            <w:pPr>
              <w:rPr>
                <w:rFonts w:ascii="Verdana" w:hAnsi="Verdana" w:cs="Arial"/>
                <w:sz w:val="21"/>
                <w:szCs w:val="21"/>
              </w:rPr>
            </w:pPr>
          </w:p>
        </w:tc>
        <w:tc>
          <w:tcPr>
            <w:tcW w:w="2552" w:type="dxa"/>
          </w:tcPr>
          <w:p w:rsidR="007D770B" w:rsidRDefault="007D770B">
            <w:pPr>
              <w:jc w:val="right"/>
              <w:rPr>
                <w:rFonts w:ascii="Verdana" w:hAnsi="Verdana" w:cs="Arial"/>
                <w:sz w:val="21"/>
                <w:szCs w:val="21"/>
              </w:rPr>
            </w:pPr>
          </w:p>
        </w:tc>
        <w:tc>
          <w:tcPr>
            <w:tcW w:w="1978" w:type="dxa"/>
          </w:tcPr>
          <w:p w:rsidR="007D770B" w:rsidRDefault="007D770B">
            <w:pPr>
              <w:jc w:val="right"/>
              <w:rPr>
                <w:rFonts w:ascii="Verdana" w:hAnsi="Verdana" w:cs="Arial"/>
                <w:sz w:val="21"/>
                <w:szCs w:val="21"/>
              </w:rPr>
            </w:pPr>
          </w:p>
        </w:tc>
      </w:tr>
      <w:tr w:rsidR="007D770B" w:rsidTr="007D770B">
        <w:tc>
          <w:tcPr>
            <w:tcW w:w="3964" w:type="dxa"/>
            <w:hideMark/>
          </w:tcPr>
          <w:p w:rsidR="007D770B" w:rsidRDefault="007D770B">
            <w:pPr>
              <w:rPr>
                <w:rFonts w:ascii="Verdana" w:hAnsi="Verdana" w:cs="Arial"/>
                <w:sz w:val="21"/>
                <w:szCs w:val="21"/>
              </w:rPr>
            </w:pPr>
            <w:r>
              <w:rPr>
                <w:rFonts w:ascii="Verdana" w:hAnsi="Verdana" w:cs="Arial"/>
                <w:sz w:val="21"/>
                <w:szCs w:val="21"/>
              </w:rPr>
              <w:t>Muebles y enseres</w:t>
            </w:r>
          </w:p>
        </w:tc>
        <w:tc>
          <w:tcPr>
            <w:tcW w:w="2552" w:type="dxa"/>
          </w:tcPr>
          <w:p w:rsidR="007D770B" w:rsidRDefault="007D770B">
            <w:pPr>
              <w:jc w:val="right"/>
              <w:rPr>
                <w:rFonts w:ascii="Verdana" w:hAnsi="Verdana" w:cs="Arial"/>
                <w:sz w:val="21"/>
                <w:szCs w:val="21"/>
              </w:rPr>
            </w:pPr>
          </w:p>
        </w:tc>
        <w:tc>
          <w:tcPr>
            <w:tcW w:w="1978" w:type="dxa"/>
            <w:hideMark/>
          </w:tcPr>
          <w:p w:rsidR="007D770B" w:rsidRDefault="007D770B">
            <w:pPr>
              <w:jc w:val="right"/>
              <w:rPr>
                <w:rFonts w:ascii="Verdana" w:hAnsi="Verdana" w:cs="Arial"/>
                <w:sz w:val="21"/>
                <w:szCs w:val="21"/>
              </w:rPr>
            </w:pPr>
            <w:r>
              <w:rPr>
                <w:rFonts w:ascii="Verdana" w:hAnsi="Verdana" w:cs="Arial"/>
                <w:sz w:val="21"/>
                <w:szCs w:val="21"/>
              </w:rPr>
              <w:t>51,144</w:t>
            </w:r>
          </w:p>
        </w:tc>
      </w:tr>
      <w:tr w:rsidR="007D770B" w:rsidTr="007D770B">
        <w:tc>
          <w:tcPr>
            <w:tcW w:w="3964" w:type="dxa"/>
            <w:hideMark/>
          </w:tcPr>
          <w:p w:rsidR="007D770B" w:rsidRDefault="007D770B">
            <w:pPr>
              <w:rPr>
                <w:rFonts w:ascii="Verdana" w:hAnsi="Verdana" w:cs="Arial"/>
                <w:sz w:val="21"/>
                <w:szCs w:val="21"/>
              </w:rPr>
            </w:pPr>
            <w:r>
              <w:rPr>
                <w:rFonts w:ascii="Verdana" w:hAnsi="Verdana" w:cs="Arial"/>
                <w:sz w:val="21"/>
                <w:szCs w:val="21"/>
              </w:rPr>
              <w:t>Vehículos</w:t>
            </w:r>
          </w:p>
          <w:p w:rsidR="007D770B" w:rsidRDefault="007D770B">
            <w:pPr>
              <w:rPr>
                <w:rFonts w:ascii="Verdana" w:hAnsi="Verdana" w:cs="Arial"/>
                <w:sz w:val="21"/>
                <w:szCs w:val="21"/>
              </w:rPr>
            </w:pPr>
            <w:r>
              <w:rPr>
                <w:rFonts w:ascii="Verdana" w:hAnsi="Verdana" w:cs="Arial"/>
                <w:sz w:val="21"/>
                <w:szCs w:val="21"/>
              </w:rPr>
              <w:t>Equipos de computación</w:t>
            </w:r>
          </w:p>
          <w:p w:rsidR="007D770B" w:rsidRDefault="007D770B">
            <w:pPr>
              <w:rPr>
                <w:rFonts w:ascii="Verdana" w:hAnsi="Verdana" w:cs="Arial"/>
                <w:sz w:val="21"/>
                <w:szCs w:val="21"/>
              </w:rPr>
            </w:pPr>
            <w:r>
              <w:rPr>
                <w:rFonts w:ascii="Verdana" w:hAnsi="Verdana" w:cs="Arial"/>
                <w:sz w:val="21"/>
                <w:szCs w:val="21"/>
              </w:rPr>
              <w:t>Equipos de proyección</w:t>
            </w:r>
          </w:p>
          <w:p w:rsidR="007D770B" w:rsidRDefault="007D770B">
            <w:pPr>
              <w:rPr>
                <w:rFonts w:ascii="Verdana" w:hAnsi="Verdana" w:cs="Arial"/>
                <w:sz w:val="21"/>
                <w:szCs w:val="21"/>
              </w:rPr>
            </w:pPr>
            <w:r>
              <w:rPr>
                <w:rFonts w:ascii="Verdana" w:hAnsi="Verdana" w:cs="Arial"/>
                <w:sz w:val="21"/>
                <w:szCs w:val="21"/>
              </w:rPr>
              <w:t>Otros, principalmente instalaciones</w:t>
            </w:r>
          </w:p>
          <w:p w:rsidR="007D770B" w:rsidRDefault="007D770B">
            <w:pPr>
              <w:rPr>
                <w:rFonts w:ascii="Verdana" w:hAnsi="Verdana" w:cs="Arial"/>
                <w:sz w:val="21"/>
                <w:szCs w:val="21"/>
              </w:rPr>
            </w:pPr>
          </w:p>
          <w:p w:rsidR="007D770B" w:rsidRDefault="007D770B">
            <w:pPr>
              <w:rPr>
                <w:rFonts w:ascii="Verdana" w:hAnsi="Verdana" w:cs="Arial"/>
                <w:sz w:val="21"/>
                <w:szCs w:val="21"/>
              </w:rPr>
            </w:pPr>
            <w:r>
              <w:rPr>
                <w:rFonts w:ascii="Verdana" w:hAnsi="Verdana" w:cs="Arial"/>
                <w:sz w:val="21"/>
                <w:szCs w:val="21"/>
              </w:rPr>
              <w:t>Subtotal</w:t>
            </w:r>
          </w:p>
          <w:p w:rsidR="007D770B" w:rsidRDefault="007D770B">
            <w:pPr>
              <w:rPr>
                <w:rFonts w:ascii="Verdana" w:hAnsi="Verdana" w:cs="Arial"/>
                <w:sz w:val="21"/>
                <w:szCs w:val="21"/>
              </w:rPr>
            </w:pPr>
          </w:p>
        </w:tc>
        <w:tc>
          <w:tcPr>
            <w:tcW w:w="2552" w:type="dxa"/>
          </w:tcPr>
          <w:p w:rsidR="007D770B" w:rsidRDefault="007D770B">
            <w:pPr>
              <w:jc w:val="right"/>
              <w:rPr>
                <w:rFonts w:ascii="Verdana" w:hAnsi="Verdana" w:cs="Arial"/>
                <w:sz w:val="21"/>
                <w:szCs w:val="21"/>
              </w:rPr>
            </w:pPr>
          </w:p>
        </w:tc>
        <w:tc>
          <w:tcPr>
            <w:tcW w:w="1978" w:type="dxa"/>
            <w:hideMark/>
          </w:tcPr>
          <w:p w:rsidR="007D770B" w:rsidRDefault="007D770B">
            <w:pPr>
              <w:jc w:val="right"/>
              <w:rPr>
                <w:rFonts w:ascii="Verdana" w:hAnsi="Verdana" w:cs="Arial"/>
                <w:sz w:val="21"/>
                <w:szCs w:val="21"/>
              </w:rPr>
            </w:pPr>
            <w:r>
              <w:rPr>
                <w:rFonts w:ascii="Verdana" w:hAnsi="Verdana" w:cs="Arial"/>
                <w:sz w:val="21"/>
                <w:szCs w:val="21"/>
              </w:rPr>
              <w:t>96,428</w:t>
            </w:r>
          </w:p>
          <w:p w:rsidR="007D770B" w:rsidRDefault="007D770B">
            <w:pPr>
              <w:jc w:val="right"/>
              <w:rPr>
                <w:rFonts w:ascii="Verdana" w:hAnsi="Verdana" w:cs="Arial"/>
                <w:sz w:val="21"/>
                <w:szCs w:val="21"/>
              </w:rPr>
            </w:pPr>
            <w:r>
              <w:rPr>
                <w:rFonts w:ascii="Verdana" w:hAnsi="Verdana" w:cs="Arial"/>
                <w:sz w:val="21"/>
                <w:szCs w:val="21"/>
              </w:rPr>
              <w:t>80,376</w:t>
            </w:r>
          </w:p>
          <w:p w:rsidR="007D770B" w:rsidRDefault="007D770B">
            <w:pPr>
              <w:jc w:val="right"/>
              <w:rPr>
                <w:rFonts w:ascii="Verdana" w:hAnsi="Verdana" w:cs="Arial"/>
                <w:sz w:val="21"/>
                <w:szCs w:val="21"/>
              </w:rPr>
            </w:pPr>
            <w:r>
              <w:rPr>
                <w:rFonts w:ascii="Verdana" w:hAnsi="Verdana" w:cs="Arial"/>
                <w:sz w:val="21"/>
                <w:szCs w:val="21"/>
              </w:rPr>
              <w:t>36,914</w:t>
            </w:r>
          </w:p>
          <w:p w:rsidR="007D770B" w:rsidRPr="007D770B" w:rsidRDefault="007D770B">
            <w:pPr>
              <w:jc w:val="right"/>
              <w:rPr>
                <w:rFonts w:ascii="Verdana" w:hAnsi="Verdana" w:cs="Arial"/>
                <w:sz w:val="21"/>
                <w:szCs w:val="21"/>
                <w:u w:val="single"/>
              </w:rPr>
            </w:pPr>
            <w:r w:rsidRPr="007D770B">
              <w:rPr>
                <w:rFonts w:ascii="Verdana" w:hAnsi="Verdana" w:cs="Arial"/>
                <w:sz w:val="21"/>
                <w:szCs w:val="21"/>
                <w:u w:val="single"/>
              </w:rPr>
              <w:t>7,597</w:t>
            </w:r>
          </w:p>
          <w:p w:rsidR="007D770B" w:rsidRDefault="007D770B">
            <w:pPr>
              <w:jc w:val="right"/>
              <w:rPr>
                <w:rFonts w:ascii="Verdana" w:hAnsi="Verdana" w:cs="Arial"/>
                <w:sz w:val="21"/>
                <w:szCs w:val="21"/>
              </w:rPr>
            </w:pPr>
          </w:p>
          <w:p w:rsidR="007D770B" w:rsidRDefault="007D770B">
            <w:pPr>
              <w:jc w:val="right"/>
              <w:rPr>
                <w:rFonts w:ascii="Verdana" w:hAnsi="Verdana" w:cs="Arial"/>
                <w:sz w:val="21"/>
                <w:szCs w:val="21"/>
              </w:rPr>
            </w:pPr>
            <w:r>
              <w:rPr>
                <w:rFonts w:ascii="Verdana" w:hAnsi="Verdana" w:cs="Arial"/>
                <w:sz w:val="21"/>
                <w:szCs w:val="21"/>
              </w:rPr>
              <w:t>272,459</w:t>
            </w:r>
          </w:p>
        </w:tc>
      </w:tr>
      <w:tr w:rsidR="007D770B" w:rsidTr="007D770B">
        <w:tc>
          <w:tcPr>
            <w:tcW w:w="3964" w:type="dxa"/>
            <w:hideMark/>
          </w:tcPr>
          <w:p w:rsidR="007D770B" w:rsidRDefault="007D770B">
            <w:pPr>
              <w:rPr>
                <w:rFonts w:ascii="Verdana" w:hAnsi="Verdana" w:cs="Arial"/>
                <w:sz w:val="21"/>
                <w:szCs w:val="21"/>
              </w:rPr>
            </w:pPr>
            <w:r>
              <w:rPr>
                <w:rFonts w:ascii="Verdana" w:hAnsi="Verdana" w:cs="Arial"/>
                <w:sz w:val="21"/>
                <w:szCs w:val="21"/>
              </w:rPr>
              <w:t>Menos: Depreciación acumulada</w:t>
            </w:r>
          </w:p>
        </w:tc>
        <w:tc>
          <w:tcPr>
            <w:tcW w:w="2552" w:type="dxa"/>
          </w:tcPr>
          <w:p w:rsidR="007D770B" w:rsidRDefault="007D770B">
            <w:pPr>
              <w:jc w:val="right"/>
              <w:rPr>
                <w:rFonts w:ascii="Verdana" w:hAnsi="Verdana" w:cs="Arial"/>
                <w:sz w:val="21"/>
                <w:szCs w:val="21"/>
              </w:rPr>
            </w:pPr>
          </w:p>
        </w:tc>
        <w:tc>
          <w:tcPr>
            <w:tcW w:w="1978" w:type="dxa"/>
            <w:hideMark/>
          </w:tcPr>
          <w:p w:rsidR="007D770B" w:rsidRDefault="007D770B">
            <w:pPr>
              <w:jc w:val="right"/>
              <w:rPr>
                <w:rFonts w:ascii="Verdana" w:hAnsi="Verdana" w:cs="Arial"/>
                <w:sz w:val="21"/>
                <w:szCs w:val="21"/>
                <w:u w:val="single"/>
              </w:rPr>
            </w:pPr>
            <w:r>
              <w:rPr>
                <w:rFonts w:ascii="Verdana" w:hAnsi="Verdana" w:cs="Arial"/>
                <w:sz w:val="21"/>
                <w:szCs w:val="21"/>
                <w:u w:val="single"/>
              </w:rPr>
              <w:t>(171,775)</w:t>
            </w:r>
          </w:p>
        </w:tc>
      </w:tr>
      <w:tr w:rsidR="007D770B" w:rsidTr="007D770B">
        <w:tc>
          <w:tcPr>
            <w:tcW w:w="3964" w:type="dxa"/>
          </w:tcPr>
          <w:p w:rsidR="007D770B" w:rsidRDefault="007D770B">
            <w:pPr>
              <w:rPr>
                <w:rFonts w:ascii="Verdana" w:hAnsi="Verdana" w:cs="Arial"/>
                <w:sz w:val="21"/>
                <w:szCs w:val="21"/>
              </w:rPr>
            </w:pPr>
          </w:p>
          <w:p w:rsidR="007D770B" w:rsidRDefault="007D770B">
            <w:pPr>
              <w:rPr>
                <w:rFonts w:ascii="Verdana" w:hAnsi="Verdana" w:cs="Arial"/>
                <w:sz w:val="21"/>
                <w:szCs w:val="21"/>
              </w:rPr>
            </w:pPr>
            <w:r>
              <w:rPr>
                <w:rFonts w:ascii="Verdana" w:hAnsi="Verdana" w:cs="Arial"/>
                <w:sz w:val="21"/>
                <w:szCs w:val="21"/>
              </w:rPr>
              <w:t>Total</w:t>
            </w:r>
          </w:p>
        </w:tc>
        <w:tc>
          <w:tcPr>
            <w:tcW w:w="2552" w:type="dxa"/>
          </w:tcPr>
          <w:p w:rsidR="007D770B" w:rsidRDefault="007D770B">
            <w:pPr>
              <w:jc w:val="right"/>
              <w:rPr>
                <w:rFonts w:ascii="Verdana" w:hAnsi="Verdana" w:cs="Arial"/>
                <w:sz w:val="21"/>
                <w:szCs w:val="21"/>
              </w:rPr>
            </w:pPr>
          </w:p>
          <w:p w:rsidR="007D770B" w:rsidRDefault="007D770B">
            <w:pPr>
              <w:jc w:val="right"/>
              <w:rPr>
                <w:rFonts w:ascii="Verdana" w:hAnsi="Verdana" w:cs="Arial"/>
                <w:sz w:val="21"/>
                <w:szCs w:val="21"/>
                <w:u w:val="single"/>
              </w:rPr>
            </w:pPr>
          </w:p>
        </w:tc>
        <w:tc>
          <w:tcPr>
            <w:tcW w:w="1978" w:type="dxa"/>
          </w:tcPr>
          <w:p w:rsidR="007D770B" w:rsidRDefault="007D770B">
            <w:pPr>
              <w:jc w:val="right"/>
              <w:rPr>
                <w:rFonts w:ascii="Verdana" w:hAnsi="Verdana" w:cs="Arial"/>
                <w:sz w:val="21"/>
                <w:szCs w:val="21"/>
              </w:rPr>
            </w:pPr>
          </w:p>
          <w:p w:rsidR="007D770B" w:rsidRDefault="007D770B">
            <w:pPr>
              <w:jc w:val="right"/>
              <w:rPr>
                <w:rFonts w:ascii="Verdana" w:hAnsi="Verdana" w:cs="Arial"/>
                <w:sz w:val="21"/>
                <w:szCs w:val="21"/>
                <w:u w:val="double"/>
              </w:rPr>
            </w:pPr>
            <w:r>
              <w:rPr>
                <w:rFonts w:ascii="Verdana" w:hAnsi="Verdana" w:cs="Arial"/>
                <w:sz w:val="21"/>
                <w:szCs w:val="21"/>
                <w:u w:val="double"/>
              </w:rPr>
              <w:t>100,684</w:t>
            </w:r>
          </w:p>
        </w:tc>
      </w:tr>
    </w:tbl>
    <w:p w:rsidR="007D770B" w:rsidRDefault="007D770B" w:rsidP="007D770B">
      <w:pPr>
        <w:rPr>
          <w:rFonts w:ascii="Verdana" w:hAnsi="Verdana" w:cs="Arial"/>
          <w:sz w:val="18"/>
          <w:szCs w:val="18"/>
        </w:rPr>
      </w:pPr>
    </w:p>
    <w:p w:rsidR="007D770B" w:rsidRDefault="007D770B" w:rsidP="007D770B">
      <w:pPr>
        <w:rPr>
          <w:rFonts w:ascii="Verdana" w:hAnsi="Verdana" w:cs="Arial"/>
          <w:sz w:val="18"/>
          <w:szCs w:val="18"/>
        </w:rPr>
      </w:pPr>
    </w:p>
    <w:p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r>
        <w:rPr>
          <w:rFonts w:ascii="Verdana" w:hAnsi="Verdana" w:cs="Arial"/>
          <w:color w:val="000000"/>
          <w:sz w:val="21"/>
          <w:szCs w:val="21"/>
          <w:lang w:val="es-EC"/>
        </w:rPr>
        <w:t>En los años 2020 y 2019 el movimiento de propiedades y equipos fue como se detalla a continuación:</w:t>
      </w:r>
    </w:p>
    <w:p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0"/>
        <w:gridCol w:w="2126"/>
        <w:gridCol w:w="1978"/>
      </w:tblGrid>
      <w:tr w:rsidR="000555DA" w:rsidTr="000555DA">
        <w:tc>
          <w:tcPr>
            <w:tcW w:w="4390" w:type="dxa"/>
          </w:tcPr>
          <w:p w:rsidR="000555DA" w:rsidRDefault="000555DA">
            <w:pPr>
              <w:rPr>
                <w:rFonts w:ascii="Verdana" w:hAnsi="Verdana" w:cs="Arial"/>
                <w:sz w:val="21"/>
                <w:szCs w:val="21"/>
              </w:rPr>
            </w:pPr>
          </w:p>
        </w:tc>
        <w:tc>
          <w:tcPr>
            <w:tcW w:w="2126" w:type="dxa"/>
            <w:hideMark/>
          </w:tcPr>
          <w:p w:rsidR="000555DA" w:rsidRDefault="000555DA">
            <w:pPr>
              <w:jc w:val="right"/>
              <w:rPr>
                <w:rFonts w:ascii="Verdana" w:hAnsi="Verdana" w:cs="Arial"/>
                <w:sz w:val="21"/>
                <w:szCs w:val="21"/>
                <w:u w:val="single"/>
              </w:rPr>
            </w:pPr>
            <w:r>
              <w:rPr>
                <w:rFonts w:ascii="Verdana" w:hAnsi="Verdana" w:cs="Arial"/>
                <w:sz w:val="21"/>
                <w:szCs w:val="21"/>
                <w:u w:val="single"/>
              </w:rPr>
              <w:t>2021</w:t>
            </w:r>
          </w:p>
        </w:tc>
        <w:tc>
          <w:tcPr>
            <w:tcW w:w="1978" w:type="dxa"/>
            <w:hideMark/>
          </w:tcPr>
          <w:p w:rsidR="000555DA" w:rsidRDefault="000555DA">
            <w:pPr>
              <w:jc w:val="right"/>
              <w:rPr>
                <w:rFonts w:ascii="Verdana" w:hAnsi="Verdana" w:cs="Arial"/>
                <w:sz w:val="21"/>
                <w:szCs w:val="21"/>
                <w:u w:val="single"/>
              </w:rPr>
            </w:pPr>
            <w:r>
              <w:rPr>
                <w:rFonts w:ascii="Verdana" w:hAnsi="Verdana" w:cs="Arial"/>
                <w:sz w:val="21"/>
                <w:szCs w:val="21"/>
                <w:u w:val="single"/>
              </w:rPr>
              <w:t>2020</w:t>
            </w:r>
          </w:p>
        </w:tc>
      </w:tr>
      <w:tr w:rsidR="000555DA" w:rsidTr="000555DA">
        <w:tc>
          <w:tcPr>
            <w:tcW w:w="4390" w:type="dxa"/>
          </w:tcPr>
          <w:p w:rsidR="000555DA" w:rsidRDefault="000555DA">
            <w:pPr>
              <w:rPr>
                <w:rFonts w:ascii="Verdana" w:hAnsi="Verdana" w:cs="Arial"/>
                <w:sz w:val="21"/>
                <w:szCs w:val="21"/>
              </w:rPr>
            </w:pPr>
          </w:p>
        </w:tc>
        <w:tc>
          <w:tcPr>
            <w:tcW w:w="2126" w:type="dxa"/>
          </w:tcPr>
          <w:p w:rsidR="000555DA" w:rsidRDefault="000555DA">
            <w:pPr>
              <w:jc w:val="right"/>
              <w:rPr>
                <w:rFonts w:ascii="Verdana" w:hAnsi="Verdana" w:cs="Arial"/>
                <w:sz w:val="21"/>
                <w:szCs w:val="21"/>
              </w:rPr>
            </w:pPr>
          </w:p>
        </w:tc>
        <w:tc>
          <w:tcPr>
            <w:tcW w:w="1978" w:type="dxa"/>
          </w:tcPr>
          <w:p w:rsidR="000555DA" w:rsidRDefault="000555DA">
            <w:pPr>
              <w:jc w:val="right"/>
              <w:rPr>
                <w:rFonts w:ascii="Verdana" w:hAnsi="Verdana" w:cs="Arial"/>
                <w:sz w:val="21"/>
                <w:szCs w:val="21"/>
              </w:rPr>
            </w:pPr>
          </w:p>
        </w:tc>
      </w:tr>
      <w:tr w:rsidR="000555DA" w:rsidTr="000555DA">
        <w:tc>
          <w:tcPr>
            <w:tcW w:w="4390" w:type="dxa"/>
            <w:hideMark/>
          </w:tcPr>
          <w:p w:rsidR="000555DA" w:rsidRDefault="000555DA">
            <w:pPr>
              <w:rPr>
                <w:rFonts w:ascii="Verdana" w:hAnsi="Verdana" w:cs="Arial"/>
                <w:sz w:val="21"/>
                <w:szCs w:val="21"/>
              </w:rPr>
            </w:pPr>
            <w:r>
              <w:rPr>
                <w:rFonts w:ascii="Verdana" w:hAnsi="Verdana" w:cs="Arial"/>
                <w:sz w:val="21"/>
                <w:szCs w:val="21"/>
              </w:rPr>
              <w:t>Saldo inicial</w:t>
            </w:r>
          </w:p>
          <w:p w:rsidR="000555DA" w:rsidRDefault="000555DA">
            <w:pPr>
              <w:rPr>
                <w:rFonts w:ascii="Verdana" w:hAnsi="Verdana" w:cs="Arial"/>
                <w:sz w:val="21"/>
                <w:szCs w:val="21"/>
              </w:rPr>
            </w:pPr>
          </w:p>
        </w:tc>
        <w:tc>
          <w:tcPr>
            <w:tcW w:w="2126" w:type="dxa"/>
          </w:tcPr>
          <w:p w:rsidR="000555DA" w:rsidRDefault="000555DA">
            <w:pPr>
              <w:jc w:val="right"/>
              <w:rPr>
                <w:rFonts w:ascii="Verdana" w:hAnsi="Verdana" w:cs="Arial"/>
                <w:sz w:val="21"/>
                <w:szCs w:val="21"/>
              </w:rPr>
            </w:pPr>
          </w:p>
        </w:tc>
        <w:tc>
          <w:tcPr>
            <w:tcW w:w="1978" w:type="dxa"/>
            <w:hideMark/>
          </w:tcPr>
          <w:p w:rsidR="000555DA" w:rsidRDefault="000555DA">
            <w:pPr>
              <w:jc w:val="right"/>
              <w:rPr>
                <w:rFonts w:ascii="Verdana" w:hAnsi="Verdana" w:cs="Arial"/>
                <w:sz w:val="21"/>
                <w:szCs w:val="21"/>
              </w:rPr>
            </w:pPr>
            <w:r>
              <w:rPr>
                <w:rFonts w:ascii="Verdana" w:hAnsi="Verdana" w:cs="Arial"/>
                <w:sz w:val="21"/>
                <w:szCs w:val="21"/>
              </w:rPr>
              <w:t>40,554</w:t>
            </w:r>
          </w:p>
        </w:tc>
      </w:tr>
      <w:tr w:rsidR="000555DA" w:rsidTr="000555DA">
        <w:tc>
          <w:tcPr>
            <w:tcW w:w="4390" w:type="dxa"/>
            <w:hideMark/>
          </w:tcPr>
          <w:p w:rsidR="000555DA" w:rsidRDefault="000555DA">
            <w:pPr>
              <w:rPr>
                <w:rFonts w:ascii="Verdana" w:hAnsi="Verdana" w:cs="Arial"/>
                <w:sz w:val="21"/>
                <w:szCs w:val="21"/>
              </w:rPr>
            </w:pPr>
            <w:r>
              <w:rPr>
                <w:rFonts w:ascii="Verdana" w:hAnsi="Verdana" w:cs="Arial"/>
                <w:sz w:val="21"/>
                <w:szCs w:val="21"/>
              </w:rPr>
              <w:t>Más: Adiciones, equipos de proyección</w:t>
            </w:r>
          </w:p>
        </w:tc>
        <w:tc>
          <w:tcPr>
            <w:tcW w:w="2126" w:type="dxa"/>
          </w:tcPr>
          <w:p w:rsidR="000555DA" w:rsidRDefault="000555DA">
            <w:pPr>
              <w:jc w:val="right"/>
              <w:rPr>
                <w:rFonts w:ascii="Verdana" w:hAnsi="Verdana" w:cs="Arial"/>
                <w:sz w:val="21"/>
                <w:szCs w:val="21"/>
              </w:rPr>
            </w:pPr>
          </w:p>
        </w:tc>
        <w:tc>
          <w:tcPr>
            <w:tcW w:w="1978" w:type="dxa"/>
            <w:hideMark/>
          </w:tcPr>
          <w:p w:rsidR="000555DA" w:rsidRDefault="000555DA">
            <w:pPr>
              <w:jc w:val="right"/>
              <w:rPr>
                <w:rFonts w:ascii="Verdana" w:hAnsi="Verdana" w:cs="Arial"/>
                <w:sz w:val="21"/>
                <w:szCs w:val="21"/>
              </w:rPr>
            </w:pPr>
            <w:r>
              <w:rPr>
                <w:rFonts w:ascii="Verdana" w:hAnsi="Verdana" w:cs="Arial"/>
                <w:sz w:val="21"/>
                <w:szCs w:val="21"/>
              </w:rPr>
              <w:t>36,914</w:t>
            </w:r>
          </w:p>
        </w:tc>
      </w:tr>
      <w:tr w:rsidR="000555DA" w:rsidTr="000555DA">
        <w:tc>
          <w:tcPr>
            <w:tcW w:w="4390" w:type="dxa"/>
            <w:hideMark/>
          </w:tcPr>
          <w:p w:rsidR="000555DA" w:rsidRDefault="000555DA">
            <w:pPr>
              <w:rPr>
                <w:rFonts w:ascii="Verdana" w:hAnsi="Verdana" w:cs="Arial"/>
                <w:sz w:val="21"/>
                <w:szCs w:val="21"/>
              </w:rPr>
            </w:pPr>
            <w:r>
              <w:rPr>
                <w:rFonts w:ascii="Verdana" w:hAnsi="Verdana" w:cs="Arial"/>
                <w:sz w:val="21"/>
                <w:szCs w:val="21"/>
              </w:rPr>
              <w:t>Revalorización, neto (Nota 4)</w:t>
            </w:r>
          </w:p>
          <w:p w:rsidR="000555DA" w:rsidRDefault="000555DA">
            <w:pPr>
              <w:rPr>
                <w:rFonts w:ascii="Verdana" w:hAnsi="Verdana" w:cs="Arial"/>
                <w:sz w:val="21"/>
                <w:szCs w:val="21"/>
              </w:rPr>
            </w:pPr>
            <w:r>
              <w:rPr>
                <w:rFonts w:ascii="Verdana" w:hAnsi="Verdana" w:cs="Arial"/>
                <w:sz w:val="21"/>
                <w:szCs w:val="21"/>
              </w:rPr>
              <w:t>Cargo anual de depreciación</w:t>
            </w:r>
          </w:p>
        </w:tc>
        <w:tc>
          <w:tcPr>
            <w:tcW w:w="2126" w:type="dxa"/>
          </w:tcPr>
          <w:p w:rsidR="000555DA" w:rsidRDefault="000555DA">
            <w:pPr>
              <w:jc w:val="right"/>
              <w:rPr>
                <w:rFonts w:ascii="Verdana" w:hAnsi="Verdana" w:cs="Arial"/>
                <w:sz w:val="21"/>
                <w:szCs w:val="21"/>
              </w:rPr>
            </w:pPr>
          </w:p>
        </w:tc>
        <w:tc>
          <w:tcPr>
            <w:tcW w:w="1978" w:type="dxa"/>
            <w:hideMark/>
          </w:tcPr>
          <w:p w:rsidR="000555DA" w:rsidRDefault="000555DA">
            <w:pPr>
              <w:jc w:val="right"/>
              <w:rPr>
                <w:rFonts w:ascii="Verdana" w:hAnsi="Verdana" w:cs="Arial"/>
                <w:sz w:val="21"/>
                <w:szCs w:val="21"/>
              </w:rPr>
            </w:pPr>
            <w:r w:rsidRPr="000555DA">
              <w:rPr>
                <w:rFonts w:ascii="Verdana" w:hAnsi="Verdana" w:cs="Arial"/>
                <w:sz w:val="21"/>
                <w:szCs w:val="21"/>
              </w:rPr>
              <w:t>38,681</w:t>
            </w:r>
          </w:p>
          <w:p w:rsidR="000555DA" w:rsidRPr="000555DA" w:rsidRDefault="000555DA" w:rsidP="000555DA">
            <w:pPr>
              <w:jc w:val="right"/>
              <w:rPr>
                <w:rFonts w:ascii="Verdana" w:hAnsi="Verdana" w:cs="Arial"/>
                <w:sz w:val="21"/>
                <w:szCs w:val="21"/>
                <w:u w:val="single"/>
              </w:rPr>
            </w:pPr>
            <w:r w:rsidRPr="000555DA">
              <w:rPr>
                <w:rFonts w:ascii="Verdana" w:hAnsi="Verdana" w:cs="Arial"/>
                <w:sz w:val="21"/>
                <w:szCs w:val="21"/>
                <w:u w:val="single"/>
              </w:rPr>
              <w:t>(15,465)</w:t>
            </w:r>
          </w:p>
        </w:tc>
      </w:tr>
      <w:tr w:rsidR="000555DA" w:rsidTr="000555DA">
        <w:tc>
          <w:tcPr>
            <w:tcW w:w="4390" w:type="dxa"/>
          </w:tcPr>
          <w:p w:rsidR="000555DA" w:rsidRDefault="000555DA">
            <w:pPr>
              <w:rPr>
                <w:rFonts w:ascii="Verdana" w:hAnsi="Verdana" w:cs="Arial"/>
                <w:sz w:val="21"/>
                <w:szCs w:val="21"/>
              </w:rPr>
            </w:pPr>
          </w:p>
          <w:p w:rsidR="000555DA" w:rsidRDefault="000555DA">
            <w:pPr>
              <w:rPr>
                <w:rFonts w:ascii="Verdana" w:hAnsi="Verdana" w:cs="Arial"/>
                <w:sz w:val="21"/>
                <w:szCs w:val="21"/>
              </w:rPr>
            </w:pPr>
            <w:r>
              <w:rPr>
                <w:rFonts w:ascii="Verdana" w:hAnsi="Verdana" w:cs="Arial"/>
                <w:sz w:val="21"/>
                <w:szCs w:val="21"/>
              </w:rPr>
              <w:t>Saldo final</w:t>
            </w:r>
          </w:p>
        </w:tc>
        <w:tc>
          <w:tcPr>
            <w:tcW w:w="2126" w:type="dxa"/>
          </w:tcPr>
          <w:p w:rsidR="000555DA" w:rsidRDefault="000555DA">
            <w:pPr>
              <w:jc w:val="right"/>
              <w:rPr>
                <w:rFonts w:ascii="Verdana" w:hAnsi="Verdana" w:cs="Arial"/>
                <w:sz w:val="21"/>
                <w:szCs w:val="21"/>
              </w:rPr>
            </w:pPr>
          </w:p>
          <w:p w:rsidR="000555DA" w:rsidRDefault="000555DA">
            <w:pPr>
              <w:jc w:val="right"/>
              <w:rPr>
                <w:rFonts w:ascii="Verdana" w:hAnsi="Verdana" w:cs="Arial"/>
                <w:sz w:val="21"/>
                <w:szCs w:val="21"/>
                <w:u w:val="single"/>
              </w:rPr>
            </w:pPr>
          </w:p>
        </w:tc>
        <w:tc>
          <w:tcPr>
            <w:tcW w:w="1978" w:type="dxa"/>
          </w:tcPr>
          <w:p w:rsidR="000555DA" w:rsidRDefault="000555DA">
            <w:pPr>
              <w:jc w:val="right"/>
              <w:rPr>
                <w:rFonts w:ascii="Verdana" w:hAnsi="Verdana" w:cs="Arial"/>
                <w:sz w:val="21"/>
                <w:szCs w:val="21"/>
              </w:rPr>
            </w:pPr>
          </w:p>
          <w:p w:rsidR="000555DA" w:rsidRDefault="000555DA">
            <w:pPr>
              <w:jc w:val="right"/>
              <w:rPr>
                <w:rFonts w:ascii="Verdana" w:hAnsi="Verdana" w:cs="Arial"/>
                <w:sz w:val="21"/>
                <w:szCs w:val="21"/>
                <w:u w:val="double"/>
              </w:rPr>
            </w:pPr>
            <w:r>
              <w:rPr>
                <w:rFonts w:ascii="Verdana" w:hAnsi="Verdana" w:cs="Arial"/>
                <w:sz w:val="21"/>
                <w:szCs w:val="21"/>
                <w:u w:val="double"/>
              </w:rPr>
              <w:t>100,684</w:t>
            </w:r>
          </w:p>
        </w:tc>
      </w:tr>
    </w:tbl>
    <w:p w:rsidR="000555DA" w:rsidRDefault="000555DA" w:rsidP="000555DA">
      <w:pPr>
        <w:rPr>
          <w:rFonts w:ascii="Verdana" w:hAnsi="Verdana" w:cs="Arial"/>
          <w:sz w:val="18"/>
          <w:szCs w:val="18"/>
        </w:rPr>
      </w:pPr>
    </w:p>
    <w:p w:rsidR="000555DA" w:rsidRDefault="000555DA" w:rsidP="000555DA">
      <w:pPr>
        <w:rPr>
          <w:rFonts w:ascii="Verdana" w:hAnsi="Verdana" w:cs="Arial"/>
          <w:sz w:val="18"/>
          <w:szCs w:val="18"/>
        </w:rPr>
      </w:pPr>
    </w:p>
    <w:p w:rsidR="000555DA" w:rsidRDefault="000555DA" w:rsidP="000555DA">
      <w:pPr>
        <w:tabs>
          <w:tab w:val="center" w:pos="6960"/>
          <w:tab w:val="center" w:pos="8400"/>
        </w:tabs>
        <w:ind w:left="567"/>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 y, automóviles con un valor en libros de US$41,990 se encuentran en asignados en garantía de línea de crédito industrial-vehículos.</w:t>
      </w:r>
    </w:p>
    <w:p w:rsidR="000555DA" w:rsidRDefault="000555DA" w:rsidP="000555DA">
      <w:pPr>
        <w:tabs>
          <w:tab w:val="center" w:pos="6960"/>
          <w:tab w:val="center" w:pos="8400"/>
        </w:tabs>
        <w:jc w:val="both"/>
        <w:rPr>
          <w:rFonts w:ascii="Verdana" w:hAnsi="Verdana" w:cs="Arial"/>
          <w:color w:val="000000"/>
          <w:sz w:val="18"/>
          <w:szCs w:val="18"/>
          <w:lang w:val="es-EC"/>
        </w:rPr>
      </w:pPr>
    </w:p>
    <w:p w:rsidR="000555DA" w:rsidRDefault="000555DA" w:rsidP="000555DA">
      <w:pPr>
        <w:tabs>
          <w:tab w:val="num" w:pos="567"/>
        </w:tabs>
        <w:jc w:val="both"/>
        <w:rPr>
          <w:rFonts w:ascii="Verdana" w:hAnsi="Verdana" w:cs="Arial"/>
          <w:b/>
          <w:color w:val="000000"/>
          <w:sz w:val="21"/>
          <w:szCs w:val="21"/>
        </w:rPr>
      </w:pPr>
      <w:r>
        <w:rPr>
          <w:rFonts w:ascii="Verdana" w:hAnsi="Verdana" w:cs="Arial"/>
          <w:b/>
          <w:color w:val="000000"/>
          <w:sz w:val="21"/>
          <w:szCs w:val="21"/>
        </w:rPr>
        <w:t>11.</w:t>
      </w:r>
      <w:r>
        <w:rPr>
          <w:rFonts w:ascii="Verdana" w:hAnsi="Verdana" w:cs="Arial"/>
          <w:b/>
          <w:color w:val="000000"/>
          <w:sz w:val="21"/>
          <w:szCs w:val="21"/>
        </w:rPr>
        <w:tab/>
        <w:t>CUENTAS POR PAGAR A TERCEROS</w:t>
      </w:r>
    </w:p>
    <w:p w:rsidR="000E44C7" w:rsidRDefault="000E44C7">
      <w:pPr>
        <w:spacing w:after="160" w:line="259" w:lineRule="auto"/>
        <w:rPr>
          <w:rFonts w:ascii="Verdana" w:hAnsi="Verdana" w:cs="Arial"/>
          <w:color w:val="000000"/>
          <w:sz w:val="21"/>
          <w:szCs w:val="21"/>
          <w:lang w:val="es-EC"/>
        </w:rPr>
      </w:pPr>
      <w:r>
        <w:rPr>
          <w:rFonts w:ascii="Verdana" w:hAnsi="Verdana" w:cs="Arial"/>
          <w:color w:val="000000"/>
          <w:sz w:val="21"/>
          <w:szCs w:val="21"/>
          <w:lang w:val="es-EC"/>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552"/>
        <w:gridCol w:w="1836"/>
      </w:tblGrid>
      <w:tr w:rsidR="000E44C7" w:rsidTr="000E44C7">
        <w:tc>
          <w:tcPr>
            <w:tcW w:w="4106" w:type="dxa"/>
          </w:tcPr>
          <w:p w:rsidR="000E44C7" w:rsidRDefault="000E44C7">
            <w:pPr>
              <w:rPr>
                <w:rFonts w:ascii="Verdana" w:hAnsi="Verdana" w:cs="Arial"/>
                <w:sz w:val="21"/>
                <w:szCs w:val="21"/>
              </w:rPr>
            </w:pPr>
          </w:p>
        </w:tc>
        <w:tc>
          <w:tcPr>
            <w:tcW w:w="2552" w:type="dxa"/>
            <w:hideMark/>
          </w:tcPr>
          <w:p w:rsidR="000E44C7" w:rsidRDefault="000E44C7">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0E44C7" w:rsidRDefault="000E44C7">
            <w:pPr>
              <w:jc w:val="right"/>
              <w:rPr>
                <w:rFonts w:ascii="Verdana" w:hAnsi="Verdana" w:cs="Arial"/>
                <w:sz w:val="21"/>
                <w:szCs w:val="21"/>
                <w:u w:val="single"/>
              </w:rPr>
            </w:pPr>
            <w:r>
              <w:rPr>
                <w:rFonts w:ascii="Verdana" w:hAnsi="Verdana" w:cs="Arial"/>
                <w:sz w:val="21"/>
                <w:szCs w:val="21"/>
                <w:u w:val="single"/>
              </w:rPr>
              <w:t>2020</w:t>
            </w:r>
          </w:p>
        </w:tc>
      </w:tr>
      <w:tr w:rsidR="000E44C7" w:rsidTr="000E44C7">
        <w:tc>
          <w:tcPr>
            <w:tcW w:w="4106" w:type="dxa"/>
          </w:tcPr>
          <w:p w:rsidR="000E44C7" w:rsidRDefault="000E44C7">
            <w:pPr>
              <w:rPr>
                <w:rFonts w:ascii="Verdana" w:hAnsi="Verdana" w:cs="Arial"/>
                <w:sz w:val="21"/>
                <w:szCs w:val="21"/>
              </w:rPr>
            </w:pPr>
          </w:p>
        </w:tc>
        <w:tc>
          <w:tcPr>
            <w:tcW w:w="2552" w:type="dxa"/>
          </w:tcPr>
          <w:p w:rsidR="000E44C7" w:rsidRDefault="000E44C7">
            <w:pPr>
              <w:jc w:val="right"/>
              <w:rPr>
                <w:rFonts w:ascii="Verdana" w:hAnsi="Verdana" w:cs="Arial"/>
                <w:sz w:val="21"/>
                <w:szCs w:val="21"/>
              </w:rPr>
            </w:pPr>
          </w:p>
        </w:tc>
        <w:tc>
          <w:tcPr>
            <w:tcW w:w="1836" w:type="dxa"/>
          </w:tcPr>
          <w:p w:rsidR="000E44C7" w:rsidRDefault="000E44C7">
            <w:pPr>
              <w:jc w:val="right"/>
              <w:rPr>
                <w:rFonts w:ascii="Verdana" w:hAnsi="Verdana" w:cs="Arial"/>
                <w:sz w:val="21"/>
                <w:szCs w:val="21"/>
              </w:rPr>
            </w:pPr>
          </w:p>
        </w:tc>
      </w:tr>
      <w:tr w:rsidR="000E44C7" w:rsidTr="000E44C7">
        <w:tc>
          <w:tcPr>
            <w:tcW w:w="4106" w:type="dxa"/>
            <w:hideMark/>
          </w:tcPr>
          <w:p w:rsidR="000E44C7" w:rsidRDefault="000E44C7">
            <w:pPr>
              <w:rPr>
                <w:rFonts w:ascii="Verdana" w:hAnsi="Verdana" w:cs="Arial"/>
                <w:sz w:val="21"/>
                <w:szCs w:val="21"/>
              </w:rPr>
            </w:pPr>
            <w:r>
              <w:rPr>
                <w:rFonts w:ascii="Verdana" w:hAnsi="Verdana" w:cs="Arial"/>
                <w:sz w:val="21"/>
                <w:szCs w:val="21"/>
              </w:rPr>
              <w:t>Proveedores</w:t>
            </w:r>
          </w:p>
        </w:tc>
        <w:tc>
          <w:tcPr>
            <w:tcW w:w="2552" w:type="dxa"/>
          </w:tcPr>
          <w:p w:rsidR="000E44C7" w:rsidRDefault="000E44C7">
            <w:pPr>
              <w:jc w:val="right"/>
              <w:rPr>
                <w:rFonts w:ascii="Verdana" w:hAnsi="Verdana" w:cs="Arial"/>
                <w:sz w:val="21"/>
                <w:szCs w:val="21"/>
              </w:rPr>
            </w:pPr>
          </w:p>
        </w:tc>
        <w:tc>
          <w:tcPr>
            <w:tcW w:w="1836" w:type="dxa"/>
            <w:hideMark/>
          </w:tcPr>
          <w:p w:rsidR="000E44C7" w:rsidRDefault="000E44C7">
            <w:pPr>
              <w:jc w:val="right"/>
              <w:rPr>
                <w:rFonts w:ascii="Verdana" w:hAnsi="Verdana" w:cs="Arial"/>
                <w:sz w:val="21"/>
                <w:szCs w:val="21"/>
              </w:rPr>
            </w:pPr>
            <w:r>
              <w:rPr>
                <w:rFonts w:ascii="Verdana" w:hAnsi="Verdana" w:cs="Arial"/>
                <w:sz w:val="21"/>
                <w:szCs w:val="21"/>
              </w:rPr>
              <w:t>16,805</w:t>
            </w:r>
          </w:p>
        </w:tc>
      </w:tr>
      <w:tr w:rsidR="000E44C7" w:rsidTr="000E44C7">
        <w:tc>
          <w:tcPr>
            <w:tcW w:w="4106" w:type="dxa"/>
            <w:hideMark/>
          </w:tcPr>
          <w:p w:rsidR="000E44C7" w:rsidRDefault="000E44C7">
            <w:pPr>
              <w:rPr>
                <w:rFonts w:ascii="Verdana" w:hAnsi="Verdana" w:cs="Arial"/>
                <w:sz w:val="21"/>
                <w:szCs w:val="21"/>
              </w:rPr>
            </w:pPr>
            <w:r>
              <w:rPr>
                <w:rFonts w:ascii="Verdana" w:hAnsi="Verdana" w:cs="Arial"/>
                <w:sz w:val="21"/>
                <w:szCs w:val="21"/>
              </w:rPr>
              <w:t>Obligaciones con tarjetas de crédito corporativas</w:t>
            </w:r>
          </w:p>
        </w:tc>
        <w:tc>
          <w:tcPr>
            <w:tcW w:w="2552" w:type="dxa"/>
          </w:tcPr>
          <w:p w:rsidR="000E44C7" w:rsidRDefault="000E44C7">
            <w:pPr>
              <w:jc w:val="right"/>
              <w:rPr>
                <w:rFonts w:ascii="Verdana" w:hAnsi="Verdana" w:cs="Arial"/>
                <w:sz w:val="21"/>
                <w:szCs w:val="21"/>
              </w:rPr>
            </w:pPr>
          </w:p>
        </w:tc>
        <w:tc>
          <w:tcPr>
            <w:tcW w:w="1836" w:type="dxa"/>
            <w:hideMark/>
          </w:tcPr>
          <w:p w:rsidR="000E44C7" w:rsidRDefault="000E44C7">
            <w:pPr>
              <w:jc w:val="right"/>
              <w:rPr>
                <w:rFonts w:ascii="Verdana" w:hAnsi="Verdana" w:cs="Arial"/>
                <w:sz w:val="21"/>
                <w:szCs w:val="21"/>
              </w:rPr>
            </w:pPr>
            <w:r>
              <w:rPr>
                <w:rFonts w:ascii="Verdana" w:hAnsi="Verdana" w:cs="Arial"/>
                <w:sz w:val="21"/>
                <w:szCs w:val="21"/>
              </w:rPr>
              <w:t>9,368</w:t>
            </w:r>
          </w:p>
        </w:tc>
      </w:tr>
      <w:tr w:rsidR="000E44C7" w:rsidTr="000E44C7">
        <w:tc>
          <w:tcPr>
            <w:tcW w:w="4106" w:type="dxa"/>
            <w:hideMark/>
          </w:tcPr>
          <w:p w:rsidR="000E44C7" w:rsidRDefault="000E44C7">
            <w:pPr>
              <w:rPr>
                <w:rFonts w:ascii="Verdana" w:hAnsi="Verdana" w:cs="Arial"/>
                <w:sz w:val="21"/>
                <w:szCs w:val="21"/>
              </w:rPr>
            </w:pPr>
            <w:r>
              <w:rPr>
                <w:rFonts w:ascii="Verdana" w:hAnsi="Verdana" w:cs="Arial"/>
                <w:sz w:val="21"/>
                <w:szCs w:val="21"/>
              </w:rPr>
              <w:t>Otras cuentas por pagar</w:t>
            </w:r>
          </w:p>
        </w:tc>
        <w:tc>
          <w:tcPr>
            <w:tcW w:w="2552" w:type="dxa"/>
          </w:tcPr>
          <w:p w:rsidR="000E44C7" w:rsidRDefault="000E44C7">
            <w:pPr>
              <w:jc w:val="right"/>
              <w:rPr>
                <w:rFonts w:ascii="Verdana" w:hAnsi="Verdana" w:cs="Arial"/>
                <w:sz w:val="21"/>
                <w:szCs w:val="21"/>
              </w:rPr>
            </w:pPr>
          </w:p>
        </w:tc>
        <w:tc>
          <w:tcPr>
            <w:tcW w:w="1836" w:type="dxa"/>
            <w:hideMark/>
          </w:tcPr>
          <w:p w:rsidR="000E44C7" w:rsidRDefault="000E44C7">
            <w:pPr>
              <w:jc w:val="right"/>
              <w:rPr>
                <w:rFonts w:ascii="Verdana" w:hAnsi="Verdana" w:cs="Arial"/>
                <w:sz w:val="21"/>
                <w:szCs w:val="21"/>
                <w:u w:val="single"/>
              </w:rPr>
            </w:pPr>
            <w:r>
              <w:rPr>
                <w:rFonts w:ascii="Verdana" w:hAnsi="Verdana" w:cs="Arial"/>
                <w:sz w:val="21"/>
                <w:szCs w:val="21"/>
                <w:u w:val="single"/>
              </w:rPr>
              <w:t>0</w:t>
            </w:r>
          </w:p>
        </w:tc>
      </w:tr>
      <w:tr w:rsidR="000E44C7" w:rsidTr="000E44C7">
        <w:tc>
          <w:tcPr>
            <w:tcW w:w="4106" w:type="dxa"/>
          </w:tcPr>
          <w:p w:rsidR="000E44C7" w:rsidRDefault="000E44C7">
            <w:pPr>
              <w:rPr>
                <w:rFonts w:ascii="Verdana" w:hAnsi="Verdana" w:cs="Arial"/>
                <w:sz w:val="21"/>
                <w:szCs w:val="21"/>
              </w:rPr>
            </w:pPr>
          </w:p>
          <w:p w:rsidR="000E44C7" w:rsidRDefault="000E44C7">
            <w:pPr>
              <w:rPr>
                <w:rFonts w:ascii="Verdana" w:hAnsi="Verdana" w:cs="Arial"/>
                <w:sz w:val="21"/>
                <w:szCs w:val="21"/>
              </w:rPr>
            </w:pPr>
            <w:r>
              <w:rPr>
                <w:rFonts w:ascii="Verdana" w:hAnsi="Verdana" w:cs="Arial"/>
                <w:sz w:val="21"/>
                <w:szCs w:val="21"/>
              </w:rPr>
              <w:t>Total</w:t>
            </w:r>
          </w:p>
        </w:tc>
        <w:tc>
          <w:tcPr>
            <w:tcW w:w="2552" w:type="dxa"/>
          </w:tcPr>
          <w:p w:rsidR="000E44C7" w:rsidRDefault="000E44C7">
            <w:pPr>
              <w:jc w:val="right"/>
              <w:rPr>
                <w:rFonts w:ascii="Verdana" w:hAnsi="Verdana" w:cs="Arial"/>
                <w:sz w:val="21"/>
                <w:szCs w:val="21"/>
              </w:rPr>
            </w:pPr>
          </w:p>
          <w:p w:rsidR="000E44C7" w:rsidRDefault="000E44C7">
            <w:pPr>
              <w:jc w:val="right"/>
              <w:rPr>
                <w:rFonts w:ascii="Verdana" w:hAnsi="Verdana" w:cs="Arial"/>
                <w:sz w:val="21"/>
                <w:szCs w:val="21"/>
                <w:u w:val="single"/>
              </w:rPr>
            </w:pPr>
          </w:p>
        </w:tc>
        <w:tc>
          <w:tcPr>
            <w:tcW w:w="1836" w:type="dxa"/>
          </w:tcPr>
          <w:p w:rsidR="000E44C7" w:rsidRDefault="000E44C7">
            <w:pPr>
              <w:jc w:val="right"/>
              <w:rPr>
                <w:rFonts w:ascii="Verdana" w:hAnsi="Verdana" w:cs="Arial"/>
                <w:sz w:val="21"/>
                <w:szCs w:val="21"/>
              </w:rPr>
            </w:pPr>
          </w:p>
          <w:p w:rsidR="000E44C7" w:rsidRDefault="000E44C7">
            <w:pPr>
              <w:jc w:val="right"/>
              <w:rPr>
                <w:rFonts w:ascii="Verdana" w:hAnsi="Verdana" w:cs="Arial"/>
                <w:sz w:val="21"/>
                <w:szCs w:val="21"/>
                <w:u w:val="double"/>
              </w:rPr>
            </w:pPr>
            <w:r>
              <w:rPr>
                <w:rFonts w:ascii="Verdana" w:hAnsi="Verdana" w:cs="Arial"/>
                <w:sz w:val="21"/>
                <w:szCs w:val="21"/>
                <w:u w:val="double"/>
              </w:rPr>
              <w:t>26,173</w:t>
            </w:r>
          </w:p>
        </w:tc>
      </w:tr>
    </w:tbl>
    <w:p w:rsidR="000E44C7" w:rsidRDefault="000E44C7" w:rsidP="000E44C7">
      <w:pPr>
        <w:rPr>
          <w:rFonts w:ascii="Verdana" w:hAnsi="Verdana" w:cs="Arial"/>
          <w:sz w:val="18"/>
          <w:szCs w:val="18"/>
        </w:rPr>
      </w:pPr>
    </w:p>
    <w:p w:rsidR="000E44C7" w:rsidRDefault="000E44C7" w:rsidP="000E44C7">
      <w:pPr>
        <w:rPr>
          <w:rFonts w:ascii="Verdana" w:hAnsi="Verdana" w:cs="Arial"/>
          <w:sz w:val="18"/>
          <w:szCs w:val="18"/>
        </w:rPr>
      </w:pPr>
    </w:p>
    <w:p w:rsidR="00EE0162" w:rsidRDefault="00EE0162" w:rsidP="00EE0162">
      <w:pPr>
        <w:tabs>
          <w:tab w:val="num" w:pos="567"/>
        </w:tabs>
        <w:jc w:val="both"/>
        <w:rPr>
          <w:rFonts w:ascii="Verdana" w:hAnsi="Verdana" w:cs="Arial"/>
          <w:b/>
          <w:color w:val="000000"/>
          <w:sz w:val="21"/>
          <w:szCs w:val="21"/>
        </w:rPr>
      </w:pPr>
      <w:r>
        <w:rPr>
          <w:rFonts w:ascii="Verdana" w:hAnsi="Verdana" w:cs="Arial"/>
          <w:b/>
          <w:color w:val="000000"/>
          <w:sz w:val="21"/>
          <w:szCs w:val="21"/>
        </w:rPr>
        <w:t>12.</w:t>
      </w:r>
      <w:r>
        <w:rPr>
          <w:rFonts w:ascii="Verdana" w:hAnsi="Verdana" w:cs="Arial"/>
          <w:b/>
          <w:color w:val="000000"/>
          <w:sz w:val="21"/>
          <w:szCs w:val="21"/>
        </w:rPr>
        <w:tab/>
        <w:t>CUENTAS POR PAGAR, PARTES RELACIONADAS</w:t>
      </w:r>
    </w:p>
    <w:p w:rsidR="00EE0162" w:rsidRDefault="00EE0162" w:rsidP="00EE0162">
      <w:pPr>
        <w:tabs>
          <w:tab w:val="num" w:pos="567"/>
        </w:tabs>
        <w:jc w:val="both"/>
        <w:rPr>
          <w:rFonts w:ascii="Verdana" w:hAnsi="Verdana" w:cs="Arial"/>
          <w:b/>
          <w:color w:val="000000"/>
          <w:sz w:val="21"/>
          <w:szCs w:val="21"/>
        </w:rPr>
      </w:pPr>
    </w:p>
    <w:p w:rsidR="00EE0162" w:rsidRDefault="00EE0162" w:rsidP="00EE0162">
      <w:pPr>
        <w:tabs>
          <w:tab w:val="num" w:pos="567"/>
        </w:tabs>
        <w:ind w:left="567"/>
        <w:jc w:val="both"/>
        <w:rPr>
          <w:rFonts w:ascii="Verdana" w:hAnsi="Verdana" w:cs="Arial"/>
          <w:bCs/>
          <w:color w:val="000000"/>
          <w:sz w:val="21"/>
          <w:szCs w:val="21"/>
        </w:rPr>
      </w:pPr>
      <w:r>
        <w:rPr>
          <w:rFonts w:ascii="Verdana" w:hAnsi="Verdana" w:cs="Arial"/>
          <w:b/>
          <w:i/>
          <w:iCs/>
          <w:color w:val="000000"/>
          <w:sz w:val="21"/>
          <w:szCs w:val="21"/>
        </w:rPr>
        <w:t>Operacionales -</w:t>
      </w:r>
      <w:r>
        <w:rPr>
          <w:rFonts w:ascii="Verdana" w:hAnsi="Verdana" w:cs="Arial"/>
          <w:bCs/>
          <w:color w:val="000000"/>
          <w:sz w:val="21"/>
          <w:szCs w:val="21"/>
        </w:rPr>
        <w:t xml:space="preserve"> Las cuentas por pagar a partes relacionadas a corto plazo, por US$124,577 en el año 2020, corresponden a facturas de honorarios profesionales por servicios prestados relacionados con las operaciones del negocio, no generan intereses y generalmente se cancelan en 30 días plazo.</w:t>
      </w:r>
    </w:p>
    <w:p w:rsidR="00EE0162" w:rsidRDefault="00EE0162" w:rsidP="00EE0162">
      <w:pPr>
        <w:tabs>
          <w:tab w:val="num" w:pos="567"/>
        </w:tabs>
        <w:ind w:left="567"/>
        <w:jc w:val="both"/>
        <w:rPr>
          <w:rFonts w:ascii="Verdana" w:hAnsi="Verdana" w:cs="Arial"/>
          <w:sz w:val="21"/>
          <w:szCs w:val="21"/>
        </w:rPr>
      </w:pPr>
    </w:p>
    <w:p w:rsidR="00EE0162" w:rsidRDefault="00EE0162" w:rsidP="00EE0162">
      <w:pPr>
        <w:tabs>
          <w:tab w:val="num" w:pos="567"/>
        </w:tabs>
        <w:ind w:left="567"/>
        <w:jc w:val="both"/>
        <w:rPr>
          <w:rFonts w:ascii="Verdana" w:hAnsi="Verdana" w:cs="Arial"/>
          <w:sz w:val="21"/>
          <w:szCs w:val="21"/>
          <w:lang w:val="es-EC"/>
        </w:rPr>
      </w:pPr>
      <w:r>
        <w:rPr>
          <w:rFonts w:ascii="Verdana" w:hAnsi="Verdana" w:cs="Arial"/>
          <w:b/>
          <w:bCs/>
          <w:i/>
          <w:iCs/>
          <w:sz w:val="21"/>
          <w:szCs w:val="21"/>
        </w:rPr>
        <w:t>Préstamos -</w:t>
      </w:r>
      <w:r>
        <w:rPr>
          <w:rFonts w:ascii="Verdana" w:hAnsi="Verdana" w:cs="Arial"/>
          <w:sz w:val="21"/>
          <w:szCs w:val="21"/>
        </w:rPr>
        <w:t xml:space="preserve"> En el año 2020 las cuentas por pagar a partes relacionadas por US$124,577 a corto y US$124,577 a largo plazo,</w:t>
      </w:r>
      <w:r>
        <w:rPr>
          <w:rFonts w:ascii="Verdana" w:hAnsi="Verdana" w:cs="Arial"/>
          <w:sz w:val="21"/>
          <w:szCs w:val="21"/>
          <w:lang w:val="es-EC"/>
        </w:rPr>
        <w:t xml:space="preserve"> se originan en fondos provistos a efectos de financiar las operaciones del negocio, de las cuales US$221 mil (US$178 mil en el 2019) están amparadas en un pagaré firmado por la Compañía a favor de la Accionista. </w:t>
      </w:r>
    </w:p>
    <w:p w:rsidR="00EE0162" w:rsidRDefault="00EE0162" w:rsidP="00EE0162">
      <w:pPr>
        <w:tabs>
          <w:tab w:val="num" w:pos="567"/>
        </w:tabs>
        <w:ind w:left="567"/>
        <w:jc w:val="both"/>
        <w:rPr>
          <w:rFonts w:ascii="Verdana" w:hAnsi="Verdana" w:cs="Arial"/>
          <w:sz w:val="21"/>
          <w:szCs w:val="21"/>
          <w:lang w:val="es-EC"/>
        </w:rPr>
      </w:pPr>
    </w:p>
    <w:p w:rsidR="00EE0162" w:rsidRDefault="00EE0162" w:rsidP="00EE0162">
      <w:pPr>
        <w:tabs>
          <w:tab w:val="num" w:pos="567"/>
        </w:tabs>
        <w:ind w:left="567"/>
        <w:jc w:val="both"/>
        <w:rPr>
          <w:rFonts w:ascii="Verdana" w:hAnsi="Verdana" w:cs="Arial"/>
          <w:sz w:val="21"/>
          <w:szCs w:val="21"/>
          <w:lang w:val="es-EC"/>
        </w:rPr>
      </w:pPr>
      <w:r>
        <w:rPr>
          <w:rFonts w:ascii="Verdana" w:hAnsi="Verdana" w:cs="Arial"/>
          <w:sz w:val="21"/>
          <w:szCs w:val="21"/>
          <w:lang w:val="es-EC"/>
        </w:rPr>
        <w:t>Estos préstamos no generan intereses, no se han asignado activos de la empresa en garantía de los mismos y tienen vencimientos por US$110 mil en los años 2021 y 2022 (Ver nota 20)</w:t>
      </w:r>
    </w:p>
    <w:p w:rsidR="00EE0162" w:rsidRDefault="00EE0162" w:rsidP="00EE0162">
      <w:pPr>
        <w:tabs>
          <w:tab w:val="num" w:pos="567"/>
        </w:tabs>
        <w:ind w:left="567"/>
        <w:jc w:val="both"/>
        <w:rPr>
          <w:rFonts w:ascii="Verdana" w:hAnsi="Verdana" w:cs="Arial"/>
          <w:sz w:val="21"/>
          <w:szCs w:val="21"/>
          <w:lang w:val="es-EC"/>
        </w:rPr>
      </w:pPr>
    </w:p>
    <w:p w:rsidR="00805FB6" w:rsidRDefault="00805FB6" w:rsidP="00805FB6">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13. </w:t>
      </w:r>
      <w:r>
        <w:rPr>
          <w:rFonts w:ascii="Verdana" w:hAnsi="Verdana" w:cs="Arial"/>
          <w:b/>
          <w:color w:val="000000"/>
          <w:sz w:val="21"/>
          <w:szCs w:val="21"/>
        </w:rPr>
        <w:tab/>
        <w:t>OTRAS OBLIGACIONES CORRIENTES</w:t>
      </w:r>
    </w:p>
    <w:p w:rsidR="00805FB6" w:rsidRDefault="00805FB6" w:rsidP="00EE0162">
      <w:pPr>
        <w:tabs>
          <w:tab w:val="num" w:pos="567"/>
        </w:tabs>
        <w:ind w:left="567"/>
        <w:jc w:val="both"/>
        <w:rPr>
          <w:rFonts w:ascii="Verdana" w:hAnsi="Verdana" w:cs="Arial"/>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552"/>
        <w:gridCol w:w="1836"/>
      </w:tblGrid>
      <w:tr w:rsidR="00805FB6" w:rsidTr="00471369">
        <w:tc>
          <w:tcPr>
            <w:tcW w:w="4106" w:type="dxa"/>
          </w:tcPr>
          <w:p w:rsidR="00805FB6" w:rsidRDefault="00805FB6">
            <w:pPr>
              <w:rPr>
                <w:rFonts w:ascii="Verdana" w:hAnsi="Verdana" w:cs="Arial"/>
                <w:sz w:val="21"/>
                <w:szCs w:val="21"/>
              </w:rPr>
            </w:pPr>
          </w:p>
        </w:tc>
        <w:tc>
          <w:tcPr>
            <w:tcW w:w="2552" w:type="dxa"/>
            <w:hideMark/>
          </w:tcPr>
          <w:p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rsidTr="00471369">
        <w:tc>
          <w:tcPr>
            <w:tcW w:w="4106" w:type="dxa"/>
          </w:tcPr>
          <w:p w:rsidR="00805FB6" w:rsidRDefault="00805FB6">
            <w:pPr>
              <w:rPr>
                <w:rFonts w:ascii="Verdana" w:hAnsi="Verdana" w:cs="Arial"/>
                <w:sz w:val="21"/>
                <w:szCs w:val="21"/>
              </w:rPr>
            </w:pPr>
          </w:p>
        </w:tc>
        <w:tc>
          <w:tcPr>
            <w:tcW w:w="2552" w:type="dxa"/>
          </w:tcPr>
          <w:p w:rsidR="00805FB6" w:rsidRDefault="00805FB6">
            <w:pPr>
              <w:jc w:val="right"/>
              <w:rPr>
                <w:rFonts w:ascii="Verdana" w:hAnsi="Verdana" w:cs="Arial"/>
                <w:sz w:val="21"/>
                <w:szCs w:val="21"/>
              </w:rPr>
            </w:pPr>
          </w:p>
        </w:tc>
        <w:tc>
          <w:tcPr>
            <w:tcW w:w="1836" w:type="dxa"/>
          </w:tcPr>
          <w:p w:rsidR="00805FB6" w:rsidRDefault="00805FB6">
            <w:pPr>
              <w:jc w:val="right"/>
              <w:rPr>
                <w:rFonts w:ascii="Verdana" w:hAnsi="Verdana" w:cs="Arial"/>
                <w:sz w:val="21"/>
                <w:szCs w:val="21"/>
              </w:rPr>
            </w:pPr>
          </w:p>
        </w:tc>
      </w:tr>
      <w:tr w:rsidR="00805FB6" w:rsidTr="00471369">
        <w:tc>
          <w:tcPr>
            <w:tcW w:w="4106" w:type="dxa"/>
            <w:hideMark/>
          </w:tcPr>
          <w:p w:rsidR="00805FB6" w:rsidRDefault="00FA7A5F">
            <w:pPr>
              <w:rPr>
                <w:rFonts w:ascii="Verdana" w:hAnsi="Verdana" w:cs="Arial"/>
                <w:sz w:val="21"/>
                <w:szCs w:val="21"/>
                <w:u w:val="single"/>
              </w:rPr>
            </w:pPr>
            <w:r>
              <w:rPr>
                <w:rFonts w:ascii="Verdana" w:hAnsi="Verdana" w:cs="Arial"/>
                <w:sz w:val="21"/>
                <w:szCs w:val="21"/>
                <w:u w:val="single"/>
              </w:rPr>
              <w:t>Beneficios sociales:</w:t>
            </w:r>
          </w:p>
          <w:p w:rsidR="00FA7A5F" w:rsidRDefault="00FA7A5F">
            <w:pPr>
              <w:rPr>
                <w:rFonts w:ascii="Verdana" w:hAnsi="Verdana" w:cs="Arial"/>
                <w:sz w:val="21"/>
                <w:szCs w:val="21"/>
              </w:rPr>
            </w:pPr>
            <w:r>
              <w:rPr>
                <w:rFonts w:ascii="Verdana" w:hAnsi="Verdana" w:cs="Arial"/>
                <w:sz w:val="21"/>
                <w:szCs w:val="21"/>
              </w:rPr>
              <w:t>...Décimo cuarto sueldo</w:t>
            </w:r>
          </w:p>
          <w:p w:rsidR="00FA7A5F" w:rsidRDefault="00FA7A5F">
            <w:pPr>
              <w:rPr>
                <w:rFonts w:ascii="Verdana" w:hAnsi="Verdana" w:cs="Arial"/>
                <w:sz w:val="21"/>
                <w:szCs w:val="21"/>
              </w:rPr>
            </w:pPr>
            <w:r>
              <w:rPr>
                <w:rFonts w:ascii="Verdana" w:hAnsi="Verdana" w:cs="Arial"/>
                <w:sz w:val="21"/>
                <w:szCs w:val="21"/>
              </w:rPr>
              <w:t>…Vacaciones</w:t>
            </w:r>
          </w:p>
          <w:p w:rsidR="00FA7A5F" w:rsidRDefault="00FA7A5F">
            <w:pPr>
              <w:rPr>
                <w:rFonts w:ascii="Verdana" w:hAnsi="Verdana" w:cs="Arial"/>
                <w:sz w:val="21"/>
                <w:szCs w:val="21"/>
              </w:rPr>
            </w:pPr>
            <w:r>
              <w:rPr>
                <w:rFonts w:ascii="Verdana" w:hAnsi="Verdana" w:cs="Arial"/>
                <w:sz w:val="21"/>
                <w:szCs w:val="21"/>
              </w:rPr>
              <w:t>…Décimo tercera remuneración</w:t>
            </w:r>
          </w:p>
          <w:p w:rsidR="00FA7A5F" w:rsidRDefault="00FA7A5F">
            <w:pPr>
              <w:rPr>
                <w:rFonts w:ascii="Verdana" w:hAnsi="Verdana" w:cs="Arial"/>
                <w:sz w:val="21"/>
                <w:szCs w:val="21"/>
              </w:rPr>
            </w:pPr>
            <w:r>
              <w:rPr>
                <w:rFonts w:ascii="Verdana" w:hAnsi="Verdana" w:cs="Arial"/>
                <w:sz w:val="21"/>
                <w:szCs w:val="21"/>
              </w:rPr>
              <w:t>…15% Participación a trabajadores</w:t>
            </w:r>
          </w:p>
          <w:p w:rsidR="00FA7A5F" w:rsidRPr="00FA7A5F" w:rsidRDefault="00FA7A5F">
            <w:pPr>
              <w:rPr>
                <w:rFonts w:ascii="Verdana" w:hAnsi="Verdana" w:cs="Arial"/>
                <w:sz w:val="21"/>
                <w:szCs w:val="21"/>
              </w:rPr>
            </w:pPr>
            <w:r>
              <w:rPr>
                <w:rFonts w:ascii="Verdana" w:hAnsi="Verdana" w:cs="Arial"/>
                <w:sz w:val="21"/>
                <w:szCs w:val="21"/>
              </w:rPr>
              <w:t>…Fondo de reserva</w:t>
            </w:r>
          </w:p>
        </w:tc>
        <w:tc>
          <w:tcPr>
            <w:tcW w:w="2552" w:type="dxa"/>
          </w:tcPr>
          <w:p w:rsidR="00805FB6" w:rsidRDefault="00805FB6">
            <w:pPr>
              <w:jc w:val="right"/>
              <w:rPr>
                <w:rFonts w:ascii="Verdana" w:hAnsi="Verdana" w:cs="Arial"/>
                <w:sz w:val="21"/>
                <w:szCs w:val="21"/>
              </w:rPr>
            </w:pPr>
          </w:p>
        </w:tc>
        <w:tc>
          <w:tcPr>
            <w:tcW w:w="1836" w:type="dxa"/>
            <w:hideMark/>
          </w:tcPr>
          <w:p w:rsidR="00805FB6" w:rsidRDefault="00805FB6">
            <w:pPr>
              <w:jc w:val="right"/>
              <w:rPr>
                <w:rFonts w:ascii="Verdana" w:hAnsi="Verdana" w:cs="Arial"/>
                <w:sz w:val="21"/>
                <w:szCs w:val="21"/>
              </w:rPr>
            </w:pPr>
          </w:p>
          <w:p w:rsidR="00471369" w:rsidRDefault="00471369">
            <w:pPr>
              <w:jc w:val="right"/>
              <w:rPr>
                <w:rFonts w:ascii="Verdana" w:hAnsi="Verdana" w:cs="Arial"/>
                <w:sz w:val="21"/>
                <w:szCs w:val="21"/>
              </w:rPr>
            </w:pPr>
            <w:r>
              <w:rPr>
                <w:rFonts w:ascii="Verdana" w:hAnsi="Verdana" w:cs="Arial"/>
                <w:sz w:val="21"/>
                <w:szCs w:val="21"/>
              </w:rPr>
              <w:t>3,333</w:t>
            </w:r>
          </w:p>
          <w:p w:rsidR="00471369" w:rsidRDefault="00471369">
            <w:pPr>
              <w:jc w:val="right"/>
              <w:rPr>
                <w:rFonts w:ascii="Verdana" w:hAnsi="Verdana" w:cs="Arial"/>
                <w:sz w:val="21"/>
                <w:szCs w:val="21"/>
              </w:rPr>
            </w:pPr>
            <w:r>
              <w:rPr>
                <w:rFonts w:ascii="Verdana" w:hAnsi="Verdana" w:cs="Arial"/>
                <w:sz w:val="21"/>
                <w:szCs w:val="21"/>
              </w:rPr>
              <w:t>3,920</w:t>
            </w:r>
          </w:p>
          <w:p w:rsidR="00471369" w:rsidRDefault="00471369">
            <w:pPr>
              <w:jc w:val="right"/>
              <w:rPr>
                <w:rFonts w:ascii="Verdana" w:hAnsi="Verdana" w:cs="Arial"/>
                <w:sz w:val="21"/>
                <w:szCs w:val="21"/>
              </w:rPr>
            </w:pPr>
            <w:r>
              <w:rPr>
                <w:rFonts w:ascii="Verdana" w:hAnsi="Verdana" w:cs="Arial"/>
                <w:sz w:val="21"/>
                <w:szCs w:val="21"/>
              </w:rPr>
              <w:t>811</w:t>
            </w:r>
          </w:p>
          <w:p w:rsidR="00471369" w:rsidRDefault="00471369">
            <w:pPr>
              <w:jc w:val="right"/>
              <w:rPr>
                <w:rFonts w:ascii="Verdana" w:hAnsi="Verdana" w:cs="Arial"/>
                <w:sz w:val="21"/>
                <w:szCs w:val="21"/>
              </w:rPr>
            </w:pPr>
            <w:r>
              <w:rPr>
                <w:rFonts w:ascii="Verdana" w:hAnsi="Verdana" w:cs="Arial"/>
                <w:sz w:val="21"/>
                <w:szCs w:val="21"/>
              </w:rPr>
              <w:t>0</w:t>
            </w:r>
          </w:p>
          <w:p w:rsidR="00471369" w:rsidRPr="00471369" w:rsidRDefault="00471369">
            <w:pPr>
              <w:jc w:val="right"/>
              <w:rPr>
                <w:rFonts w:ascii="Verdana" w:hAnsi="Verdana" w:cs="Arial"/>
                <w:sz w:val="21"/>
                <w:szCs w:val="21"/>
                <w:u w:val="single"/>
              </w:rPr>
            </w:pPr>
            <w:r w:rsidRPr="00471369">
              <w:rPr>
                <w:rFonts w:ascii="Verdana" w:hAnsi="Verdana" w:cs="Arial"/>
                <w:sz w:val="21"/>
                <w:szCs w:val="21"/>
                <w:u w:val="single"/>
              </w:rPr>
              <w:t>737</w:t>
            </w:r>
          </w:p>
        </w:tc>
      </w:tr>
      <w:tr w:rsidR="00805FB6" w:rsidTr="00471369">
        <w:tc>
          <w:tcPr>
            <w:tcW w:w="4106" w:type="dxa"/>
            <w:hideMark/>
          </w:tcPr>
          <w:p w:rsidR="00805FB6" w:rsidRDefault="00FA7A5F">
            <w:pPr>
              <w:rPr>
                <w:rFonts w:ascii="Verdana" w:hAnsi="Verdana" w:cs="Arial"/>
                <w:sz w:val="21"/>
                <w:szCs w:val="21"/>
              </w:rPr>
            </w:pPr>
            <w:r>
              <w:rPr>
                <w:rFonts w:ascii="Verdana" w:hAnsi="Verdana" w:cs="Arial"/>
                <w:sz w:val="21"/>
                <w:szCs w:val="21"/>
              </w:rPr>
              <w:t>Subtotal</w:t>
            </w:r>
          </w:p>
        </w:tc>
        <w:tc>
          <w:tcPr>
            <w:tcW w:w="2552" w:type="dxa"/>
          </w:tcPr>
          <w:p w:rsidR="00805FB6" w:rsidRDefault="00805FB6">
            <w:pPr>
              <w:jc w:val="right"/>
              <w:rPr>
                <w:rFonts w:ascii="Verdana" w:hAnsi="Verdana" w:cs="Arial"/>
                <w:sz w:val="21"/>
                <w:szCs w:val="21"/>
              </w:rPr>
            </w:pPr>
          </w:p>
        </w:tc>
        <w:tc>
          <w:tcPr>
            <w:tcW w:w="1836" w:type="dxa"/>
            <w:hideMark/>
          </w:tcPr>
          <w:p w:rsidR="00805FB6" w:rsidRDefault="00471369">
            <w:pPr>
              <w:jc w:val="right"/>
              <w:rPr>
                <w:rFonts w:ascii="Verdana" w:hAnsi="Verdana" w:cs="Arial"/>
                <w:sz w:val="21"/>
                <w:szCs w:val="21"/>
              </w:rPr>
            </w:pPr>
            <w:r>
              <w:rPr>
                <w:rFonts w:ascii="Verdana" w:hAnsi="Verdana" w:cs="Arial"/>
                <w:sz w:val="21"/>
                <w:szCs w:val="21"/>
              </w:rPr>
              <w:t>8,801</w:t>
            </w:r>
          </w:p>
        </w:tc>
      </w:tr>
      <w:tr w:rsidR="00805FB6" w:rsidTr="00471369">
        <w:tc>
          <w:tcPr>
            <w:tcW w:w="4106" w:type="dxa"/>
            <w:hideMark/>
          </w:tcPr>
          <w:p w:rsidR="00805FB6" w:rsidRDefault="00FA7A5F">
            <w:pPr>
              <w:rPr>
                <w:rFonts w:ascii="Verdana" w:hAnsi="Verdana" w:cs="Arial"/>
                <w:sz w:val="21"/>
                <w:szCs w:val="21"/>
              </w:rPr>
            </w:pPr>
            <w:r>
              <w:rPr>
                <w:rFonts w:ascii="Verdana" w:hAnsi="Verdana" w:cs="Arial"/>
                <w:sz w:val="21"/>
                <w:szCs w:val="21"/>
              </w:rPr>
              <w:t xml:space="preserve">Más: Obligaciones por pagar al </w:t>
            </w:r>
            <w:r w:rsidR="00471369">
              <w:rPr>
                <w:rFonts w:ascii="Verdana" w:hAnsi="Verdana" w:cs="Arial"/>
                <w:sz w:val="21"/>
                <w:szCs w:val="21"/>
              </w:rPr>
              <w:t>IESS</w:t>
            </w:r>
          </w:p>
        </w:tc>
        <w:tc>
          <w:tcPr>
            <w:tcW w:w="2552" w:type="dxa"/>
          </w:tcPr>
          <w:p w:rsidR="00805FB6" w:rsidRDefault="00805FB6">
            <w:pPr>
              <w:jc w:val="right"/>
              <w:rPr>
                <w:rFonts w:ascii="Verdana" w:hAnsi="Verdana" w:cs="Arial"/>
                <w:sz w:val="21"/>
                <w:szCs w:val="21"/>
              </w:rPr>
            </w:pPr>
          </w:p>
        </w:tc>
        <w:tc>
          <w:tcPr>
            <w:tcW w:w="1836" w:type="dxa"/>
            <w:hideMark/>
          </w:tcPr>
          <w:p w:rsidR="00805FB6" w:rsidRDefault="00471369">
            <w:pPr>
              <w:jc w:val="right"/>
              <w:rPr>
                <w:rFonts w:ascii="Verdana" w:hAnsi="Verdana" w:cs="Arial"/>
                <w:sz w:val="21"/>
                <w:szCs w:val="21"/>
                <w:u w:val="single"/>
              </w:rPr>
            </w:pPr>
            <w:r>
              <w:rPr>
                <w:rFonts w:ascii="Verdana" w:hAnsi="Verdana" w:cs="Arial"/>
                <w:sz w:val="21"/>
                <w:szCs w:val="21"/>
                <w:u w:val="single"/>
              </w:rPr>
              <w:t>7,374</w:t>
            </w:r>
          </w:p>
        </w:tc>
      </w:tr>
      <w:tr w:rsidR="00805FB6" w:rsidTr="00471369">
        <w:tc>
          <w:tcPr>
            <w:tcW w:w="4106" w:type="dxa"/>
          </w:tcPr>
          <w:p w:rsidR="00805FB6" w:rsidRDefault="00805FB6">
            <w:pPr>
              <w:rPr>
                <w:rFonts w:ascii="Verdana" w:hAnsi="Verdana" w:cs="Arial"/>
                <w:sz w:val="21"/>
                <w:szCs w:val="21"/>
              </w:rPr>
            </w:pPr>
          </w:p>
          <w:p w:rsidR="00805FB6" w:rsidRDefault="00805FB6">
            <w:pPr>
              <w:rPr>
                <w:rFonts w:ascii="Verdana" w:hAnsi="Verdana" w:cs="Arial"/>
                <w:sz w:val="21"/>
                <w:szCs w:val="21"/>
              </w:rPr>
            </w:pPr>
            <w:r>
              <w:rPr>
                <w:rFonts w:ascii="Verdana" w:hAnsi="Verdana" w:cs="Arial"/>
                <w:sz w:val="21"/>
                <w:szCs w:val="21"/>
              </w:rPr>
              <w:t>Total</w:t>
            </w:r>
          </w:p>
        </w:tc>
        <w:tc>
          <w:tcPr>
            <w:tcW w:w="2552" w:type="dxa"/>
          </w:tcPr>
          <w:p w:rsidR="00805FB6" w:rsidRDefault="00805FB6">
            <w:pPr>
              <w:jc w:val="right"/>
              <w:rPr>
                <w:rFonts w:ascii="Verdana" w:hAnsi="Verdana" w:cs="Arial"/>
                <w:sz w:val="21"/>
                <w:szCs w:val="21"/>
              </w:rPr>
            </w:pPr>
          </w:p>
          <w:p w:rsidR="00805FB6" w:rsidRDefault="00805FB6">
            <w:pPr>
              <w:jc w:val="right"/>
              <w:rPr>
                <w:rFonts w:ascii="Verdana" w:hAnsi="Verdana" w:cs="Arial"/>
                <w:sz w:val="21"/>
                <w:szCs w:val="21"/>
                <w:u w:val="single"/>
              </w:rPr>
            </w:pPr>
          </w:p>
        </w:tc>
        <w:tc>
          <w:tcPr>
            <w:tcW w:w="1836" w:type="dxa"/>
          </w:tcPr>
          <w:p w:rsidR="00805FB6" w:rsidRDefault="00805FB6">
            <w:pPr>
              <w:jc w:val="right"/>
              <w:rPr>
                <w:rFonts w:ascii="Verdana" w:hAnsi="Verdana" w:cs="Arial"/>
                <w:sz w:val="21"/>
                <w:szCs w:val="21"/>
              </w:rPr>
            </w:pPr>
          </w:p>
          <w:p w:rsidR="00805FB6" w:rsidRDefault="00471369">
            <w:pPr>
              <w:jc w:val="right"/>
              <w:rPr>
                <w:rFonts w:ascii="Verdana" w:hAnsi="Verdana" w:cs="Arial"/>
                <w:sz w:val="21"/>
                <w:szCs w:val="21"/>
                <w:u w:val="double"/>
              </w:rPr>
            </w:pPr>
            <w:r>
              <w:rPr>
                <w:rFonts w:ascii="Verdana" w:hAnsi="Verdana" w:cs="Arial"/>
                <w:sz w:val="21"/>
                <w:szCs w:val="21"/>
                <w:u w:val="double"/>
              </w:rPr>
              <w:t>16,175</w:t>
            </w:r>
          </w:p>
        </w:tc>
      </w:tr>
    </w:tbl>
    <w:p w:rsidR="00EE0162" w:rsidRDefault="00EE0162" w:rsidP="00EE0162">
      <w:pPr>
        <w:tabs>
          <w:tab w:val="num" w:pos="567"/>
        </w:tabs>
        <w:ind w:left="567"/>
        <w:jc w:val="both"/>
        <w:rPr>
          <w:rFonts w:ascii="Verdana" w:hAnsi="Verdana" w:cs="Arial"/>
          <w:sz w:val="21"/>
          <w:szCs w:val="21"/>
          <w:lang w:val="es-EC"/>
        </w:rPr>
      </w:pPr>
    </w:p>
    <w:p w:rsidR="00471369" w:rsidRDefault="00471369" w:rsidP="00471369">
      <w:pPr>
        <w:pStyle w:val="BodyText22"/>
        <w:widowControl/>
        <w:rPr>
          <w:rFonts w:ascii="Verdana" w:hAnsi="Verdana" w:cs="Arial"/>
          <w:color w:val="000000"/>
          <w:sz w:val="21"/>
          <w:szCs w:val="21"/>
          <w:lang w:val="es-EC"/>
        </w:rPr>
      </w:pPr>
      <w:r>
        <w:rPr>
          <w:rFonts w:ascii="Verdana" w:hAnsi="Verdana" w:cs="Arial"/>
          <w:color w:val="000000"/>
          <w:sz w:val="21"/>
          <w:szCs w:val="21"/>
          <w:lang w:val="es-EC"/>
        </w:rPr>
        <w:t>En los años 2021 y 2020, el movimiento de beneficios sociales fue el siguiente:</w:t>
      </w:r>
    </w:p>
    <w:p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552"/>
        <w:gridCol w:w="1836"/>
      </w:tblGrid>
      <w:tr w:rsidR="00471369" w:rsidTr="00BD0A4E">
        <w:tc>
          <w:tcPr>
            <w:tcW w:w="4106" w:type="dxa"/>
          </w:tcPr>
          <w:p w:rsidR="00471369" w:rsidRDefault="00471369">
            <w:pPr>
              <w:rPr>
                <w:rFonts w:ascii="Verdana" w:hAnsi="Verdana" w:cs="Arial"/>
                <w:sz w:val="21"/>
                <w:szCs w:val="21"/>
              </w:rPr>
            </w:pPr>
          </w:p>
        </w:tc>
        <w:tc>
          <w:tcPr>
            <w:tcW w:w="2552" w:type="dxa"/>
            <w:hideMark/>
          </w:tcPr>
          <w:p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471369" w:rsidRDefault="00471369">
            <w:pPr>
              <w:jc w:val="right"/>
              <w:rPr>
                <w:rFonts w:ascii="Verdana" w:hAnsi="Verdana" w:cs="Arial"/>
                <w:sz w:val="21"/>
                <w:szCs w:val="21"/>
                <w:u w:val="single"/>
              </w:rPr>
            </w:pPr>
            <w:r>
              <w:rPr>
                <w:rFonts w:ascii="Verdana" w:hAnsi="Verdana" w:cs="Arial"/>
                <w:sz w:val="21"/>
                <w:szCs w:val="21"/>
                <w:u w:val="single"/>
              </w:rPr>
              <w:t>2020</w:t>
            </w:r>
          </w:p>
        </w:tc>
      </w:tr>
      <w:tr w:rsidR="00471369" w:rsidTr="00BD0A4E">
        <w:tc>
          <w:tcPr>
            <w:tcW w:w="4106" w:type="dxa"/>
          </w:tcPr>
          <w:p w:rsidR="00471369" w:rsidRDefault="00471369">
            <w:pPr>
              <w:rPr>
                <w:rFonts w:ascii="Verdana" w:hAnsi="Verdana" w:cs="Arial"/>
                <w:sz w:val="21"/>
                <w:szCs w:val="21"/>
              </w:rPr>
            </w:pPr>
          </w:p>
        </w:tc>
        <w:tc>
          <w:tcPr>
            <w:tcW w:w="2552" w:type="dxa"/>
          </w:tcPr>
          <w:p w:rsidR="00471369" w:rsidRDefault="00471369">
            <w:pPr>
              <w:jc w:val="right"/>
              <w:rPr>
                <w:rFonts w:ascii="Verdana" w:hAnsi="Verdana" w:cs="Arial"/>
                <w:sz w:val="21"/>
                <w:szCs w:val="21"/>
              </w:rPr>
            </w:pPr>
          </w:p>
        </w:tc>
        <w:tc>
          <w:tcPr>
            <w:tcW w:w="1836" w:type="dxa"/>
          </w:tcPr>
          <w:p w:rsidR="00471369" w:rsidRDefault="00471369">
            <w:pPr>
              <w:jc w:val="right"/>
              <w:rPr>
                <w:rFonts w:ascii="Verdana" w:hAnsi="Verdana" w:cs="Arial"/>
                <w:sz w:val="21"/>
                <w:szCs w:val="21"/>
              </w:rPr>
            </w:pPr>
          </w:p>
        </w:tc>
      </w:tr>
      <w:tr w:rsidR="00471369" w:rsidTr="00BD0A4E">
        <w:tc>
          <w:tcPr>
            <w:tcW w:w="4106" w:type="dxa"/>
            <w:hideMark/>
          </w:tcPr>
          <w:p w:rsidR="00471369" w:rsidRDefault="00471369">
            <w:pPr>
              <w:rPr>
                <w:rFonts w:ascii="Verdana" w:hAnsi="Verdana" w:cs="Arial"/>
                <w:sz w:val="21"/>
                <w:szCs w:val="21"/>
              </w:rPr>
            </w:pPr>
            <w:r>
              <w:rPr>
                <w:rFonts w:ascii="Verdana" w:hAnsi="Verdana" w:cs="Arial"/>
                <w:sz w:val="21"/>
                <w:szCs w:val="21"/>
              </w:rPr>
              <w:t>Saldo inicial</w:t>
            </w:r>
          </w:p>
          <w:p w:rsidR="00BD0A4E" w:rsidRDefault="00BD0A4E">
            <w:pPr>
              <w:rPr>
                <w:rFonts w:ascii="Verdana" w:hAnsi="Verdana" w:cs="Arial"/>
                <w:sz w:val="21"/>
                <w:szCs w:val="21"/>
              </w:rPr>
            </w:pPr>
          </w:p>
        </w:tc>
        <w:tc>
          <w:tcPr>
            <w:tcW w:w="2552" w:type="dxa"/>
          </w:tcPr>
          <w:p w:rsidR="00471369" w:rsidRDefault="00471369">
            <w:pPr>
              <w:jc w:val="right"/>
              <w:rPr>
                <w:rFonts w:ascii="Verdana" w:hAnsi="Verdana" w:cs="Arial"/>
                <w:sz w:val="21"/>
                <w:szCs w:val="21"/>
              </w:rPr>
            </w:pPr>
          </w:p>
        </w:tc>
        <w:tc>
          <w:tcPr>
            <w:tcW w:w="1836" w:type="dxa"/>
            <w:hideMark/>
          </w:tcPr>
          <w:p w:rsidR="00471369" w:rsidRDefault="00BD0A4E">
            <w:pPr>
              <w:jc w:val="right"/>
              <w:rPr>
                <w:rFonts w:ascii="Verdana" w:hAnsi="Verdana" w:cs="Arial"/>
                <w:sz w:val="21"/>
                <w:szCs w:val="21"/>
              </w:rPr>
            </w:pPr>
            <w:r>
              <w:rPr>
                <w:rFonts w:ascii="Verdana" w:hAnsi="Verdana" w:cs="Arial"/>
                <w:sz w:val="21"/>
                <w:szCs w:val="21"/>
              </w:rPr>
              <w:t>11,825</w:t>
            </w:r>
          </w:p>
        </w:tc>
      </w:tr>
      <w:tr w:rsidR="00471369" w:rsidTr="00BD0A4E">
        <w:tc>
          <w:tcPr>
            <w:tcW w:w="4106" w:type="dxa"/>
            <w:hideMark/>
          </w:tcPr>
          <w:p w:rsidR="00471369" w:rsidRDefault="00BD0A4E">
            <w:pPr>
              <w:rPr>
                <w:rFonts w:ascii="Verdana" w:hAnsi="Verdana" w:cs="Arial"/>
                <w:sz w:val="21"/>
                <w:szCs w:val="21"/>
              </w:rPr>
            </w:pPr>
            <w:r>
              <w:rPr>
                <w:rFonts w:ascii="Verdana" w:hAnsi="Verdana" w:cs="Arial"/>
                <w:sz w:val="21"/>
                <w:szCs w:val="21"/>
              </w:rPr>
              <w:t>Provisiones</w:t>
            </w:r>
          </w:p>
        </w:tc>
        <w:tc>
          <w:tcPr>
            <w:tcW w:w="2552" w:type="dxa"/>
          </w:tcPr>
          <w:p w:rsidR="00471369" w:rsidRDefault="00471369">
            <w:pPr>
              <w:jc w:val="right"/>
              <w:rPr>
                <w:rFonts w:ascii="Verdana" w:hAnsi="Verdana" w:cs="Arial"/>
                <w:sz w:val="21"/>
                <w:szCs w:val="21"/>
              </w:rPr>
            </w:pPr>
          </w:p>
        </w:tc>
        <w:tc>
          <w:tcPr>
            <w:tcW w:w="1836" w:type="dxa"/>
            <w:hideMark/>
          </w:tcPr>
          <w:p w:rsidR="00471369" w:rsidRDefault="00BD0A4E">
            <w:pPr>
              <w:jc w:val="right"/>
              <w:rPr>
                <w:rFonts w:ascii="Verdana" w:hAnsi="Verdana" w:cs="Arial"/>
                <w:sz w:val="21"/>
                <w:szCs w:val="21"/>
              </w:rPr>
            </w:pPr>
            <w:r>
              <w:rPr>
                <w:rFonts w:ascii="Verdana" w:hAnsi="Verdana" w:cs="Arial"/>
                <w:sz w:val="21"/>
                <w:szCs w:val="21"/>
              </w:rPr>
              <w:t>29,325</w:t>
            </w:r>
          </w:p>
        </w:tc>
      </w:tr>
      <w:tr w:rsidR="00471369" w:rsidTr="00BD0A4E">
        <w:tc>
          <w:tcPr>
            <w:tcW w:w="4106" w:type="dxa"/>
            <w:hideMark/>
          </w:tcPr>
          <w:p w:rsidR="00471369" w:rsidRDefault="00BD0A4E">
            <w:pPr>
              <w:rPr>
                <w:rFonts w:ascii="Verdana" w:hAnsi="Verdana" w:cs="Arial"/>
                <w:sz w:val="21"/>
                <w:szCs w:val="21"/>
              </w:rPr>
            </w:pPr>
            <w:r>
              <w:rPr>
                <w:rFonts w:ascii="Verdana" w:hAnsi="Verdana" w:cs="Arial"/>
                <w:sz w:val="21"/>
                <w:szCs w:val="21"/>
              </w:rPr>
              <w:t>Pagos</w:t>
            </w:r>
          </w:p>
          <w:p w:rsidR="00BD0A4E" w:rsidRDefault="00BD0A4E">
            <w:pPr>
              <w:rPr>
                <w:rFonts w:ascii="Verdana" w:hAnsi="Verdana" w:cs="Arial"/>
                <w:sz w:val="21"/>
                <w:szCs w:val="21"/>
              </w:rPr>
            </w:pPr>
            <w:r>
              <w:rPr>
                <w:rFonts w:ascii="Verdana" w:hAnsi="Verdana" w:cs="Arial"/>
                <w:sz w:val="21"/>
                <w:szCs w:val="21"/>
              </w:rPr>
              <w:t>Ajustes</w:t>
            </w:r>
          </w:p>
        </w:tc>
        <w:tc>
          <w:tcPr>
            <w:tcW w:w="2552" w:type="dxa"/>
          </w:tcPr>
          <w:p w:rsidR="00471369" w:rsidRDefault="00471369">
            <w:pPr>
              <w:jc w:val="right"/>
              <w:rPr>
                <w:rFonts w:ascii="Verdana" w:hAnsi="Verdana" w:cs="Arial"/>
                <w:sz w:val="21"/>
                <w:szCs w:val="21"/>
              </w:rPr>
            </w:pPr>
          </w:p>
        </w:tc>
        <w:tc>
          <w:tcPr>
            <w:tcW w:w="1836" w:type="dxa"/>
            <w:hideMark/>
          </w:tcPr>
          <w:p w:rsidR="00471369" w:rsidRDefault="00BD0A4E">
            <w:pPr>
              <w:jc w:val="right"/>
              <w:rPr>
                <w:rFonts w:ascii="Verdana" w:hAnsi="Verdana" w:cs="Arial"/>
                <w:sz w:val="21"/>
                <w:szCs w:val="21"/>
              </w:rPr>
            </w:pPr>
            <w:r w:rsidRPr="00BD0A4E">
              <w:rPr>
                <w:rFonts w:ascii="Verdana" w:hAnsi="Verdana" w:cs="Arial"/>
                <w:sz w:val="21"/>
                <w:szCs w:val="21"/>
              </w:rPr>
              <w:t>(36,902)</w:t>
            </w:r>
          </w:p>
          <w:p w:rsidR="00BD0A4E" w:rsidRPr="00BD0A4E" w:rsidRDefault="00BD0A4E">
            <w:pPr>
              <w:jc w:val="right"/>
              <w:rPr>
                <w:rFonts w:ascii="Verdana" w:hAnsi="Verdana" w:cs="Arial"/>
                <w:sz w:val="21"/>
                <w:szCs w:val="21"/>
                <w:u w:val="single"/>
              </w:rPr>
            </w:pPr>
            <w:r w:rsidRPr="00BD0A4E">
              <w:rPr>
                <w:rFonts w:ascii="Verdana" w:hAnsi="Verdana" w:cs="Arial"/>
                <w:sz w:val="21"/>
                <w:szCs w:val="21"/>
                <w:u w:val="single"/>
              </w:rPr>
              <w:t>4,553</w:t>
            </w:r>
          </w:p>
        </w:tc>
      </w:tr>
      <w:tr w:rsidR="00471369" w:rsidTr="00BD0A4E">
        <w:tc>
          <w:tcPr>
            <w:tcW w:w="4106" w:type="dxa"/>
          </w:tcPr>
          <w:p w:rsidR="00471369" w:rsidRDefault="00471369">
            <w:pPr>
              <w:rPr>
                <w:rFonts w:ascii="Verdana" w:hAnsi="Verdana" w:cs="Arial"/>
                <w:sz w:val="21"/>
                <w:szCs w:val="21"/>
              </w:rPr>
            </w:pPr>
          </w:p>
          <w:p w:rsidR="00471369" w:rsidRDefault="00BD0A4E">
            <w:pPr>
              <w:rPr>
                <w:rFonts w:ascii="Verdana" w:hAnsi="Verdana" w:cs="Arial"/>
                <w:sz w:val="21"/>
                <w:szCs w:val="21"/>
              </w:rPr>
            </w:pPr>
            <w:r>
              <w:rPr>
                <w:rFonts w:ascii="Verdana" w:hAnsi="Verdana" w:cs="Arial"/>
                <w:sz w:val="21"/>
                <w:szCs w:val="21"/>
              </w:rPr>
              <w:t>Saldo Final</w:t>
            </w:r>
          </w:p>
        </w:tc>
        <w:tc>
          <w:tcPr>
            <w:tcW w:w="2552" w:type="dxa"/>
          </w:tcPr>
          <w:p w:rsidR="00471369" w:rsidRDefault="00471369">
            <w:pPr>
              <w:jc w:val="right"/>
              <w:rPr>
                <w:rFonts w:ascii="Verdana" w:hAnsi="Verdana" w:cs="Arial"/>
                <w:sz w:val="21"/>
                <w:szCs w:val="21"/>
              </w:rPr>
            </w:pPr>
          </w:p>
          <w:p w:rsidR="00471369" w:rsidRDefault="00471369">
            <w:pPr>
              <w:jc w:val="right"/>
              <w:rPr>
                <w:rFonts w:ascii="Verdana" w:hAnsi="Verdana" w:cs="Arial"/>
                <w:sz w:val="21"/>
                <w:szCs w:val="21"/>
                <w:u w:val="single"/>
              </w:rPr>
            </w:pPr>
          </w:p>
        </w:tc>
        <w:tc>
          <w:tcPr>
            <w:tcW w:w="1836" w:type="dxa"/>
          </w:tcPr>
          <w:p w:rsidR="00471369" w:rsidRDefault="00471369">
            <w:pPr>
              <w:jc w:val="right"/>
              <w:rPr>
                <w:rFonts w:ascii="Verdana" w:hAnsi="Verdana" w:cs="Arial"/>
                <w:sz w:val="21"/>
                <w:szCs w:val="21"/>
              </w:rPr>
            </w:pPr>
          </w:p>
          <w:p w:rsidR="00471369" w:rsidRDefault="00BD0A4E">
            <w:pPr>
              <w:jc w:val="right"/>
              <w:rPr>
                <w:rFonts w:ascii="Verdana" w:hAnsi="Verdana" w:cs="Arial"/>
                <w:sz w:val="21"/>
                <w:szCs w:val="21"/>
                <w:u w:val="double"/>
              </w:rPr>
            </w:pPr>
            <w:r>
              <w:rPr>
                <w:rFonts w:ascii="Verdana" w:hAnsi="Verdana" w:cs="Arial"/>
                <w:sz w:val="21"/>
                <w:szCs w:val="21"/>
                <w:u w:val="double"/>
              </w:rPr>
              <w:t>8,801</w:t>
            </w:r>
          </w:p>
        </w:tc>
      </w:tr>
    </w:tbl>
    <w:p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p>
    <w:p w:rsidR="00BD0A4E" w:rsidRDefault="00BD0A4E" w:rsidP="00BD0A4E">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14. </w:t>
      </w:r>
      <w:r>
        <w:rPr>
          <w:rFonts w:ascii="Verdana" w:hAnsi="Verdana" w:cs="Arial"/>
          <w:b/>
          <w:color w:val="000000"/>
          <w:sz w:val="21"/>
          <w:szCs w:val="21"/>
        </w:rPr>
        <w:tab/>
        <w:t>JUBILACION PATRONAL Y DESAHUCIO</w:t>
      </w:r>
    </w:p>
    <w:p w:rsidR="00BD0A4E" w:rsidRDefault="00BD0A4E" w:rsidP="00BD0A4E">
      <w:pPr>
        <w:tabs>
          <w:tab w:val="num" w:pos="567"/>
        </w:tabs>
        <w:ind w:left="567" w:hanging="567"/>
        <w:jc w:val="both"/>
        <w:rPr>
          <w:rFonts w:ascii="Verdana" w:hAnsi="Verdana" w:cs="Arial"/>
          <w:b/>
          <w:color w:val="000000"/>
          <w:sz w:val="21"/>
          <w:szCs w:val="21"/>
        </w:rPr>
      </w:pPr>
    </w:p>
    <w:p w:rsidR="00BD0A4E" w:rsidRDefault="00BD0A4E" w:rsidP="00BD0A4E">
      <w:pPr>
        <w:tabs>
          <w:tab w:val="num" w:pos="567"/>
        </w:tabs>
        <w:ind w:left="567" w:hanging="567"/>
        <w:jc w:val="both"/>
        <w:rPr>
          <w:rFonts w:ascii="Verdana" w:hAnsi="Verdana" w:cs="Arial"/>
          <w:bCs/>
          <w:color w:val="000000"/>
          <w:sz w:val="21"/>
          <w:szCs w:val="21"/>
        </w:rPr>
      </w:pPr>
      <w:r>
        <w:rPr>
          <w:rFonts w:ascii="Verdana" w:hAnsi="Verdana" w:cs="Arial"/>
          <w:b/>
          <w:color w:val="000000"/>
          <w:sz w:val="21"/>
          <w:szCs w:val="21"/>
        </w:rPr>
        <w:tab/>
      </w:r>
      <w:r>
        <w:rPr>
          <w:rFonts w:ascii="Verdana" w:hAnsi="Verdana" w:cs="Arial"/>
          <w:bCs/>
          <w:color w:val="000000"/>
          <w:sz w:val="21"/>
          <w:szCs w:val="21"/>
        </w:rPr>
        <w:t>Representan obligaciones a largo plazo por beneficios definidos a empleados, de acuerdo con la normativa legal vigente y los saldos al 31 de diciembre del 2021 y 2020 coinciden con los estudios actuariales realizados a tales fechas:</w:t>
      </w:r>
      <w:bookmarkStart w:id="19" w:name="_GoBack"/>
      <w:bookmarkEnd w:id="19"/>
    </w:p>
    <w:p w:rsidR="00DC3946" w:rsidRDefault="00DC3946" w:rsidP="00BD0A4E">
      <w:pPr>
        <w:tabs>
          <w:tab w:val="num" w:pos="567"/>
        </w:tabs>
        <w:ind w:left="567" w:hanging="567"/>
        <w:jc w:val="both"/>
        <w:rPr>
          <w:rFonts w:ascii="Verdana" w:hAnsi="Verdana" w:cs="Arial"/>
          <w:bCs/>
          <w:color w:val="000000"/>
          <w:sz w:val="21"/>
          <w:szCs w:val="21"/>
        </w:rPr>
      </w:pPr>
    </w:p>
    <w:p w:rsidR="00DC3946" w:rsidRDefault="00DC3946" w:rsidP="007D770B">
      <w:pPr>
        <w:ind w:firstLine="708"/>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552"/>
        <w:gridCol w:w="1836"/>
      </w:tblGrid>
      <w:tr w:rsidR="00DC3946" w:rsidTr="00DC3946">
        <w:tc>
          <w:tcPr>
            <w:tcW w:w="4106" w:type="dxa"/>
          </w:tcPr>
          <w:p w:rsidR="00DC3946" w:rsidRDefault="00DC3946">
            <w:pPr>
              <w:rPr>
                <w:rFonts w:ascii="Verdana" w:hAnsi="Verdana" w:cs="Arial"/>
                <w:sz w:val="21"/>
                <w:szCs w:val="21"/>
              </w:rPr>
            </w:pPr>
          </w:p>
        </w:tc>
        <w:tc>
          <w:tcPr>
            <w:tcW w:w="2552" w:type="dxa"/>
            <w:hideMark/>
          </w:tcPr>
          <w:p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rsidTr="00DC3946">
        <w:tc>
          <w:tcPr>
            <w:tcW w:w="4106" w:type="dxa"/>
          </w:tcPr>
          <w:p w:rsidR="00DC3946" w:rsidRDefault="00DC3946">
            <w:pPr>
              <w:rPr>
                <w:rFonts w:ascii="Verdana" w:hAnsi="Verdana" w:cs="Arial"/>
                <w:sz w:val="21"/>
                <w:szCs w:val="21"/>
              </w:rPr>
            </w:pPr>
          </w:p>
        </w:tc>
        <w:tc>
          <w:tcPr>
            <w:tcW w:w="2552" w:type="dxa"/>
          </w:tcPr>
          <w:p w:rsidR="00DC3946" w:rsidRDefault="00DC3946">
            <w:pPr>
              <w:jc w:val="right"/>
              <w:rPr>
                <w:rFonts w:ascii="Verdana" w:hAnsi="Verdana" w:cs="Arial"/>
                <w:sz w:val="21"/>
                <w:szCs w:val="21"/>
              </w:rPr>
            </w:pPr>
          </w:p>
        </w:tc>
        <w:tc>
          <w:tcPr>
            <w:tcW w:w="1836" w:type="dxa"/>
          </w:tcPr>
          <w:p w:rsidR="00DC3946" w:rsidRDefault="00DC3946">
            <w:pPr>
              <w:jc w:val="right"/>
              <w:rPr>
                <w:rFonts w:ascii="Verdana" w:hAnsi="Verdana" w:cs="Arial"/>
                <w:sz w:val="21"/>
                <w:szCs w:val="21"/>
              </w:rPr>
            </w:pPr>
          </w:p>
        </w:tc>
      </w:tr>
      <w:tr w:rsidR="00DC3946" w:rsidTr="00DC3946">
        <w:tc>
          <w:tcPr>
            <w:tcW w:w="4106" w:type="dxa"/>
            <w:hideMark/>
          </w:tcPr>
          <w:p w:rsidR="00DC3946" w:rsidRDefault="00DC3946">
            <w:pPr>
              <w:rPr>
                <w:rFonts w:ascii="Verdana" w:hAnsi="Verdana" w:cs="Arial"/>
                <w:sz w:val="21"/>
                <w:szCs w:val="21"/>
              </w:rPr>
            </w:pPr>
            <w:r>
              <w:rPr>
                <w:rFonts w:ascii="Verdana" w:hAnsi="Verdana" w:cs="Arial"/>
                <w:sz w:val="21"/>
                <w:szCs w:val="21"/>
              </w:rPr>
              <w:t>Saldo inicial</w:t>
            </w:r>
          </w:p>
          <w:p w:rsidR="00DC3946" w:rsidRDefault="00DC3946">
            <w:pPr>
              <w:rPr>
                <w:rFonts w:ascii="Verdana" w:hAnsi="Verdana" w:cs="Arial"/>
                <w:sz w:val="21"/>
                <w:szCs w:val="21"/>
              </w:rPr>
            </w:pPr>
          </w:p>
        </w:tc>
        <w:tc>
          <w:tcPr>
            <w:tcW w:w="2552" w:type="dxa"/>
          </w:tcPr>
          <w:p w:rsidR="00DC3946" w:rsidRDefault="00DC3946">
            <w:pPr>
              <w:jc w:val="right"/>
              <w:rPr>
                <w:rFonts w:ascii="Verdana" w:hAnsi="Verdana" w:cs="Arial"/>
                <w:sz w:val="21"/>
                <w:szCs w:val="21"/>
              </w:rPr>
            </w:pPr>
          </w:p>
        </w:tc>
        <w:tc>
          <w:tcPr>
            <w:tcW w:w="1836" w:type="dxa"/>
            <w:hideMark/>
          </w:tcPr>
          <w:p w:rsidR="00DC3946" w:rsidRDefault="00DC3946">
            <w:pPr>
              <w:jc w:val="right"/>
              <w:rPr>
                <w:rFonts w:ascii="Verdana" w:hAnsi="Verdana" w:cs="Arial"/>
                <w:sz w:val="21"/>
                <w:szCs w:val="21"/>
              </w:rPr>
            </w:pPr>
            <w:r>
              <w:rPr>
                <w:rFonts w:ascii="Verdana" w:hAnsi="Verdana" w:cs="Arial"/>
                <w:sz w:val="21"/>
                <w:szCs w:val="21"/>
              </w:rPr>
              <w:t>52,540</w:t>
            </w:r>
          </w:p>
        </w:tc>
      </w:tr>
      <w:tr w:rsidR="00DC3946" w:rsidTr="00DC3946">
        <w:tc>
          <w:tcPr>
            <w:tcW w:w="4106" w:type="dxa"/>
            <w:hideMark/>
          </w:tcPr>
          <w:p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rsidR="00DC3946" w:rsidRDefault="00DC3946">
            <w:pPr>
              <w:jc w:val="right"/>
              <w:rPr>
                <w:rFonts w:ascii="Verdana" w:hAnsi="Verdana" w:cs="Arial"/>
                <w:sz w:val="21"/>
                <w:szCs w:val="21"/>
              </w:rPr>
            </w:pPr>
          </w:p>
        </w:tc>
        <w:tc>
          <w:tcPr>
            <w:tcW w:w="1836" w:type="dxa"/>
            <w:hideMark/>
          </w:tcPr>
          <w:p w:rsidR="00DC3946" w:rsidRDefault="004F5E01">
            <w:pPr>
              <w:jc w:val="right"/>
              <w:rPr>
                <w:rFonts w:ascii="Verdana" w:hAnsi="Verdana" w:cs="Arial"/>
                <w:sz w:val="21"/>
                <w:szCs w:val="21"/>
              </w:rPr>
            </w:pPr>
            <w:r>
              <w:rPr>
                <w:rFonts w:ascii="Verdana" w:hAnsi="Verdana" w:cs="Arial"/>
                <w:sz w:val="21"/>
                <w:szCs w:val="21"/>
              </w:rPr>
              <w:t>7,397</w:t>
            </w:r>
          </w:p>
        </w:tc>
      </w:tr>
      <w:tr w:rsidR="00DC3946" w:rsidTr="00DC3946">
        <w:tc>
          <w:tcPr>
            <w:tcW w:w="4106" w:type="dxa"/>
            <w:hideMark/>
          </w:tcPr>
          <w:p w:rsidR="00DC3946" w:rsidRDefault="00DC3946">
            <w:pPr>
              <w:rPr>
                <w:rFonts w:ascii="Verdana" w:hAnsi="Verdana" w:cs="Arial"/>
                <w:sz w:val="21"/>
                <w:szCs w:val="21"/>
              </w:rPr>
            </w:pPr>
            <w:r>
              <w:rPr>
                <w:rFonts w:ascii="Verdana" w:hAnsi="Verdana" w:cs="Arial"/>
                <w:sz w:val="21"/>
                <w:szCs w:val="21"/>
              </w:rPr>
              <w:t>Otros resultados integrales</w:t>
            </w:r>
          </w:p>
          <w:p w:rsidR="00DC3946" w:rsidRDefault="00DC3946">
            <w:pPr>
              <w:rPr>
                <w:rFonts w:ascii="Verdana" w:hAnsi="Verdana" w:cs="Arial"/>
                <w:sz w:val="21"/>
                <w:szCs w:val="21"/>
              </w:rPr>
            </w:pPr>
            <w:r>
              <w:rPr>
                <w:rFonts w:ascii="Verdana" w:hAnsi="Verdana" w:cs="Arial"/>
                <w:sz w:val="21"/>
                <w:szCs w:val="21"/>
              </w:rPr>
              <w:t>Pagos</w:t>
            </w:r>
          </w:p>
        </w:tc>
        <w:tc>
          <w:tcPr>
            <w:tcW w:w="2552" w:type="dxa"/>
          </w:tcPr>
          <w:p w:rsidR="00DC3946" w:rsidRDefault="00DC3946">
            <w:pPr>
              <w:jc w:val="right"/>
              <w:rPr>
                <w:rFonts w:ascii="Verdana" w:hAnsi="Verdana" w:cs="Arial"/>
                <w:sz w:val="21"/>
                <w:szCs w:val="21"/>
              </w:rPr>
            </w:pPr>
          </w:p>
        </w:tc>
        <w:tc>
          <w:tcPr>
            <w:tcW w:w="1836" w:type="dxa"/>
            <w:hideMark/>
          </w:tcPr>
          <w:p w:rsidR="00DC3946" w:rsidRDefault="004F5E01">
            <w:pPr>
              <w:jc w:val="right"/>
              <w:rPr>
                <w:rFonts w:ascii="Verdana" w:hAnsi="Verdana" w:cs="Arial"/>
                <w:sz w:val="21"/>
                <w:szCs w:val="21"/>
              </w:rPr>
            </w:pPr>
            <w:r>
              <w:rPr>
                <w:rFonts w:ascii="Verdana" w:hAnsi="Verdana" w:cs="Arial"/>
                <w:sz w:val="21"/>
                <w:szCs w:val="21"/>
              </w:rPr>
              <w:t>(4,001</w:t>
            </w:r>
            <w:r w:rsidR="00DC3946">
              <w:rPr>
                <w:rFonts w:ascii="Verdana" w:hAnsi="Verdana" w:cs="Arial"/>
                <w:sz w:val="21"/>
                <w:szCs w:val="21"/>
              </w:rPr>
              <w:t>)</w:t>
            </w:r>
          </w:p>
          <w:p w:rsidR="00DC3946" w:rsidRDefault="004F5E01">
            <w:pPr>
              <w:jc w:val="right"/>
              <w:rPr>
                <w:rFonts w:ascii="Verdana" w:hAnsi="Verdana" w:cs="Arial"/>
                <w:sz w:val="21"/>
                <w:szCs w:val="21"/>
                <w:u w:val="single"/>
              </w:rPr>
            </w:pPr>
            <w:r>
              <w:rPr>
                <w:rFonts w:ascii="Verdana" w:hAnsi="Verdana" w:cs="Arial"/>
                <w:sz w:val="21"/>
                <w:szCs w:val="21"/>
                <w:u w:val="single"/>
              </w:rPr>
              <w:t>(5,684)</w:t>
            </w:r>
          </w:p>
        </w:tc>
      </w:tr>
      <w:tr w:rsidR="00DC3946" w:rsidTr="00DC3946">
        <w:tc>
          <w:tcPr>
            <w:tcW w:w="4106" w:type="dxa"/>
          </w:tcPr>
          <w:p w:rsidR="00DC3946" w:rsidRDefault="00DC3946">
            <w:pPr>
              <w:rPr>
                <w:rFonts w:ascii="Verdana" w:hAnsi="Verdana" w:cs="Arial"/>
                <w:sz w:val="21"/>
                <w:szCs w:val="21"/>
              </w:rPr>
            </w:pPr>
          </w:p>
          <w:p w:rsidR="00DC3946" w:rsidRDefault="00DC3946">
            <w:pPr>
              <w:rPr>
                <w:rFonts w:ascii="Verdana" w:hAnsi="Verdana" w:cs="Arial"/>
                <w:sz w:val="21"/>
                <w:szCs w:val="21"/>
              </w:rPr>
            </w:pPr>
            <w:r>
              <w:rPr>
                <w:rFonts w:ascii="Verdana" w:hAnsi="Verdana" w:cs="Arial"/>
                <w:sz w:val="21"/>
                <w:szCs w:val="21"/>
              </w:rPr>
              <w:t>Saldo Final</w:t>
            </w:r>
          </w:p>
        </w:tc>
        <w:tc>
          <w:tcPr>
            <w:tcW w:w="2552" w:type="dxa"/>
          </w:tcPr>
          <w:p w:rsidR="00DC3946" w:rsidRDefault="00DC3946">
            <w:pPr>
              <w:jc w:val="right"/>
              <w:rPr>
                <w:rFonts w:ascii="Verdana" w:hAnsi="Verdana" w:cs="Arial"/>
                <w:sz w:val="21"/>
                <w:szCs w:val="21"/>
              </w:rPr>
            </w:pPr>
          </w:p>
          <w:p w:rsidR="00DC3946" w:rsidRDefault="00DC3946">
            <w:pPr>
              <w:jc w:val="right"/>
              <w:rPr>
                <w:rFonts w:ascii="Verdana" w:hAnsi="Verdana" w:cs="Arial"/>
                <w:sz w:val="21"/>
                <w:szCs w:val="21"/>
                <w:u w:val="single"/>
              </w:rPr>
            </w:pPr>
          </w:p>
        </w:tc>
        <w:tc>
          <w:tcPr>
            <w:tcW w:w="1836" w:type="dxa"/>
          </w:tcPr>
          <w:p w:rsidR="00DC3946" w:rsidRDefault="00DC3946">
            <w:pPr>
              <w:jc w:val="right"/>
              <w:rPr>
                <w:rFonts w:ascii="Verdana" w:hAnsi="Verdana" w:cs="Arial"/>
                <w:sz w:val="21"/>
                <w:szCs w:val="21"/>
              </w:rPr>
            </w:pPr>
          </w:p>
          <w:p w:rsidR="00DC3946" w:rsidRDefault="004F5E01">
            <w:pPr>
              <w:jc w:val="right"/>
              <w:rPr>
                <w:rFonts w:ascii="Verdana" w:hAnsi="Verdana" w:cs="Arial"/>
                <w:sz w:val="21"/>
                <w:szCs w:val="21"/>
                <w:u w:val="double"/>
              </w:rPr>
            </w:pPr>
            <w:r>
              <w:rPr>
                <w:rFonts w:ascii="Verdana" w:hAnsi="Verdana" w:cs="Arial"/>
                <w:sz w:val="21"/>
                <w:szCs w:val="21"/>
                <w:u w:val="double"/>
              </w:rPr>
              <w:t>50,252</w:t>
            </w:r>
          </w:p>
        </w:tc>
      </w:tr>
    </w:tbl>
    <w:p w:rsidR="004F5E01" w:rsidRDefault="004F5E01" w:rsidP="00DC3946">
      <w:pPr>
        <w:rPr>
          <w:rFonts w:ascii="Verdana" w:hAnsi="Verdana" w:cs="Arial"/>
          <w:sz w:val="18"/>
          <w:szCs w:val="18"/>
        </w:rPr>
      </w:pPr>
    </w:p>
    <w:p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Para efectos de calcular el impuesto a la renta de la Sociedad, únicamente son deducibles los pagos efectuados por concepto de desahucio y pensiones jubilares patronales, que no provengan de provisiones efectuadas en ejercicios fiscales anteriores.</w:t>
      </w:r>
    </w:p>
    <w:p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 xml:space="preserve"> </w:t>
      </w:r>
    </w:p>
    <w:p w:rsidR="004F5E01" w:rsidRDefault="004F5E01" w:rsidP="004F5E01">
      <w:pPr>
        <w:tabs>
          <w:tab w:val="num" w:pos="567"/>
        </w:tabs>
        <w:ind w:left="567" w:hanging="567"/>
        <w:jc w:val="both"/>
        <w:rPr>
          <w:rFonts w:ascii="Verdana" w:hAnsi="Verdana" w:cs="Arial"/>
          <w:b/>
          <w:color w:val="000000"/>
          <w:sz w:val="21"/>
          <w:szCs w:val="21"/>
          <w:lang w:val="es-EC"/>
        </w:rPr>
      </w:pPr>
      <w:r>
        <w:rPr>
          <w:rFonts w:ascii="Verdana" w:hAnsi="Verdana" w:cs="Arial"/>
          <w:b/>
          <w:color w:val="000000"/>
          <w:sz w:val="21"/>
          <w:szCs w:val="21"/>
        </w:rPr>
        <w:t xml:space="preserve">15. </w:t>
      </w:r>
      <w:r>
        <w:rPr>
          <w:rFonts w:ascii="Verdana" w:hAnsi="Verdana" w:cs="Arial"/>
          <w:b/>
          <w:color w:val="000000"/>
          <w:sz w:val="21"/>
          <w:szCs w:val="21"/>
        </w:rPr>
        <w:tab/>
        <w:t>CAPITAL SOCIAL</w:t>
      </w:r>
    </w:p>
    <w:p w:rsidR="004F5E01" w:rsidRDefault="004F5E01" w:rsidP="004F5E01">
      <w:pPr>
        <w:pStyle w:val="BodyText22"/>
        <w:widowControl/>
        <w:numPr>
          <w:ilvl w:val="12"/>
          <w:numId w:val="0"/>
        </w:numPr>
        <w:tabs>
          <w:tab w:val="left" w:pos="708"/>
        </w:tabs>
        <w:spacing w:line="140" w:lineRule="exact"/>
        <w:ind w:left="567"/>
        <w:rPr>
          <w:rFonts w:ascii="Verdana" w:hAnsi="Verdana" w:cs="Arial"/>
          <w:color w:val="000000"/>
          <w:sz w:val="21"/>
          <w:szCs w:val="21"/>
        </w:rPr>
      </w:pPr>
    </w:p>
    <w:p w:rsidR="004F5E01" w:rsidRDefault="004F5E01" w:rsidP="004F5E01">
      <w:pPr>
        <w:pStyle w:val="BodyText22"/>
        <w:widowControl/>
        <w:numPr>
          <w:ilvl w:val="12"/>
          <w:numId w:val="0"/>
        </w:numPr>
        <w:tabs>
          <w:tab w:val="left" w:pos="708"/>
        </w:tabs>
        <w:ind w:left="567"/>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rsidR="004F5E01" w:rsidRDefault="004F5E01" w:rsidP="004F5E01">
      <w:pPr>
        <w:pStyle w:val="BodyText22"/>
        <w:widowControl/>
        <w:numPr>
          <w:ilvl w:val="12"/>
          <w:numId w:val="0"/>
        </w:numPr>
        <w:tabs>
          <w:tab w:val="left" w:pos="708"/>
        </w:tabs>
        <w:ind w:left="567"/>
        <w:rPr>
          <w:rFonts w:ascii="Verdana" w:hAnsi="Verdana" w:cs="Arial"/>
          <w:color w:val="000000"/>
          <w:sz w:val="21"/>
          <w:szCs w:val="21"/>
          <w:lang w:val="es-EC"/>
        </w:rPr>
      </w:pPr>
    </w:p>
    <w:p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rsidR="004F5E01" w:rsidRDefault="004F5E01" w:rsidP="004F5E0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VENTAS NETAS</w:t>
      </w:r>
    </w:p>
    <w:p w:rsidR="004F5E01" w:rsidRDefault="004F5E01" w:rsidP="004F5E01">
      <w:pPr>
        <w:rPr>
          <w:rFonts w:ascii="Verdana" w:hAnsi="Verdana" w:cs="Arial"/>
          <w:sz w:val="18"/>
          <w:szCs w:val="18"/>
        </w:rPr>
      </w:pPr>
    </w:p>
    <w:p w:rsidR="004F5E01" w:rsidRDefault="004F5E01" w:rsidP="004F5E01">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552"/>
        <w:gridCol w:w="1836"/>
      </w:tblGrid>
      <w:tr w:rsidR="004F5E01" w:rsidTr="004F5E01">
        <w:tc>
          <w:tcPr>
            <w:tcW w:w="4106" w:type="dxa"/>
          </w:tcPr>
          <w:p w:rsidR="004F5E01" w:rsidRDefault="004F5E01">
            <w:pPr>
              <w:rPr>
                <w:rFonts w:ascii="Verdana" w:hAnsi="Verdana" w:cs="Arial"/>
                <w:sz w:val="21"/>
                <w:szCs w:val="21"/>
              </w:rPr>
            </w:pPr>
          </w:p>
        </w:tc>
        <w:tc>
          <w:tcPr>
            <w:tcW w:w="2552" w:type="dxa"/>
            <w:hideMark/>
          </w:tcPr>
          <w:p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4F5E01" w:rsidRDefault="004F5E01">
            <w:pPr>
              <w:jc w:val="right"/>
              <w:rPr>
                <w:rFonts w:ascii="Verdana" w:hAnsi="Verdana" w:cs="Arial"/>
                <w:sz w:val="21"/>
                <w:szCs w:val="21"/>
                <w:u w:val="single"/>
              </w:rPr>
            </w:pPr>
            <w:r>
              <w:rPr>
                <w:rFonts w:ascii="Verdana" w:hAnsi="Verdana" w:cs="Arial"/>
                <w:sz w:val="21"/>
                <w:szCs w:val="21"/>
                <w:u w:val="single"/>
              </w:rPr>
              <w:t>2020</w:t>
            </w:r>
          </w:p>
        </w:tc>
      </w:tr>
      <w:tr w:rsidR="004F5E01" w:rsidTr="004F5E01">
        <w:tc>
          <w:tcPr>
            <w:tcW w:w="4106" w:type="dxa"/>
          </w:tcPr>
          <w:p w:rsidR="004F5E01" w:rsidRDefault="004F5E01">
            <w:pPr>
              <w:rPr>
                <w:rFonts w:ascii="Verdana" w:hAnsi="Verdana" w:cs="Arial"/>
                <w:sz w:val="21"/>
                <w:szCs w:val="21"/>
              </w:rPr>
            </w:pPr>
          </w:p>
        </w:tc>
        <w:tc>
          <w:tcPr>
            <w:tcW w:w="2552" w:type="dxa"/>
          </w:tcPr>
          <w:p w:rsidR="004F5E01" w:rsidRDefault="004F5E01">
            <w:pPr>
              <w:jc w:val="right"/>
              <w:rPr>
                <w:rFonts w:ascii="Verdana" w:hAnsi="Verdana" w:cs="Arial"/>
                <w:sz w:val="21"/>
                <w:szCs w:val="21"/>
              </w:rPr>
            </w:pPr>
          </w:p>
        </w:tc>
        <w:tc>
          <w:tcPr>
            <w:tcW w:w="1836" w:type="dxa"/>
          </w:tcPr>
          <w:p w:rsidR="004F5E01" w:rsidRDefault="004F5E01">
            <w:pPr>
              <w:jc w:val="right"/>
              <w:rPr>
                <w:rFonts w:ascii="Verdana" w:hAnsi="Verdana" w:cs="Arial"/>
                <w:sz w:val="21"/>
                <w:szCs w:val="21"/>
              </w:rPr>
            </w:pPr>
          </w:p>
        </w:tc>
      </w:tr>
      <w:tr w:rsidR="004F5E01" w:rsidTr="004F5E01">
        <w:tc>
          <w:tcPr>
            <w:tcW w:w="4106" w:type="dxa"/>
            <w:hideMark/>
          </w:tcPr>
          <w:p w:rsidR="004F5E01" w:rsidRDefault="004F5E01">
            <w:pPr>
              <w:rPr>
                <w:rFonts w:ascii="Verdana" w:hAnsi="Verdana" w:cs="Arial"/>
                <w:sz w:val="21"/>
                <w:szCs w:val="21"/>
              </w:rPr>
            </w:pPr>
            <w:r>
              <w:rPr>
                <w:rFonts w:ascii="Verdana" w:hAnsi="Verdana" w:cs="Arial"/>
                <w:sz w:val="21"/>
                <w:szCs w:val="21"/>
              </w:rPr>
              <w:t>Ventas de servicios</w:t>
            </w:r>
          </w:p>
        </w:tc>
        <w:tc>
          <w:tcPr>
            <w:tcW w:w="2552" w:type="dxa"/>
          </w:tcPr>
          <w:p w:rsidR="004F5E01" w:rsidRDefault="004F5E01">
            <w:pPr>
              <w:jc w:val="right"/>
              <w:rPr>
                <w:rFonts w:ascii="Verdana" w:hAnsi="Verdana" w:cs="Arial"/>
                <w:sz w:val="21"/>
                <w:szCs w:val="21"/>
              </w:rPr>
            </w:pPr>
          </w:p>
        </w:tc>
        <w:tc>
          <w:tcPr>
            <w:tcW w:w="1836" w:type="dxa"/>
            <w:hideMark/>
          </w:tcPr>
          <w:p w:rsidR="004F5E01" w:rsidRDefault="004F5E01">
            <w:pPr>
              <w:jc w:val="right"/>
              <w:rPr>
                <w:rFonts w:ascii="Verdana" w:hAnsi="Verdana" w:cs="Arial"/>
                <w:sz w:val="21"/>
                <w:szCs w:val="21"/>
              </w:rPr>
            </w:pPr>
            <w:r>
              <w:rPr>
                <w:rFonts w:ascii="Verdana" w:hAnsi="Verdana" w:cs="Arial"/>
                <w:sz w:val="21"/>
                <w:szCs w:val="21"/>
              </w:rPr>
              <w:t>1,138,630</w:t>
            </w:r>
          </w:p>
        </w:tc>
      </w:tr>
      <w:tr w:rsidR="004F5E01" w:rsidTr="004F5E01">
        <w:tc>
          <w:tcPr>
            <w:tcW w:w="4106" w:type="dxa"/>
            <w:hideMark/>
          </w:tcPr>
          <w:p w:rsidR="004F5E01" w:rsidRDefault="004F5E01">
            <w:pPr>
              <w:rPr>
                <w:rFonts w:ascii="Verdana" w:hAnsi="Verdana" w:cs="Arial"/>
                <w:sz w:val="21"/>
                <w:szCs w:val="21"/>
              </w:rPr>
            </w:pPr>
            <w:r>
              <w:rPr>
                <w:rFonts w:ascii="Verdana" w:hAnsi="Verdana" w:cs="Arial"/>
                <w:sz w:val="21"/>
                <w:szCs w:val="21"/>
              </w:rPr>
              <w:t>Comisiones ganadas</w:t>
            </w:r>
          </w:p>
        </w:tc>
        <w:tc>
          <w:tcPr>
            <w:tcW w:w="2552" w:type="dxa"/>
          </w:tcPr>
          <w:p w:rsidR="004F5E01" w:rsidRDefault="004F5E01">
            <w:pPr>
              <w:jc w:val="right"/>
              <w:rPr>
                <w:rFonts w:ascii="Verdana" w:hAnsi="Verdana" w:cs="Arial"/>
                <w:sz w:val="21"/>
                <w:szCs w:val="21"/>
              </w:rPr>
            </w:pPr>
          </w:p>
        </w:tc>
        <w:tc>
          <w:tcPr>
            <w:tcW w:w="1836" w:type="dxa"/>
            <w:hideMark/>
          </w:tcPr>
          <w:p w:rsidR="004F5E01" w:rsidRDefault="004F5E01">
            <w:pPr>
              <w:jc w:val="right"/>
              <w:rPr>
                <w:rFonts w:ascii="Verdana" w:hAnsi="Verdana" w:cs="Arial"/>
                <w:sz w:val="21"/>
                <w:szCs w:val="21"/>
              </w:rPr>
            </w:pPr>
            <w:r>
              <w:rPr>
                <w:rFonts w:ascii="Verdana" w:hAnsi="Verdana" w:cs="Arial"/>
                <w:sz w:val="21"/>
                <w:szCs w:val="21"/>
              </w:rPr>
              <w:t>113,619</w:t>
            </w:r>
          </w:p>
        </w:tc>
      </w:tr>
      <w:tr w:rsidR="004F5E01" w:rsidTr="004F5E01">
        <w:tc>
          <w:tcPr>
            <w:tcW w:w="4106" w:type="dxa"/>
            <w:hideMark/>
          </w:tcPr>
          <w:p w:rsidR="004F5E01" w:rsidRDefault="004F5E01">
            <w:pPr>
              <w:rPr>
                <w:rFonts w:ascii="Verdana" w:hAnsi="Verdana" w:cs="Arial"/>
                <w:sz w:val="21"/>
                <w:szCs w:val="21"/>
              </w:rPr>
            </w:pPr>
            <w:r>
              <w:rPr>
                <w:rFonts w:ascii="Verdana" w:hAnsi="Verdana" w:cs="Arial"/>
                <w:sz w:val="21"/>
                <w:szCs w:val="21"/>
              </w:rPr>
              <w:t>Ingresos por eventos propios (Nota 24)</w:t>
            </w:r>
          </w:p>
        </w:tc>
        <w:tc>
          <w:tcPr>
            <w:tcW w:w="2552" w:type="dxa"/>
          </w:tcPr>
          <w:p w:rsidR="004F5E01" w:rsidRDefault="004F5E01">
            <w:pPr>
              <w:jc w:val="right"/>
              <w:rPr>
                <w:rFonts w:ascii="Verdana" w:hAnsi="Verdana" w:cs="Arial"/>
                <w:sz w:val="21"/>
                <w:szCs w:val="21"/>
              </w:rPr>
            </w:pPr>
          </w:p>
        </w:tc>
        <w:tc>
          <w:tcPr>
            <w:tcW w:w="1836" w:type="dxa"/>
            <w:hideMark/>
          </w:tcPr>
          <w:p w:rsidR="004F5E01" w:rsidRDefault="004F5E01" w:rsidP="004F5E01">
            <w:pPr>
              <w:jc w:val="right"/>
              <w:rPr>
                <w:rFonts w:ascii="Verdana" w:hAnsi="Verdana" w:cs="Arial"/>
                <w:sz w:val="21"/>
                <w:szCs w:val="21"/>
                <w:u w:val="single"/>
              </w:rPr>
            </w:pPr>
            <w:r>
              <w:rPr>
                <w:rFonts w:ascii="Verdana" w:hAnsi="Verdana" w:cs="Arial"/>
                <w:sz w:val="21"/>
                <w:szCs w:val="21"/>
                <w:u w:val="single"/>
              </w:rPr>
              <w:t>0</w:t>
            </w:r>
          </w:p>
        </w:tc>
      </w:tr>
      <w:tr w:rsidR="004F5E01" w:rsidTr="004F5E01">
        <w:tc>
          <w:tcPr>
            <w:tcW w:w="4106" w:type="dxa"/>
          </w:tcPr>
          <w:p w:rsidR="004F5E01" w:rsidRDefault="004F5E01">
            <w:pPr>
              <w:rPr>
                <w:rFonts w:ascii="Verdana" w:hAnsi="Verdana" w:cs="Arial"/>
                <w:sz w:val="21"/>
                <w:szCs w:val="21"/>
              </w:rPr>
            </w:pPr>
          </w:p>
          <w:p w:rsidR="004F5E01" w:rsidRDefault="004F5E01">
            <w:pPr>
              <w:rPr>
                <w:rFonts w:ascii="Verdana" w:hAnsi="Verdana" w:cs="Arial"/>
                <w:sz w:val="21"/>
                <w:szCs w:val="21"/>
              </w:rPr>
            </w:pPr>
            <w:r>
              <w:rPr>
                <w:rFonts w:ascii="Verdana" w:hAnsi="Verdana" w:cs="Arial"/>
                <w:sz w:val="21"/>
                <w:szCs w:val="21"/>
              </w:rPr>
              <w:t>Total</w:t>
            </w:r>
          </w:p>
        </w:tc>
        <w:tc>
          <w:tcPr>
            <w:tcW w:w="2552" w:type="dxa"/>
          </w:tcPr>
          <w:p w:rsidR="004F5E01" w:rsidRDefault="004F5E01">
            <w:pPr>
              <w:jc w:val="right"/>
              <w:rPr>
                <w:rFonts w:ascii="Verdana" w:hAnsi="Verdana" w:cs="Arial"/>
                <w:sz w:val="21"/>
                <w:szCs w:val="21"/>
              </w:rPr>
            </w:pPr>
          </w:p>
          <w:p w:rsidR="004F5E01" w:rsidRDefault="004F5E01">
            <w:pPr>
              <w:jc w:val="right"/>
              <w:rPr>
                <w:rFonts w:ascii="Verdana" w:hAnsi="Verdana" w:cs="Arial"/>
                <w:sz w:val="21"/>
                <w:szCs w:val="21"/>
                <w:u w:val="single"/>
              </w:rPr>
            </w:pPr>
          </w:p>
        </w:tc>
        <w:tc>
          <w:tcPr>
            <w:tcW w:w="1836" w:type="dxa"/>
          </w:tcPr>
          <w:p w:rsidR="004F5E01" w:rsidRDefault="004F5E01">
            <w:pPr>
              <w:jc w:val="right"/>
              <w:rPr>
                <w:rFonts w:ascii="Verdana" w:hAnsi="Verdana" w:cs="Arial"/>
                <w:sz w:val="21"/>
                <w:szCs w:val="21"/>
              </w:rPr>
            </w:pPr>
          </w:p>
          <w:p w:rsidR="004F5E01" w:rsidRDefault="004F5E01">
            <w:pPr>
              <w:jc w:val="right"/>
              <w:rPr>
                <w:rFonts w:ascii="Verdana" w:hAnsi="Verdana" w:cs="Arial"/>
                <w:sz w:val="21"/>
                <w:szCs w:val="21"/>
                <w:u w:val="double"/>
              </w:rPr>
            </w:pPr>
            <w:r>
              <w:rPr>
                <w:rFonts w:ascii="Verdana" w:hAnsi="Verdana" w:cs="Arial"/>
                <w:sz w:val="21"/>
                <w:szCs w:val="21"/>
                <w:u w:val="double"/>
              </w:rPr>
              <w:t>1,252,249</w:t>
            </w:r>
          </w:p>
        </w:tc>
      </w:tr>
    </w:tbl>
    <w:p w:rsidR="00B55214" w:rsidRDefault="00B55214" w:rsidP="004F5E01">
      <w:pPr>
        <w:rPr>
          <w:rFonts w:ascii="Verdana" w:hAnsi="Verdana" w:cs="Arial"/>
          <w:sz w:val="18"/>
          <w:szCs w:val="18"/>
        </w:rPr>
      </w:pPr>
    </w:p>
    <w:p w:rsidR="00B55214" w:rsidRDefault="00B55214" w:rsidP="00B55214">
      <w:pPr>
        <w:rPr>
          <w:rFonts w:ascii="Verdana" w:hAnsi="Verdana" w:cs="Arial"/>
          <w:sz w:val="18"/>
          <w:szCs w:val="18"/>
        </w:rPr>
      </w:pPr>
      <w:r>
        <w:rPr>
          <w:rFonts w:ascii="Verdana" w:hAnsi="Verdana" w:cs="Arial"/>
          <w:b/>
          <w:color w:val="000000"/>
          <w:sz w:val="21"/>
          <w:szCs w:val="21"/>
        </w:rPr>
        <w:t xml:space="preserve">17. </w:t>
      </w:r>
      <w:r>
        <w:rPr>
          <w:rFonts w:ascii="Verdana" w:hAnsi="Verdana" w:cs="Arial"/>
          <w:b/>
          <w:color w:val="000000"/>
          <w:sz w:val="21"/>
          <w:szCs w:val="21"/>
        </w:rPr>
        <w:tab/>
        <w:t>COSTO DE VENTAS</w:t>
      </w:r>
    </w:p>
    <w:p w:rsidR="00B55214" w:rsidRPr="00B55214" w:rsidRDefault="00B55214" w:rsidP="00B55214">
      <w:pPr>
        <w:rPr>
          <w:rFonts w:ascii="Verdana" w:hAnsi="Verdana" w:cs="Arial"/>
          <w:sz w:val="18"/>
          <w:szCs w:val="18"/>
        </w:rPr>
      </w:pPr>
    </w:p>
    <w:p w:rsidR="00B55214" w:rsidRDefault="00B55214">
      <w:pPr>
        <w:spacing w:after="160" w:line="259" w:lineRule="auto"/>
        <w:rPr>
          <w:rFonts w:ascii="Verdana" w:hAnsi="Verdana" w:cs="Arial"/>
          <w:sz w:val="18"/>
          <w:szCs w:val="18"/>
        </w:rPr>
      </w:pPr>
      <w:r>
        <w:rPr>
          <w:rFonts w:ascii="Verdana" w:hAnsi="Verdana" w:cs="Arial"/>
          <w:sz w:val="18"/>
          <w:szCs w:val="18"/>
        </w:rPr>
        <w:br w:type="page"/>
      </w:r>
    </w:p>
    <w:p w:rsidR="00B55214" w:rsidRDefault="00B55214" w:rsidP="00B55214">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2552"/>
        <w:gridCol w:w="1836"/>
      </w:tblGrid>
      <w:tr w:rsidR="00B55214" w:rsidTr="003B7EC7">
        <w:tc>
          <w:tcPr>
            <w:tcW w:w="4106" w:type="dxa"/>
          </w:tcPr>
          <w:p w:rsidR="00B55214" w:rsidRDefault="00B55214">
            <w:pPr>
              <w:rPr>
                <w:rFonts w:ascii="Verdana" w:hAnsi="Verdana" w:cs="Arial"/>
                <w:sz w:val="21"/>
                <w:szCs w:val="21"/>
              </w:rPr>
            </w:pPr>
          </w:p>
        </w:tc>
        <w:tc>
          <w:tcPr>
            <w:tcW w:w="2552" w:type="dxa"/>
            <w:hideMark/>
          </w:tcPr>
          <w:p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B55214" w:rsidRDefault="00B55214">
            <w:pPr>
              <w:jc w:val="right"/>
              <w:rPr>
                <w:rFonts w:ascii="Verdana" w:hAnsi="Verdana" w:cs="Arial"/>
                <w:sz w:val="21"/>
                <w:szCs w:val="21"/>
                <w:u w:val="single"/>
              </w:rPr>
            </w:pPr>
            <w:r>
              <w:rPr>
                <w:rFonts w:ascii="Verdana" w:hAnsi="Verdana" w:cs="Arial"/>
                <w:sz w:val="21"/>
                <w:szCs w:val="21"/>
                <w:u w:val="single"/>
              </w:rPr>
              <w:t>2020</w:t>
            </w:r>
          </w:p>
        </w:tc>
      </w:tr>
      <w:tr w:rsidR="00B55214" w:rsidTr="003B7EC7">
        <w:tc>
          <w:tcPr>
            <w:tcW w:w="4106" w:type="dxa"/>
          </w:tcPr>
          <w:p w:rsidR="00B55214" w:rsidRDefault="00B55214">
            <w:pPr>
              <w:rPr>
                <w:rFonts w:ascii="Verdana" w:hAnsi="Verdana" w:cs="Arial"/>
                <w:sz w:val="21"/>
                <w:szCs w:val="21"/>
              </w:rPr>
            </w:pPr>
          </w:p>
        </w:tc>
        <w:tc>
          <w:tcPr>
            <w:tcW w:w="2552" w:type="dxa"/>
          </w:tcPr>
          <w:p w:rsidR="00B55214" w:rsidRDefault="00B55214">
            <w:pPr>
              <w:jc w:val="right"/>
              <w:rPr>
                <w:rFonts w:ascii="Verdana" w:hAnsi="Verdana" w:cs="Arial"/>
                <w:sz w:val="21"/>
                <w:szCs w:val="21"/>
              </w:rPr>
            </w:pPr>
          </w:p>
        </w:tc>
        <w:tc>
          <w:tcPr>
            <w:tcW w:w="1836" w:type="dxa"/>
          </w:tcPr>
          <w:p w:rsidR="00B55214" w:rsidRDefault="00B55214">
            <w:pPr>
              <w:jc w:val="right"/>
              <w:rPr>
                <w:rFonts w:ascii="Verdana" w:hAnsi="Verdana" w:cs="Arial"/>
                <w:sz w:val="21"/>
                <w:szCs w:val="21"/>
              </w:rPr>
            </w:pPr>
          </w:p>
        </w:tc>
      </w:tr>
      <w:tr w:rsidR="00B55214" w:rsidTr="003B7EC7">
        <w:tc>
          <w:tcPr>
            <w:tcW w:w="4106" w:type="dxa"/>
            <w:hideMark/>
          </w:tcPr>
          <w:p w:rsidR="00B55214" w:rsidRDefault="00B55214">
            <w:pPr>
              <w:rPr>
                <w:rFonts w:ascii="Verdana" w:hAnsi="Verdana" w:cs="Arial"/>
                <w:sz w:val="21"/>
                <w:szCs w:val="21"/>
              </w:rPr>
            </w:pPr>
            <w:r>
              <w:rPr>
                <w:rFonts w:ascii="Verdana" w:hAnsi="Verdana" w:cs="Arial"/>
                <w:sz w:val="21"/>
                <w:szCs w:val="21"/>
              </w:rPr>
              <w:t>Servicios de iluminación y stands</w:t>
            </w:r>
          </w:p>
        </w:tc>
        <w:tc>
          <w:tcPr>
            <w:tcW w:w="2552" w:type="dxa"/>
          </w:tcPr>
          <w:p w:rsidR="00B55214" w:rsidRDefault="00B55214">
            <w:pPr>
              <w:jc w:val="right"/>
              <w:rPr>
                <w:rFonts w:ascii="Verdana" w:hAnsi="Verdana" w:cs="Arial"/>
                <w:sz w:val="21"/>
                <w:szCs w:val="21"/>
              </w:rPr>
            </w:pPr>
          </w:p>
        </w:tc>
        <w:tc>
          <w:tcPr>
            <w:tcW w:w="1836" w:type="dxa"/>
            <w:hideMark/>
          </w:tcPr>
          <w:p w:rsidR="00B55214" w:rsidRDefault="002C1A3F">
            <w:pPr>
              <w:jc w:val="right"/>
              <w:rPr>
                <w:rFonts w:ascii="Verdana" w:hAnsi="Verdana" w:cs="Arial"/>
                <w:sz w:val="21"/>
                <w:szCs w:val="21"/>
              </w:rPr>
            </w:pPr>
            <w:r>
              <w:rPr>
                <w:rFonts w:ascii="Verdana" w:hAnsi="Verdana" w:cs="Arial"/>
                <w:sz w:val="21"/>
                <w:szCs w:val="21"/>
              </w:rPr>
              <w:t>401,659</w:t>
            </w:r>
          </w:p>
        </w:tc>
      </w:tr>
      <w:tr w:rsidR="00B55214" w:rsidTr="003B7EC7">
        <w:tc>
          <w:tcPr>
            <w:tcW w:w="4106" w:type="dxa"/>
            <w:hideMark/>
          </w:tcPr>
          <w:p w:rsidR="00B55214" w:rsidRDefault="00B55214">
            <w:pPr>
              <w:rPr>
                <w:rFonts w:ascii="Verdana" w:hAnsi="Verdana" w:cs="Arial"/>
                <w:sz w:val="21"/>
                <w:szCs w:val="21"/>
              </w:rPr>
            </w:pPr>
            <w:r>
              <w:rPr>
                <w:rFonts w:ascii="Verdana" w:hAnsi="Verdana" w:cs="Arial"/>
                <w:sz w:val="21"/>
                <w:szCs w:val="21"/>
              </w:rPr>
              <w:t>Materiales de producción</w:t>
            </w:r>
          </w:p>
        </w:tc>
        <w:tc>
          <w:tcPr>
            <w:tcW w:w="2552" w:type="dxa"/>
          </w:tcPr>
          <w:p w:rsidR="00B55214" w:rsidRDefault="00B55214">
            <w:pPr>
              <w:jc w:val="right"/>
              <w:rPr>
                <w:rFonts w:ascii="Verdana" w:hAnsi="Verdana" w:cs="Arial"/>
                <w:sz w:val="21"/>
                <w:szCs w:val="21"/>
              </w:rPr>
            </w:pPr>
          </w:p>
        </w:tc>
        <w:tc>
          <w:tcPr>
            <w:tcW w:w="1836" w:type="dxa"/>
            <w:hideMark/>
          </w:tcPr>
          <w:p w:rsidR="00B55214" w:rsidRDefault="002C1A3F">
            <w:pPr>
              <w:jc w:val="right"/>
              <w:rPr>
                <w:rFonts w:ascii="Verdana" w:hAnsi="Verdana" w:cs="Arial"/>
                <w:sz w:val="21"/>
                <w:szCs w:val="21"/>
              </w:rPr>
            </w:pPr>
            <w:r>
              <w:rPr>
                <w:rFonts w:ascii="Verdana" w:hAnsi="Verdana" w:cs="Arial"/>
                <w:sz w:val="21"/>
                <w:szCs w:val="21"/>
              </w:rPr>
              <w:t>151,941</w:t>
            </w:r>
          </w:p>
        </w:tc>
      </w:tr>
      <w:tr w:rsidR="00B55214" w:rsidTr="003B7EC7">
        <w:tc>
          <w:tcPr>
            <w:tcW w:w="4106" w:type="dxa"/>
            <w:hideMark/>
          </w:tcPr>
          <w:p w:rsidR="002C1A3F" w:rsidRDefault="002C1A3F">
            <w:pPr>
              <w:rPr>
                <w:rFonts w:ascii="Verdana" w:hAnsi="Verdana" w:cs="Arial"/>
                <w:sz w:val="21"/>
                <w:szCs w:val="21"/>
              </w:rPr>
            </w:pPr>
            <w:r>
              <w:rPr>
                <w:rFonts w:ascii="Verdana" w:hAnsi="Verdana" w:cs="Arial"/>
                <w:sz w:val="21"/>
                <w:szCs w:val="21"/>
              </w:rPr>
              <w:t>Sueldos y beneficios de trabajadores</w:t>
            </w:r>
          </w:p>
          <w:p w:rsidR="00B55214" w:rsidRDefault="00B55214">
            <w:pPr>
              <w:rPr>
                <w:rFonts w:ascii="Verdana" w:hAnsi="Verdana" w:cs="Arial"/>
                <w:sz w:val="21"/>
                <w:szCs w:val="21"/>
              </w:rPr>
            </w:pPr>
            <w:r>
              <w:rPr>
                <w:rFonts w:ascii="Verdana" w:hAnsi="Verdana" w:cs="Arial"/>
                <w:sz w:val="21"/>
                <w:szCs w:val="21"/>
              </w:rPr>
              <w:t>Personal externo contratado</w:t>
            </w:r>
          </w:p>
          <w:p w:rsidR="00B55214" w:rsidRDefault="00B55214">
            <w:pPr>
              <w:rPr>
                <w:rFonts w:ascii="Verdana" w:hAnsi="Verdana" w:cs="Arial"/>
                <w:sz w:val="21"/>
                <w:szCs w:val="21"/>
              </w:rPr>
            </w:pPr>
            <w:r>
              <w:rPr>
                <w:rFonts w:ascii="Verdana" w:hAnsi="Verdana" w:cs="Arial"/>
                <w:sz w:val="21"/>
                <w:szCs w:val="21"/>
              </w:rPr>
              <w:t>Costos de eventos propios (Nota 24)</w:t>
            </w:r>
          </w:p>
          <w:p w:rsidR="00B55214" w:rsidRDefault="00B55214">
            <w:pPr>
              <w:rPr>
                <w:rFonts w:ascii="Verdana" w:hAnsi="Verdana" w:cs="Arial"/>
                <w:sz w:val="21"/>
                <w:szCs w:val="21"/>
              </w:rPr>
            </w:pPr>
            <w:r>
              <w:rPr>
                <w:rFonts w:ascii="Verdana" w:hAnsi="Verdana" w:cs="Arial"/>
                <w:sz w:val="21"/>
                <w:szCs w:val="21"/>
              </w:rPr>
              <w:t>Eventos contratados</w:t>
            </w:r>
          </w:p>
          <w:p w:rsidR="00B55214" w:rsidRDefault="00B55214">
            <w:pPr>
              <w:rPr>
                <w:rFonts w:ascii="Verdana" w:hAnsi="Verdana" w:cs="Arial"/>
                <w:sz w:val="21"/>
                <w:szCs w:val="21"/>
              </w:rPr>
            </w:pPr>
            <w:r>
              <w:rPr>
                <w:rFonts w:ascii="Verdana" w:hAnsi="Verdana" w:cs="Arial"/>
                <w:sz w:val="21"/>
                <w:szCs w:val="21"/>
              </w:rPr>
              <w:t xml:space="preserve">Otros </w:t>
            </w:r>
            <w:r w:rsidR="002C1A3F">
              <w:rPr>
                <w:rFonts w:ascii="Verdana" w:hAnsi="Verdana" w:cs="Arial"/>
                <w:sz w:val="21"/>
                <w:szCs w:val="21"/>
              </w:rPr>
              <w:t>costos de producción y ventas</w:t>
            </w:r>
          </w:p>
        </w:tc>
        <w:tc>
          <w:tcPr>
            <w:tcW w:w="2552" w:type="dxa"/>
          </w:tcPr>
          <w:p w:rsidR="00B55214" w:rsidRDefault="00B55214">
            <w:pPr>
              <w:jc w:val="right"/>
              <w:rPr>
                <w:rFonts w:ascii="Verdana" w:hAnsi="Verdana" w:cs="Arial"/>
                <w:sz w:val="21"/>
                <w:szCs w:val="21"/>
              </w:rPr>
            </w:pPr>
          </w:p>
        </w:tc>
        <w:tc>
          <w:tcPr>
            <w:tcW w:w="1836" w:type="dxa"/>
            <w:hideMark/>
          </w:tcPr>
          <w:p w:rsidR="00B55214" w:rsidRDefault="002C1A3F">
            <w:pPr>
              <w:jc w:val="right"/>
              <w:rPr>
                <w:rFonts w:ascii="Verdana" w:hAnsi="Verdana" w:cs="Arial"/>
                <w:sz w:val="21"/>
                <w:szCs w:val="21"/>
              </w:rPr>
            </w:pPr>
            <w:r>
              <w:rPr>
                <w:rFonts w:ascii="Verdana" w:hAnsi="Verdana" w:cs="Arial"/>
                <w:sz w:val="21"/>
                <w:szCs w:val="21"/>
              </w:rPr>
              <w:t>133,967</w:t>
            </w:r>
          </w:p>
          <w:p w:rsidR="00B55214" w:rsidRDefault="003B7EC7">
            <w:pPr>
              <w:jc w:val="right"/>
              <w:rPr>
                <w:rFonts w:ascii="Verdana" w:hAnsi="Verdana" w:cs="Arial"/>
                <w:sz w:val="21"/>
                <w:szCs w:val="21"/>
              </w:rPr>
            </w:pPr>
            <w:r>
              <w:rPr>
                <w:rFonts w:ascii="Verdana" w:hAnsi="Verdana" w:cs="Arial"/>
                <w:sz w:val="21"/>
                <w:szCs w:val="21"/>
              </w:rPr>
              <w:t>122,313</w:t>
            </w:r>
          </w:p>
          <w:p w:rsidR="003B7EC7" w:rsidRDefault="003B7EC7">
            <w:pPr>
              <w:jc w:val="right"/>
              <w:rPr>
                <w:rFonts w:ascii="Verdana" w:hAnsi="Verdana" w:cs="Arial"/>
                <w:sz w:val="21"/>
                <w:szCs w:val="21"/>
              </w:rPr>
            </w:pPr>
            <w:r>
              <w:rPr>
                <w:rFonts w:ascii="Verdana" w:hAnsi="Verdana" w:cs="Arial"/>
                <w:sz w:val="21"/>
                <w:szCs w:val="21"/>
              </w:rPr>
              <w:t>0</w:t>
            </w:r>
          </w:p>
          <w:p w:rsidR="003B7EC7" w:rsidRDefault="003B7EC7">
            <w:pPr>
              <w:jc w:val="right"/>
              <w:rPr>
                <w:rFonts w:ascii="Verdana" w:hAnsi="Verdana" w:cs="Arial"/>
                <w:sz w:val="21"/>
                <w:szCs w:val="21"/>
              </w:rPr>
            </w:pPr>
            <w:r>
              <w:rPr>
                <w:rFonts w:ascii="Verdana" w:hAnsi="Verdana" w:cs="Arial"/>
                <w:sz w:val="21"/>
                <w:szCs w:val="21"/>
              </w:rPr>
              <w:t>96,583</w:t>
            </w:r>
          </w:p>
          <w:p w:rsidR="003B7EC7" w:rsidRPr="003B7EC7" w:rsidRDefault="003B7EC7">
            <w:pPr>
              <w:jc w:val="right"/>
              <w:rPr>
                <w:rFonts w:ascii="Verdana" w:hAnsi="Verdana" w:cs="Arial"/>
                <w:sz w:val="21"/>
                <w:szCs w:val="21"/>
                <w:u w:val="single"/>
              </w:rPr>
            </w:pPr>
            <w:r>
              <w:rPr>
                <w:rFonts w:ascii="Verdana" w:hAnsi="Verdana" w:cs="Arial"/>
                <w:sz w:val="21"/>
                <w:szCs w:val="21"/>
                <w:u w:val="single"/>
              </w:rPr>
              <w:t>181,034</w:t>
            </w:r>
          </w:p>
        </w:tc>
      </w:tr>
      <w:tr w:rsidR="00B55214" w:rsidTr="003B7EC7">
        <w:tc>
          <w:tcPr>
            <w:tcW w:w="4106" w:type="dxa"/>
          </w:tcPr>
          <w:p w:rsidR="00B55214" w:rsidRDefault="00B55214">
            <w:pPr>
              <w:rPr>
                <w:rFonts w:ascii="Verdana" w:hAnsi="Verdana" w:cs="Arial"/>
                <w:sz w:val="21"/>
                <w:szCs w:val="21"/>
              </w:rPr>
            </w:pPr>
          </w:p>
          <w:p w:rsidR="00B55214" w:rsidRDefault="002C1A3F">
            <w:pPr>
              <w:rPr>
                <w:rFonts w:ascii="Verdana" w:hAnsi="Verdana" w:cs="Arial"/>
                <w:sz w:val="21"/>
                <w:szCs w:val="21"/>
              </w:rPr>
            </w:pPr>
            <w:r>
              <w:rPr>
                <w:rFonts w:ascii="Verdana" w:hAnsi="Verdana" w:cs="Arial"/>
                <w:sz w:val="21"/>
                <w:szCs w:val="21"/>
              </w:rPr>
              <w:t>Total</w:t>
            </w:r>
          </w:p>
        </w:tc>
        <w:tc>
          <w:tcPr>
            <w:tcW w:w="2552" w:type="dxa"/>
          </w:tcPr>
          <w:p w:rsidR="00B55214" w:rsidRDefault="00B55214">
            <w:pPr>
              <w:jc w:val="right"/>
              <w:rPr>
                <w:rFonts w:ascii="Verdana" w:hAnsi="Verdana" w:cs="Arial"/>
                <w:sz w:val="21"/>
                <w:szCs w:val="21"/>
              </w:rPr>
            </w:pPr>
          </w:p>
          <w:p w:rsidR="00B55214" w:rsidRDefault="00B55214">
            <w:pPr>
              <w:jc w:val="right"/>
              <w:rPr>
                <w:rFonts w:ascii="Verdana" w:hAnsi="Verdana" w:cs="Arial"/>
                <w:sz w:val="21"/>
                <w:szCs w:val="21"/>
                <w:u w:val="single"/>
              </w:rPr>
            </w:pPr>
          </w:p>
        </w:tc>
        <w:tc>
          <w:tcPr>
            <w:tcW w:w="1836" w:type="dxa"/>
          </w:tcPr>
          <w:p w:rsidR="00B55214" w:rsidRDefault="00B55214">
            <w:pPr>
              <w:jc w:val="right"/>
              <w:rPr>
                <w:rFonts w:ascii="Verdana" w:hAnsi="Verdana" w:cs="Arial"/>
                <w:sz w:val="21"/>
                <w:szCs w:val="21"/>
              </w:rPr>
            </w:pPr>
          </w:p>
          <w:p w:rsidR="00B55214" w:rsidRDefault="003B7EC7">
            <w:pPr>
              <w:jc w:val="right"/>
              <w:rPr>
                <w:rFonts w:ascii="Verdana" w:hAnsi="Verdana" w:cs="Arial"/>
                <w:sz w:val="21"/>
                <w:szCs w:val="21"/>
                <w:u w:val="double"/>
              </w:rPr>
            </w:pPr>
            <w:r>
              <w:rPr>
                <w:rFonts w:ascii="Verdana" w:hAnsi="Verdana" w:cs="Arial"/>
                <w:sz w:val="21"/>
                <w:szCs w:val="21"/>
                <w:u w:val="double"/>
              </w:rPr>
              <w:t>1,087,497</w:t>
            </w:r>
          </w:p>
        </w:tc>
      </w:tr>
    </w:tbl>
    <w:p w:rsidR="003B7EC7" w:rsidRDefault="003B7EC7" w:rsidP="00B55214">
      <w:pPr>
        <w:rPr>
          <w:rFonts w:ascii="Verdana" w:hAnsi="Verdana" w:cs="Arial"/>
          <w:sz w:val="18"/>
          <w:szCs w:val="18"/>
        </w:rPr>
      </w:pPr>
    </w:p>
    <w:p w:rsidR="003B7EC7" w:rsidRDefault="003B7EC7" w:rsidP="003B7EC7">
      <w:pPr>
        <w:tabs>
          <w:tab w:val="num" w:pos="567"/>
        </w:tabs>
        <w:ind w:left="567" w:hanging="567"/>
        <w:jc w:val="both"/>
        <w:rPr>
          <w:rFonts w:ascii="Verdana" w:hAnsi="Verdana" w:cs="Arial"/>
          <w:b/>
          <w:color w:val="000000"/>
          <w:sz w:val="21"/>
          <w:szCs w:val="21"/>
        </w:rPr>
      </w:pPr>
      <w:r>
        <w:rPr>
          <w:rFonts w:ascii="Verdana" w:hAnsi="Verdana" w:cs="Arial"/>
          <w:b/>
          <w:sz w:val="21"/>
          <w:szCs w:val="21"/>
        </w:rPr>
        <w:t xml:space="preserve">18. </w:t>
      </w:r>
      <w:r>
        <w:rPr>
          <w:rFonts w:ascii="Verdana" w:hAnsi="Verdana" w:cs="Arial"/>
          <w:b/>
          <w:sz w:val="21"/>
          <w:szCs w:val="21"/>
        </w:rPr>
        <w:tab/>
      </w:r>
      <w:r>
        <w:rPr>
          <w:rFonts w:ascii="Verdana" w:hAnsi="Verdana" w:cs="Arial"/>
          <w:b/>
          <w:color w:val="000000"/>
          <w:sz w:val="21"/>
          <w:szCs w:val="21"/>
        </w:rPr>
        <w:t>GASTOS DE ADMINISTRACION Y VENTAS</w:t>
      </w:r>
    </w:p>
    <w:p w:rsidR="00272CED" w:rsidRDefault="00272CED" w:rsidP="003B7EC7">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2014"/>
        <w:gridCol w:w="1836"/>
      </w:tblGrid>
      <w:tr w:rsidR="003B7EC7" w:rsidTr="00BF100F">
        <w:tc>
          <w:tcPr>
            <w:tcW w:w="4644" w:type="dxa"/>
          </w:tcPr>
          <w:p w:rsidR="003B7EC7" w:rsidRDefault="003B7EC7">
            <w:pPr>
              <w:rPr>
                <w:rFonts w:ascii="Verdana" w:hAnsi="Verdana" w:cs="Arial"/>
                <w:sz w:val="21"/>
                <w:szCs w:val="21"/>
              </w:rPr>
            </w:pPr>
          </w:p>
        </w:tc>
        <w:tc>
          <w:tcPr>
            <w:tcW w:w="2014" w:type="dxa"/>
            <w:hideMark/>
          </w:tcPr>
          <w:p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rsidTr="00BF100F">
        <w:tc>
          <w:tcPr>
            <w:tcW w:w="4644" w:type="dxa"/>
          </w:tcPr>
          <w:p w:rsidR="003B7EC7" w:rsidRDefault="003B7EC7">
            <w:pPr>
              <w:rPr>
                <w:rFonts w:ascii="Verdana" w:hAnsi="Verdana" w:cs="Arial"/>
                <w:sz w:val="21"/>
                <w:szCs w:val="21"/>
              </w:rPr>
            </w:pPr>
          </w:p>
        </w:tc>
        <w:tc>
          <w:tcPr>
            <w:tcW w:w="2014" w:type="dxa"/>
          </w:tcPr>
          <w:p w:rsidR="003B7EC7" w:rsidRDefault="003B7EC7">
            <w:pPr>
              <w:jc w:val="right"/>
              <w:rPr>
                <w:rFonts w:ascii="Verdana" w:hAnsi="Verdana" w:cs="Arial"/>
                <w:sz w:val="21"/>
                <w:szCs w:val="21"/>
              </w:rPr>
            </w:pPr>
          </w:p>
        </w:tc>
        <w:tc>
          <w:tcPr>
            <w:tcW w:w="1836" w:type="dxa"/>
          </w:tcPr>
          <w:p w:rsidR="003B7EC7" w:rsidRDefault="003B7EC7">
            <w:pPr>
              <w:jc w:val="right"/>
              <w:rPr>
                <w:rFonts w:ascii="Verdana" w:hAnsi="Verdana" w:cs="Arial"/>
                <w:sz w:val="21"/>
                <w:szCs w:val="21"/>
              </w:rPr>
            </w:pPr>
          </w:p>
        </w:tc>
      </w:tr>
      <w:tr w:rsidR="003B7EC7" w:rsidTr="00BF100F">
        <w:tc>
          <w:tcPr>
            <w:tcW w:w="4644" w:type="dxa"/>
            <w:hideMark/>
          </w:tcPr>
          <w:p w:rsidR="003B7EC7" w:rsidRDefault="003B7EC7">
            <w:pPr>
              <w:rPr>
                <w:rFonts w:ascii="Verdana" w:hAnsi="Verdana" w:cs="Arial"/>
                <w:sz w:val="21"/>
                <w:szCs w:val="21"/>
              </w:rPr>
            </w:pPr>
            <w:r>
              <w:rPr>
                <w:rFonts w:ascii="Verdana" w:hAnsi="Verdana" w:cs="Arial"/>
                <w:sz w:val="21"/>
                <w:szCs w:val="21"/>
              </w:rPr>
              <w:t>Sueldos y beneficios de trabajadores</w:t>
            </w:r>
          </w:p>
        </w:tc>
        <w:tc>
          <w:tcPr>
            <w:tcW w:w="2014" w:type="dxa"/>
          </w:tcPr>
          <w:p w:rsidR="003B7EC7" w:rsidRDefault="003B7EC7">
            <w:pPr>
              <w:jc w:val="right"/>
              <w:rPr>
                <w:rFonts w:ascii="Verdana" w:hAnsi="Verdana" w:cs="Arial"/>
                <w:sz w:val="21"/>
                <w:szCs w:val="21"/>
              </w:rPr>
            </w:pPr>
          </w:p>
        </w:tc>
        <w:tc>
          <w:tcPr>
            <w:tcW w:w="1836" w:type="dxa"/>
            <w:hideMark/>
          </w:tcPr>
          <w:p w:rsidR="003B7EC7" w:rsidRDefault="00BF100F">
            <w:pPr>
              <w:jc w:val="right"/>
              <w:rPr>
                <w:rFonts w:ascii="Verdana" w:hAnsi="Verdana" w:cs="Arial"/>
                <w:sz w:val="21"/>
                <w:szCs w:val="21"/>
              </w:rPr>
            </w:pPr>
            <w:r>
              <w:rPr>
                <w:rFonts w:ascii="Verdana" w:hAnsi="Verdana" w:cs="Arial"/>
                <w:sz w:val="21"/>
                <w:szCs w:val="21"/>
              </w:rPr>
              <w:t>73,858</w:t>
            </w:r>
          </w:p>
        </w:tc>
      </w:tr>
      <w:tr w:rsidR="003B7EC7" w:rsidTr="00BF100F">
        <w:tc>
          <w:tcPr>
            <w:tcW w:w="4644" w:type="dxa"/>
            <w:hideMark/>
          </w:tcPr>
          <w:p w:rsidR="003B7EC7" w:rsidRDefault="003B7EC7">
            <w:pPr>
              <w:rPr>
                <w:rFonts w:ascii="Verdana" w:hAnsi="Verdana" w:cs="Arial"/>
                <w:sz w:val="21"/>
                <w:szCs w:val="21"/>
              </w:rPr>
            </w:pPr>
            <w:r>
              <w:rPr>
                <w:rFonts w:ascii="Verdana" w:hAnsi="Verdana" w:cs="Arial"/>
                <w:sz w:val="21"/>
                <w:szCs w:val="21"/>
              </w:rPr>
              <w:t>Arriendos (Nota 21 y 22.2)</w:t>
            </w:r>
          </w:p>
        </w:tc>
        <w:tc>
          <w:tcPr>
            <w:tcW w:w="2014" w:type="dxa"/>
          </w:tcPr>
          <w:p w:rsidR="003B7EC7" w:rsidRDefault="003B7EC7">
            <w:pPr>
              <w:jc w:val="right"/>
              <w:rPr>
                <w:rFonts w:ascii="Verdana" w:hAnsi="Verdana" w:cs="Arial"/>
                <w:sz w:val="21"/>
                <w:szCs w:val="21"/>
              </w:rPr>
            </w:pPr>
          </w:p>
        </w:tc>
        <w:tc>
          <w:tcPr>
            <w:tcW w:w="1836" w:type="dxa"/>
            <w:hideMark/>
          </w:tcPr>
          <w:p w:rsidR="003B7EC7" w:rsidRDefault="00BF100F">
            <w:pPr>
              <w:jc w:val="right"/>
              <w:rPr>
                <w:rFonts w:ascii="Verdana" w:hAnsi="Verdana" w:cs="Arial"/>
                <w:sz w:val="21"/>
                <w:szCs w:val="21"/>
              </w:rPr>
            </w:pPr>
            <w:r>
              <w:rPr>
                <w:rFonts w:ascii="Verdana" w:hAnsi="Verdana" w:cs="Arial"/>
                <w:sz w:val="21"/>
                <w:szCs w:val="21"/>
              </w:rPr>
              <w:t>25,852</w:t>
            </w:r>
          </w:p>
        </w:tc>
      </w:tr>
      <w:tr w:rsidR="003B7EC7" w:rsidTr="00BF100F">
        <w:tc>
          <w:tcPr>
            <w:tcW w:w="4644" w:type="dxa"/>
            <w:hideMark/>
          </w:tcPr>
          <w:p w:rsidR="003B7EC7" w:rsidRDefault="003B7EC7">
            <w:pPr>
              <w:rPr>
                <w:rFonts w:ascii="Verdana" w:hAnsi="Verdana" w:cs="Arial"/>
                <w:sz w:val="21"/>
                <w:szCs w:val="21"/>
              </w:rPr>
            </w:pPr>
            <w:r>
              <w:rPr>
                <w:rFonts w:ascii="Verdana" w:hAnsi="Verdana" w:cs="Arial"/>
                <w:sz w:val="21"/>
                <w:szCs w:val="21"/>
              </w:rPr>
              <w:t>Honorarios por servicios de terceros</w:t>
            </w:r>
          </w:p>
          <w:p w:rsidR="003B7EC7" w:rsidRDefault="003B7EC7">
            <w:pPr>
              <w:rPr>
                <w:rFonts w:ascii="Verdana" w:hAnsi="Verdana" w:cs="Arial"/>
                <w:sz w:val="21"/>
                <w:szCs w:val="21"/>
              </w:rPr>
            </w:pPr>
            <w:r>
              <w:rPr>
                <w:rFonts w:ascii="Verdana" w:hAnsi="Verdana" w:cs="Arial"/>
                <w:sz w:val="21"/>
                <w:szCs w:val="21"/>
              </w:rPr>
              <w:t>Depreciación (Nota 10)</w:t>
            </w:r>
          </w:p>
          <w:p w:rsidR="003B7EC7" w:rsidRDefault="003B7EC7">
            <w:pPr>
              <w:rPr>
                <w:rFonts w:ascii="Verdana" w:hAnsi="Verdana" w:cs="Arial"/>
                <w:sz w:val="21"/>
                <w:szCs w:val="21"/>
              </w:rPr>
            </w:pPr>
            <w:r>
              <w:rPr>
                <w:rFonts w:ascii="Verdana" w:hAnsi="Verdana" w:cs="Arial"/>
                <w:sz w:val="21"/>
                <w:szCs w:val="21"/>
              </w:rPr>
              <w:t>Seguros</w:t>
            </w:r>
          </w:p>
          <w:p w:rsidR="003B7EC7" w:rsidRDefault="003B7EC7">
            <w:pPr>
              <w:rPr>
                <w:rFonts w:ascii="Verdana" w:hAnsi="Verdana" w:cs="Arial"/>
                <w:sz w:val="21"/>
                <w:szCs w:val="21"/>
              </w:rPr>
            </w:pPr>
            <w:r>
              <w:rPr>
                <w:rFonts w:ascii="Verdana" w:hAnsi="Verdana" w:cs="Arial"/>
                <w:sz w:val="21"/>
                <w:szCs w:val="21"/>
              </w:rPr>
              <w:t>Gastos de mantenimiento</w:t>
            </w:r>
          </w:p>
          <w:p w:rsidR="003B7EC7" w:rsidRDefault="003B7EC7">
            <w:pPr>
              <w:rPr>
                <w:rFonts w:ascii="Verdana" w:hAnsi="Verdana" w:cs="Arial"/>
                <w:sz w:val="21"/>
                <w:szCs w:val="21"/>
              </w:rPr>
            </w:pPr>
            <w:r>
              <w:rPr>
                <w:rFonts w:ascii="Verdana" w:hAnsi="Verdana" w:cs="Arial"/>
                <w:sz w:val="21"/>
                <w:szCs w:val="21"/>
              </w:rPr>
              <w:t>Honorarios por asesoría en marketing (Nota 21)</w:t>
            </w:r>
          </w:p>
          <w:p w:rsidR="003B7EC7" w:rsidRDefault="00BF100F">
            <w:pPr>
              <w:rPr>
                <w:rFonts w:ascii="Verdana" w:hAnsi="Verdana" w:cs="Arial"/>
                <w:sz w:val="21"/>
                <w:szCs w:val="21"/>
              </w:rPr>
            </w:pPr>
            <w:r>
              <w:rPr>
                <w:rFonts w:ascii="Verdana" w:hAnsi="Verdana" w:cs="Arial"/>
                <w:sz w:val="21"/>
                <w:szCs w:val="21"/>
              </w:rPr>
              <w:t>Otros gastos de administración y ventas</w:t>
            </w:r>
          </w:p>
        </w:tc>
        <w:tc>
          <w:tcPr>
            <w:tcW w:w="2014" w:type="dxa"/>
          </w:tcPr>
          <w:p w:rsidR="003B7EC7" w:rsidRDefault="003B7EC7">
            <w:pPr>
              <w:jc w:val="right"/>
              <w:rPr>
                <w:rFonts w:ascii="Verdana" w:hAnsi="Verdana" w:cs="Arial"/>
                <w:sz w:val="21"/>
                <w:szCs w:val="21"/>
              </w:rPr>
            </w:pPr>
          </w:p>
        </w:tc>
        <w:tc>
          <w:tcPr>
            <w:tcW w:w="1836" w:type="dxa"/>
            <w:hideMark/>
          </w:tcPr>
          <w:p w:rsidR="003B7EC7" w:rsidRDefault="00BF100F">
            <w:pPr>
              <w:jc w:val="right"/>
              <w:rPr>
                <w:rFonts w:ascii="Verdana" w:hAnsi="Verdana" w:cs="Arial"/>
                <w:sz w:val="21"/>
                <w:szCs w:val="21"/>
              </w:rPr>
            </w:pPr>
            <w:r>
              <w:rPr>
                <w:rFonts w:ascii="Verdana" w:hAnsi="Verdana" w:cs="Arial"/>
                <w:sz w:val="21"/>
                <w:szCs w:val="21"/>
              </w:rPr>
              <w:t>17,644</w:t>
            </w:r>
          </w:p>
          <w:p w:rsidR="00BF100F" w:rsidRDefault="00BF100F">
            <w:pPr>
              <w:jc w:val="right"/>
              <w:rPr>
                <w:rFonts w:ascii="Verdana" w:hAnsi="Verdana" w:cs="Arial"/>
                <w:sz w:val="21"/>
                <w:szCs w:val="21"/>
              </w:rPr>
            </w:pPr>
            <w:r>
              <w:rPr>
                <w:rFonts w:ascii="Verdana" w:hAnsi="Verdana" w:cs="Arial"/>
                <w:sz w:val="21"/>
                <w:szCs w:val="21"/>
              </w:rPr>
              <w:t>15,465</w:t>
            </w:r>
          </w:p>
          <w:p w:rsidR="00BF100F" w:rsidRDefault="00BF100F">
            <w:pPr>
              <w:jc w:val="right"/>
              <w:rPr>
                <w:rFonts w:ascii="Verdana" w:hAnsi="Verdana" w:cs="Arial"/>
                <w:sz w:val="21"/>
                <w:szCs w:val="21"/>
              </w:rPr>
            </w:pPr>
            <w:r>
              <w:rPr>
                <w:rFonts w:ascii="Verdana" w:hAnsi="Verdana" w:cs="Arial"/>
                <w:sz w:val="21"/>
                <w:szCs w:val="21"/>
              </w:rPr>
              <w:t>14,474</w:t>
            </w:r>
          </w:p>
          <w:p w:rsidR="00BF100F" w:rsidRDefault="00BF100F">
            <w:pPr>
              <w:jc w:val="right"/>
              <w:rPr>
                <w:rFonts w:ascii="Verdana" w:hAnsi="Verdana" w:cs="Arial"/>
                <w:sz w:val="21"/>
                <w:szCs w:val="21"/>
              </w:rPr>
            </w:pPr>
            <w:r>
              <w:rPr>
                <w:rFonts w:ascii="Verdana" w:hAnsi="Verdana" w:cs="Arial"/>
                <w:sz w:val="21"/>
                <w:szCs w:val="21"/>
              </w:rPr>
              <w:t>9,972</w:t>
            </w:r>
          </w:p>
          <w:p w:rsidR="00BF100F" w:rsidRDefault="00BF100F">
            <w:pPr>
              <w:jc w:val="right"/>
              <w:rPr>
                <w:rFonts w:ascii="Verdana" w:hAnsi="Verdana" w:cs="Arial"/>
                <w:sz w:val="21"/>
                <w:szCs w:val="21"/>
              </w:rPr>
            </w:pPr>
            <w:r>
              <w:rPr>
                <w:rFonts w:ascii="Verdana" w:hAnsi="Verdana" w:cs="Arial"/>
                <w:sz w:val="21"/>
                <w:szCs w:val="21"/>
              </w:rPr>
              <w:t>950</w:t>
            </w:r>
          </w:p>
          <w:p w:rsidR="00BF100F" w:rsidRDefault="00BF100F">
            <w:pPr>
              <w:jc w:val="right"/>
              <w:rPr>
                <w:rFonts w:ascii="Verdana" w:hAnsi="Verdana" w:cs="Arial"/>
                <w:sz w:val="21"/>
                <w:szCs w:val="21"/>
              </w:rPr>
            </w:pPr>
          </w:p>
          <w:p w:rsidR="003B7EC7" w:rsidRDefault="00BF100F">
            <w:pPr>
              <w:jc w:val="right"/>
              <w:rPr>
                <w:rFonts w:ascii="Verdana" w:hAnsi="Verdana" w:cs="Arial"/>
                <w:sz w:val="21"/>
                <w:szCs w:val="21"/>
                <w:u w:val="single"/>
              </w:rPr>
            </w:pPr>
            <w:r>
              <w:rPr>
                <w:rFonts w:ascii="Verdana" w:hAnsi="Verdana" w:cs="Arial"/>
                <w:sz w:val="21"/>
                <w:szCs w:val="21"/>
                <w:u w:val="single"/>
              </w:rPr>
              <w:t>16,851</w:t>
            </w:r>
          </w:p>
        </w:tc>
      </w:tr>
      <w:tr w:rsidR="003B7EC7" w:rsidTr="00BF100F">
        <w:tc>
          <w:tcPr>
            <w:tcW w:w="4644" w:type="dxa"/>
          </w:tcPr>
          <w:p w:rsidR="003B7EC7" w:rsidRDefault="003B7EC7">
            <w:pPr>
              <w:rPr>
                <w:rFonts w:ascii="Verdana" w:hAnsi="Verdana" w:cs="Arial"/>
                <w:sz w:val="21"/>
                <w:szCs w:val="21"/>
              </w:rPr>
            </w:pPr>
          </w:p>
          <w:p w:rsidR="003B7EC7" w:rsidRDefault="003B7EC7">
            <w:pPr>
              <w:rPr>
                <w:rFonts w:ascii="Verdana" w:hAnsi="Verdana" w:cs="Arial"/>
                <w:sz w:val="21"/>
                <w:szCs w:val="21"/>
              </w:rPr>
            </w:pPr>
            <w:r>
              <w:rPr>
                <w:rFonts w:ascii="Verdana" w:hAnsi="Verdana" w:cs="Arial"/>
                <w:sz w:val="21"/>
                <w:szCs w:val="21"/>
              </w:rPr>
              <w:t>Total</w:t>
            </w:r>
          </w:p>
        </w:tc>
        <w:tc>
          <w:tcPr>
            <w:tcW w:w="2014" w:type="dxa"/>
          </w:tcPr>
          <w:p w:rsidR="003B7EC7" w:rsidRDefault="003B7EC7">
            <w:pPr>
              <w:jc w:val="right"/>
              <w:rPr>
                <w:rFonts w:ascii="Verdana" w:hAnsi="Verdana" w:cs="Arial"/>
                <w:sz w:val="21"/>
                <w:szCs w:val="21"/>
              </w:rPr>
            </w:pPr>
          </w:p>
          <w:p w:rsidR="003B7EC7" w:rsidRDefault="003B7EC7">
            <w:pPr>
              <w:jc w:val="right"/>
              <w:rPr>
                <w:rFonts w:ascii="Verdana" w:hAnsi="Verdana" w:cs="Arial"/>
                <w:sz w:val="21"/>
                <w:szCs w:val="21"/>
                <w:u w:val="single"/>
              </w:rPr>
            </w:pPr>
          </w:p>
        </w:tc>
        <w:tc>
          <w:tcPr>
            <w:tcW w:w="1836" w:type="dxa"/>
          </w:tcPr>
          <w:p w:rsidR="003B7EC7" w:rsidRDefault="003B7EC7">
            <w:pPr>
              <w:jc w:val="right"/>
              <w:rPr>
                <w:rFonts w:ascii="Verdana" w:hAnsi="Verdana" w:cs="Arial"/>
                <w:sz w:val="21"/>
                <w:szCs w:val="21"/>
              </w:rPr>
            </w:pPr>
          </w:p>
          <w:p w:rsidR="003B7EC7" w:rsidRDefault="00BF100F">
            <w:pPr>
              <w:jc w:val="right"/>
              <w:rPr>
                <w:rFonts w:ascii="Verdana" w:hAnsi="Verdana" w:cs="Arial"/>
                <w:sz w:val="21"/>
                <w:szCs w:val="21"/>
                <w:u w:val="double"/>
              </w:rPr>
            </w:pPr>
            <w:r>
              <w:rPr>
                <w:rFonts w:ascii="Verdana" w:hAnsi="Verdana" w:cs="Arial"/>
                <w:sz w:val="21"/>
                <w:szCs w:val="21"/>
                <w:u w:val="double"/>
              </w:rPr>
              <w:t>175,066</w:t>
            </w:r>
          </w:p>
        </w:tc>
      </w:tr>
    </w:tbl>
    <w:p w:rsidR="003B7EC7" w:rsidRDefault="003B7EC7" w:rsidP="003B7EC7">
      <w:pPr>
        <w:rPr>
          <w:rFonts w:ascii="Verdana" w:hAnsi="Verdana" w:cs="Arial"/>
          <w:sz w:val="18"/>
          <w:szCs w:val="18"/>
        </w:rPr>
      </w:pPr>
    </w:p>
    <w:p w:rsidR="00BF100F" w:rsidRDefault="00BF100F" w:rsidP="00BF100F">
      <w:pPr>
        <w:tabs>
          <w:tab w:val="num" w:pos="567"/>
        </w:tabs>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IMPUESTO A LA RENTA</w:t>
      </w:r>
    </w:p>
    <w:p w:rsidR="00BF100F" w:rsidRDefault="00BF100F" w:rsidP="00BF100F">
      <w:pPr>
        <w:tabs>
          <w:tab w:val="num" w:pos="567"/>
        </w:tabs>
        <w:ind w:left="567" w:hanging="567"/>
        <w:jc w:val="both"/>
        <w:rPr>
          <w:rFonts w:ascii="Verdana" w:hAnsi="Verdana" w:cs="Arial"/>
          <w:b/>
          <w:color w:val="000000"/>
          <w:sz w:val="21"/>
          <w:szCs w:val="21"/>
        </w:rPr>
      </w:pPr>
    </w:p>
    <w:p w:rsidR="00BF100F" w:rsidRDefault="00BF100F" w:rsidP="00BF100F">
      <w:pPr>
        <w:tabs>
          <w:tab w:val="num" w:pos="567"/>
        </w:tabs>
        <w:ind w:left="567" w:hanging="567"/>
        <w:jc w:val="both"/>
        <w:rPr>
          <w:rFonts w:ascii="Verdana" w:hAnsi="Verdana" w:cs="Arial"/>
          <w:b/>
          <w:i/>
          <w:iCs/>
          <w:color w:val="000000"/>
          <w:sz w:val="21"/>
          <w:szCs w:val="21"/>
        </w:rPr>
      </w:pPr>
      <w:bookmarkStart w:id="20" w:name="_Hlk31213165"/>
      <w:r>
        <w:rPr>
          <w:rFonts w:ascii="Verdana" w:hAnsi="Verdana" w:cs="Arial"/>
          <w:b/>
          <w:color w:val="000000"/>
          <w:sz w:val="21"/>
          <w:szCs w:val="21"/>
        </w:rPr>
        <w:t>19.1.</w:t>
      </w:r>
      <w:r>
        <w:rPr>
          <w:rFonts w:ascii="Verdana" w:hAnsi="Verdana" w:cs="Arial"/>
          <w:b/>
          <w:i/>
          <w:iCs/>
          <w:color w:val="000000"/>
          <w:sz w:val="21"/>
          <w:szCs w:val="21"/>
        </w:rPr>
        <w:t xml:space="preserve"> Gasto de Impuesto a la Renta</w:t>
      </w:r>
    </w:p>
    <w:bookmarkEnd w:id="20"/>
    <w:p w:rsidR="00BF100F" w:rsidRDefault="00BF100F" w:rsidP="00BF100F">
      <w:pPr>
        <w:tabs>
          <w:tab w:val="num" w:pos="567"/>
        </w:tabs>
        <w:ind w:left="567" w:hanging="567"/>
        <w:jc w:val="both"/>
        <w:rPr>
          <w:rFonts w:ascii="Verdana" w:hAnsi="Verdana" w:cs="Arial"/>
          <w:b/>
          <w:color w:val="000000"/>
          <w:sz w:val="21"/>
          <w:szCs w:val="21"/>
        </w:rPr>
      </w:pPr>
    </w:p>
    <w:p w:rsidR="00BF100F" w:rsidRDefault="00BF100F" w:rsidP="00BF100F">
      <w:pPr>
        <w:tabs>
          <w:tab w:val="num" w:pos="567"/>
        </w:tabs>
        <w:ind w:left="709" w:hanging="567"/>
        <w:jc w:val="both"/>
        <w:rPr>
          <w:rFonts w:ascii="Verdana" w:hAnsi="Verdana" w:cs="Arial"/>
          <w:bCs/>
          <w:color w:val="000000"/>
          <w:sz w:val="21"/>
          <w:szCs w:val="21"/>
        </w:rPr>
      </w:pPr>
      <w:r>
        <w:rPr>
          <w:rFonts w:ascii="Verdana" w:hAnsi="Verdana" w:cs="Arial"/>
          <w:b/>
          <w:color w:val="000000"/>
          <w:sz w:val="21"/>
          <w:szCs w:val="21"/>
        </w:rPr>
        <w:tab/>
        <w:t xml:space="preserve">  </w:t>
      </w:r>
      <w:r>
        <w:rPr>
          <w:rFonts w:ascii="Verdana" w:hAnsi="Verdana" w:cs="Arial"/>
          <w:bCs/>
          <w:color w:val="000000"/>
          <w:sz w:val="21"/>
          <w:szCs w:val="21"/>
        </w:rPr>
        <w:t>A continuación, se presenta un resumen de la conciliación entre la utilidad contable y la utilidad tributable (base imponible), y el cálculo del gasto de impuesto a la renta corriente:</w:t>
      </w:r>
    </w:p>
    <w:p w:rsidR="00EF2CBA" w:rsidRDefault="00EF2CBA" w:rsidP="003B7EC7">
      <w:pPr>
        <w:rPr>
          <w:rFonts w:ascii="Verdana" w:hAnsi="Verdana" w:cs="Arial"/>
          <w:sz w:val="18"/>
          <w:szCs w:val="18"/>
        </w:rPr>
      </w:pPr>
    </w:p>
    <w:p w:rsidR="00EF2CBA" w:rsidRDefault="00EF2CBA" w:rsidP="00EF2CBA">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1872"/>
        <w:gridCol w:w="1836"/>
      </w:tblGrid>
      <w:tr w:rsidR="00EF2CBA" w:rsidTr="00063A24">
        <w:tc>
          <w:tcPr>
            <w:tcW w:w="4786" w:type="dxa"/>
          </w:tcPr>
          <w:p w:rsidR="00EF2CBA" w:rsidRDefault="00EF2CBA">
            <w:pPr>
              <w:rPr>
                <w:rFonts w:ascii="Verdana" w:hAnsi="Verdana" w:cs="Arial"/>
                <w:sz w:val="21"/>
                <w:szCs w:val="21"/>
              </w:rPr>
            </w:pPr>
          </w:p>
        </w:tc>
        <w:tc>
          <w:tcPr>
            <w:tcW w:w="1872" w:type="dxa"/>
            <w:hideMark/>
          </w:tcPr>
          <w:p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EF2CBA" w:rsidRDefault="00EF2CBA">
            <w:pPr>
              <w:jc w:val="right"/>
              <w:rPr>
                <w:rFonts w:ascii="Verdana" w:hAnsi="Verdana" w:cs="Arial"/>
                <w:sz w:val="21"/>
                <w:szCs w:val="21"/>
                <w:u w:val="single"/>
              </w:rPr>
            </w:pPr>
            <w:r>
              <w:rPr>
                <w:rFonts w:ascii="Verdana" w:hAnsi="Verdana" w:cs="Arial"/>
                <w:sz w:val="21"/>
                <w:szCs w:val="21"/>
                <w:u w:val="single"/>
              </w:rPr>
              <w:t>2020</w:t>
            </w:r>
          </w:p>
        </w:tc>
      </w:tr>
      <w:tr w:rsidR="00EF2CBA" w:rsidTr="00063A24">
        <w:tc>
          <w:tcPr>
            <w:tcW w:w="4786" w:type="dxa"/>
          </w:tcPr>
          <w:p w:rsidR="00EF2CBA" w:rsidRDefault="00EF2CBA">
            <w:pPr>
              <w:rPr>
                <w:rFonts w:ascii="Verdana" w:hAnsi="Verdana" w:cs="Arial"/>
                <w:sz w:val="21"/>
                <w:szCs w:val="21"/>
              </w:rPr>
            </w:pPr>
          </w:p>
        </w:tc>
        <w:tc>
          <w:tcPr>
            <w:tcW w:w="1872" w:type="dxa"/>
          </w:tcPr>
          <w:p w:rsidR="00EF2CBA" w:rsidRDefault="00EF2CBA">
            <w:pPr>
              <w:jc w:val="right"/>
              <w:rPr>
                <w:rFonts w:ascii="Verdana" w:hAnsi="Verdana" w:cs="Arial"/>
                <w:sz w:val="21"/>
                <w:szCs w:val="21"/>
              </w:rPr>
            </w:pPr>
          </w:p>
        </w:tc>
        <w:tc>
          <w:tcPr>
            <w:tcW w:w="1836" w:type="dxa"/>
          </w:tcPr>
          <w:p w:rsidR="00EF2CBA" w:rsidRDefault="00EF2CBA">
            <w:pPr>
              <w:jc w:val="right"/>
              <w:rPr>
                <w:rFonts w:ascii="Verdana" w:hAnsi="Verdana" w:cs="Arial"/>
                <w:sz w:val="21"/>
                <w:szCs w:val="21"/>
              </w:rPr>
            </w:pPr>
          </w:p>
        </w:tc>
      </w:tr>
      <w:tr w:rsidR="00EF2CBA" w:rsidTr="00063A24">
        <w:tc>
          <w:tcPr>
            <w:tcW w:w="4786" w:type="dxa"/>
            <w:hideMark/>
          </w:tcPr>
          <w:p w:rsidR="00EF2CBA" w:rsidRDefault="00EF2CBA">
            <w:pPr>
              <w:rPr>
                <w:rFonts w:ascii="Verdana" w:hAnsi="Verdana" w:cs="Arial"/>
                <w:sz w:val="21"/>
                <w:szCs w:val="21"/>
              </w:rPr>
            </w:pPr>
            <w:r>
              <w:rPr>
                <w:rFonts w:ascii="Verdana" w:hAnsi="Verdana" w:cs="Arial"/>
                <w:sz w:val="21"/>
                <w:szCs w:val="21"/>
              </w:rPr>
              <w:t>Utilidad (pérdida) contable</w:t>
            </w:r>
          </w:p>
          <w:p w:rsidR="00EF2CBA" w:rsidRDefault="00EF2CBA">
            <w:pPr>
              <w:rPr>
                <w:rFonts w:ascii="Verdana" w:hAnsi="Verdana" w:cs="Arial"/>
                <w:sz w:val="21"/>
                <w:szCs w:val="21"/>
              </w:rPr>
            </w:pPr>
          </w:p>
        </w:tc>
        <w:tc>
          <w:tcPr>
            <w:tcW w:w="1872" w:type="dxa"/>
          </w:tcPr>
          <w:p w:rsidR="00EF2CBA" w:rsidRDefault="00EF2CBA">
            <w:pPr>
              <w:jc w:val="right"/>
              <w:rPr>
                <w:rFonts w:ascii="Verdana" w:hAnsi="Verdana" w:cs="Arial"/>
                <w:sz w:val="21"/>
                <w:szCs w:val="21"/>
              </w:rPr>
            </w:pPr>
          </w:p>
        </w:tc>
        <w:tc>
          <w:tcPr>
            <w:tcW w:w="1836" w:type="dxa"/>
            <w:hideMark/>
          </w:tcPr>
          <w:p w:rsidR="00EF2CBA" w:rsidRDefault="00063A24">
            <w:pPr>
              <w:jc w:val="right"/>
              <w:rPr>
                <w:rFonts w:ascii="Verdana" w:hAnsi="Verdana" w:cs="Arial"/>
                <w:sz w:val="21"/>
                <w:szCs w:val="21"/>
              </w:rPr>
            </w:pPr>
            <w:r>
              <w:rPr>
                <w:rFonts w:ascii="Verdana" w:hAnsi="Verdana" w:cs="Arial"/>
                <w:sz w:val="21"/>
                <w:szCs w:val="21"/>
              </w:rPr>
              <w:t>(3,665)</w:t>
            </w:r>
          </w:p>
        </w:tc>
      </w:tr>
      <w:tr w:rsidR="00EF2CBA" w:rsidTr="00063A24">
        <w:tc>
          <w:tcPr>
            <w:tcW w:w="4786" w:type="dxa"/>
            <w:hideMark/>
          </w:tcPr>
          <w:p w:rsidR="00EF2CBA" w:rsidRDefault="00EF2CBA">
            <w:pPr>
              <w:rPr>
                <w:rFonts w:ascii="Verdana" w:hAnsi="Verdana" w:cs="Arial"/>
                <w:sz w:val="21"/>
                <w:szCs w:val="21"/>
              </w:rPr>
            </w:pPr>
            <w:r>
              <w:rPr>
                <w:rFonts w:ascii="Verdana" w:hAnsi="Verdana" w:cs="Arial"/>
                <w:sz w:val="21"/>
                <w:szCs w:val="21"/>
              </w:rPr>
              <w:t>Menos: 15% Participación de trabajadores</w:t>
            </w:r>
          </w:p>
        </w:tc>
        <w:tc>
          <w:tcPr>
            <w:tcW w:w="1872" w:type="dxa"/>
          </w:tcPr>
          <w:p w:rsidR="00EF2CBA" w:rsidRDefault="00EF2CBA">
            <w:pPr>
              <w:jc w:val="right"/>
              <w:rPr>
                <w:rFonts w:ascii="Verdana" w:hAnsi="Verdana" w:cs="Arial"/>
                <w:sz w:val="21"/>
                <w:szCs w:val="21"/>
              </w:rPr>
            </w:pPr>
          </w:p>
        </w:tc>
        <w:tc>
          <w:tcPr>
            <w:tcW w:w="1836" w:type="dxa"/>
            <w:hideMark/>
          </w:tcPr>
          <w:p w:rsidR="00EF2CBA" w:rsidRDefault="00063A24">
            <w:pPr>
              <w:jc w:val="right"/>
              <w:rPr>
                <w:rFonts w:ascii="Verdana" w:hAnsi="Verdana" w:cs="Arial"/>
                <w:sz w:val="21"/>
                <w:szCs w:val="21"/>
              </w:rPr>
            </w:pPr>
            <w:r>
              <w:rPr>
                <w:rFonts w:ascii="Verdana" w:hAnsi="Verdana" w:cs="Arial"/>
                <w:sz w:val="21"/>
                <w:szCs w:val="21"/>
              </w:rPr>
              <w:t>0</w:t>
            </w:r>
          </w:p>
        </w:tc>
      </w:tr>
      <w:tr w:rsidR="00EF2CBA" w:rsidTr="00063A24">
        <w:tc>
          <w:tcPr>
            <w:tcW w:w="4786" w:type="dxa"/>
            <w:hideMark/>
          </w:tcPr>
          <w:p w:rsidR="00EF2CBA" w:rsidRDefault="00EF2CBA">
            <w:pPr>
              <w:rPr>
                <w:rFonts w:ascii="Verdana" w:hAnsi="Verdana" w:cs="Arial"/>
                <w:sz w:val="21"/>
                <w:szCs w:val="21"/>
              </w:rPr>
            </w:pPr>
            <w:r>
              <w:rPr>
                <w:rFonts w:ascii="Verdana" w:hAnsi="Verdana" w:cs="Arial"/>
                <w:sz w:val="21"/>
                <w:szCs w:val="21"/>
              </w:rPr>
              <w:t>Más: Gastos no deducibles</w:t>
            </w:r>
          </w:p>
          <w:p w:rsidR="00EF2CBA" w:rsidRDefault="00063A24">
            <w:pPr>
              <w:rPr>
                <w:rFonts w:ascii="Verdana" w:hAnsi="Verdana" w:cs="Arial"/>
                <w:sz w:val="21"/>
                <w:szCs w:val="21"/>
              </w:rPr>
            </w:pPr>
            <w:r>
              <w:rPr>
                <w:rFonts w:ascii="Verdana" w:hAnsi="Verdana" w:cs="Arial"/>
                <w:sz w:val="21"/>
                <w:szCs w:val="21"/>
              </w:rPr>
              <w:t>Base imponible</w:t>
            </w:r>
          </w:p>
        </w:tc>
        <w:tc>
          <w:tcPr>
            <w:tcW w:w="1872" w:type="dxa"/>
          </w:tcPr>
          <w:p w:rsidR="00EF2CBA" w:rsidRDefault="00EF2CBA">
            <w:pPr>
              <w:jc w:val="right"/>
              <w:rPr>
                <w:rFonts w:ascii="Verdana" w:hAnsi="Verdana" w:cs="Arial"/>
                <w:sz w:val="21"/>
                <w:szCs w:val="21"/>
              </w:rPr>
            </w:pPr>
          </w:p>
        </w:tc>
        <w:tc>
          <w:tcPr>
            <w:tcW w:w="1836" w:type="dxa"/>
            <w:hideMark/>
          </w:tcPr>
          <w:p w:rsidR="00EF2CBA" w:rsidRPr="00063A24" w:rsidRDefault="00063A24">
            <w:pPr>
              <w:jc w:val="right"/>
              <w:rPr>
                <w:rFonts w:ascii="Verdana" w:hAnsi="Verdana" w:cs="Arial"/>
                <w:sz w:val="21"/>
                <w:szCs w:val="21"/>
                <w:u w:val="single"/>
              </w:rPr>
            </w:pPr>
            <w:r w:rsidRPr="00063A24">
              <w:rPr>
                <w:rFonts w:ascii="Verdana" w:hAnsi="Verdana" w:cs="Arial"/>
                <w:sz w:val="21"/>
                <w:szCs w:val="21"/>
                <w:u w:val="single"/>
              </w:rPr>
              <w:t>9,744</w:t>
            </w:r>
          </w:p>
          <w:p w:rsidR="00EF2CBA" w:rsidRDefault="00063A24">
            <w:pPr>
              <w:jc w:val="right"/>
              <w:rPr>
                <w:rFonts w:ascii="Verdana" w:hAnsi="Verdana" w:cs="Arial"/>
                <w:sz w:val="21"/>
                <w:szCs w:val="21"/>
                <w:u w:val="single"/>
              </w:rPr>
            </w:pPr>
            <w:r>
              <w:rPr>
                <w:rFonts w:ascii="Verdana" w:hAnsi="Verdana" w:cs="Arial"/>
                <w:sz w:val="21"/>
                <w:szCs w:val="21"/>
                <w:u w:val="single"/>
              </w:rPr>
              <w:t>6,079</w:t>
            </w:r>
          </w:p>
        </w:tc>
      </w:tr>
      <w:tr w:rsidR="00EF2CBA" w:rsidTr="00063A24">
        <w:tc>
          <w:tcPr>
            <w:tcW w:w="4786" w:type="dxa"/>
          </w:tcPr>
          <w:p w:rsidR="00EF2CBA" w:rsidRDefault="00EF2CBA">
            <w:pPr>
              <w:rPr>
                <w:rFonts w:ascii="Verdana" w:hAnsi="Verdana" w:cs="Arial"/>
                <w:sz w:val="21"/>
                <w:szCs w:val="21"/>
              </w:rPr>
            </w:pPr>
          </w:p>
          <w:p w:rsidR="00EF2CBA" w:rsidRDefault="00063A24">
            <w:pPr>
              <w:rPr>
                <w:rFonts w:ascii="Verdana" w:hAnsi="Verdana" w:cs="Arial"/>
                <w:sz w:val="21"/>
                <w:szCs w:val="21"/>
              </w:rPr>
            </w:pPr>
            <w:r>
              <w:rPr>
                <w:rFonts w:ascii="Verdana" w:hAnsi="Verdana" w:cs="Arial"/>
                <w:sz w:val="21"/>
                <w:szCs w:val="21"/>
              </w:rPr>
              <w:t>25% impuesto a la renta</w:t>
            </w:r>
          </w:p>
        </w:tc>
        <w:tc>
          <w:tcPr>
            <w:tcW w:w="1872" w:type="dxa"/>
          </w:tcPr>
          <w:p w:rsidR="00EF2CBA" w:rsidRDefault="00EF2CBA">
            <w:pPr>
              <w:jc w:val="right"/>
              <w:rPr>
                <w:rFonts w:ascii="Verdana" w:hAnsi="Verdana" w:cs="Arial"/>
                <w:sz w:val="21"/>
                <w:szCs w:val="21"/>
              </w:rPr>
            </w:pPr>
          </w:p>
          <w:p w:rsidR="00EF2CBA" w:rsidRDefault="00EF2CBA">
            <w:pPr>
              <w:jc w:val="right"/>
              <w:rPr>
                <w:rFonts w:ascii="Verdana" w:hAnsi="Verdana" w:cs="Arial"/>
                <w:sz w:val="21"/>
                <w:szCs w:val="21"/>
                <w:u w:val="single"/>
              </w:rPr>
            </w:pPr>
          </w:p>
        </w:tc>
        <w:tc>
          <w:tcPr>
            <w:tcW w:w="1836" w:type="dxa"/>
          </w:tcPr>
          <w:p w:rsidR="00EF2CBA" w:rsidRDefault="00EF2CBA">
            <w:pPr>
              <w:jc w:val="right"/>
              <w:rPr>
                <w:rFonts w:ascii="Verdana" w:hAnsi="Verdana" w:cs="Arial"/>
                <w:sz w:val="21"/>
                <w:szCs w:val="21"/>
              </w:rPr>
            </w:pPr>
          </w:p>
          <w:p w:rsidR="00EF2CBA" w:rsidRDefault="00063A24">
            <w:pPr>
              <w:jc w:val="right"/>
              <w:rPr>
                <w:rFonts w:ascii="Verdana" w:hAnsi="Verdana" w:cs="Arial"/>
                <w:sz w:val="21"/>
                <w:szCs w:val="21"/>
                <w:u w:val="double"/>
              </w:rPr>
            </w:pPr>
            <w:r>
              <w:rPr>
                <w:rFonts w:ascii="Verdana" w:hAnsi="Verdana" w:cs="Arial"/>
                <w:sz w:val="21"/>
                <w:szCs w:val="21"/>
                <w:u w:val="double"/>
              </w:rPr>
              <w:t>1,520</w:t>
            </w:r>
          </w:p>
        </w:tc>
      </w:tr>
    </w:tbl>
    <w:p w:rsidR="00063A24" w:rsidRDefault="00063A24" w:rsidP="00EF2CBA">
      <w:pPr>
        <w:rPr>
          <w:rFonts w:ascii="Verdana" w:hAnsi="Verdana" w:cs="Arial"/>
          <w:sz w:val="18"/>
          <w:szCs w:val="18"/>
        </w:rPr>
      </w:pPr>
    </w:p>
    <w:p w:rsidR="00063A24" w:rsidRDefault="00063A24" w:rsidP="00063A24">
      <w:pPr>
        <w:rPr>
          <w:rFonts w:ascii="Verdana" w:hAnsi="Verdana" w:cs="Arial"/>
          <w:sz w:val="18"/>
          <w:szCs w:val="18"/>
        </w:rPr>
      </w:pPr>
    </w:p>
    <w:p w:rsidR="00063A24" w:rsidRDefault="00063A24" w:rsidP="00063A24">
      <w:pPr>
        <w:tabs>
          <w:tab w:val="num" w:pos="567"/>
        </w:tabs>
        <w:ind w:left="567" w:hanging="567"/>
        <w:jc w:val="both"/>
        <w:rPr>
          <w:rFonts w:ascii="Verdana" w:hAnsi="Verdana" w:cs="Arial"/>
          <w:b/>
          <w:i/>
          <w:iCs/>
          <w:color w:val="000000"/>
          <w:sz w:val="21"/>
          <w:szCs w:val="21"/>
        </w:rPr>
      </w:pPr>
      <w:r>
        <w:rPr>
          <w:rFonts w:ascii="Verdana" w:hAnsi="Verdana" w:cs="Arial"/>
          <w:b/>
          <w:color w:val="000000"/>
          <w:sz w:val="21"/>
          <w:szCs w:val="21"/>
        </w:rPr>
        <w:t>19.2.</w:t>
      </w:r>
      <w:r>
        <w:rPr>
          <w:rFonts w:ascii="Verdana" w:hAnsi="Verdana" w:cs="Arial"/>
          <w:b/>
          <w:i/>
          <w:iCs/>
          <w:color w:val="000000"/>
          <w:sz w:val="21"/>
          <w:szCs w:val="21"/>
        </w:rPr>
        <w:t xml:space="preserve"> Determinación del Impuesto a la Renta por Pagar</w:t>
      </w:r>
    </w:p>
    <w:p w:rsidR="00063A24" w:rsidRDefault="00063A24">
      <w:pPr>
        <w:spacing w:after="160" w:line="259" w:lineRule="auto"/>
        <w:rPr>
          <w:rFonts w:ascii="Verdana" w:hAnsi="Verdana" w:cs="Arial"/>
          <w:sz w:val="18"/>
          <w:szCs w:val="18"/>
        </w:rPr>
      </w:pPr>
      <w:r>
        <w:rPr>
          <w:rFonts w:ascii="Verdana" w:hAnsi="Verdana" w:cs="Arial"/>
          <w:sz w:val="18"/>
          <w:szCs w:val="18"/>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1872"/>
        <w:gridCol w:w="1836"/>
      </w:tblGrid>
      <w:tr w:rsidR="00063A24" w:rsidTr="00063A24">
        <w:tc>
          <w:tcPr>
            <w:tcW w:w="4786" w:type="dxa"/>
          </w:tcPr>
          <w:p w:rsidR="00063A24" w:rsidRDefault="00063A24">
            <w:pPr>
              <w:rPr>
                <w:rFonts w:ascii="Verdana" w:hAnsi="Verdana" w:cs="Arial"/>
                <w:sz w:val="21"/>
                <w:szCs w:val="21"/>
              </w:rPr>
            </w:pPr>
          </w:p>
        </w:tc>
        <w:tc>
          <w:tcPr>
            <w:tcW w:w="1872" w:type="dxa"/>
            <w:hideMark/>
          </w:tcPr>
          <w:p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063A24" w:rsidRDefault="00063A24">
            <w:pPr>
              <w:jc w:val="right"/>
              <w:rPr>
                <w:rFonts w:ascii="Verdana" w:hAnsi="Verdana" w:cs="Arial"/>
                <w:sz w:val="21"/>
                <w:szCs w:val="21"/>
                <w:u w:val="single"/>
              </w:rPr>
            </w:pPr>
            <w:r>
              <w:rPr>
                <w:rFonts w:ascii="Verdana" w:hAnsi="Verdana" w:cs="Arial"/>
                <w:sz w:val="21"/>
                <w:szCs w:val="21"/>
                <w:u w:val="single"/>
              </w:rPr>
              <w:t>2020</w:t>
            </w:r>
          </w:p>
        </w:tc>
      </w:tr>
      <w:tr w:rsidR="00063A24" w:rsidTr="00063A24">
        <w:tc>
          <w:tcPr>
            <w:tcW w:w="4786" w:type="dxa"/>
          </w:tcPr>
          <w:p w:rsidR="00063A24" w:rsidRDefault="00063A24">
            <w:pPr>
              <w:rPr>
                <w:rFonts w:ascii="Verdana" w:hAnsi="Verdana" w:cs="Arial"/>
                <w:sz w:val="21"/>
                <w:szCs w:val="21"/>
              </w:rPr>
            </w:pPr>
          </w:p>
        </w:tc>
        <w:tc>
          <w:tcPr>
            <w:tcW w:w="1872" w:type="dxa"/>
          </w:tcPr>
          <w:p w:rsidR="00063A24" w:rsidRDefault="00063A24">
            <w:pPr>
              <w:jc w:val="right"/>
              <w:rPr>
                <w:rFonts w:ascii="Verdana" w:hAnsi="Verdana" w:cs="Arial"/>
                <w:sz w:val="21"/>
                <w:szCs w:val="21"/>
              </w:rPr>
            </w:pPr>
          </w:p>
        </w:tc>
        <w:tc>
          <w:tcPr>
            <w:tcW w:w="1836" w:type="dxa"/>
          </w:tcPr>
          <w:p w:rsidR="00063A24" w:rsidRDefault="00063A24">
            <w:pPr>
              <w:jc w:val="right"/>
              <w:rPr>
                <w:rFonts w:ascii="Verdana" w:hAnsi="Verdana" w:cs="Arial"/>
                <w:sz w:val="21"/>
                <w:szCs w:val="21"/>
              </w:rPr>
            </w:pPr>
          </w:p>
        </w:tc>
      </w:tr>
      <w:tr w:rsidR="00063A24" w:rsidTr="00063A24">
        <w:tc>
          <w:tcPr>
            <w:tcW w:w="4786" w:type="dxa"/>
            <w:hideMark/>
          </w:tcPr>
          <w:p w:rsidR="00063A24" w:rsidRDefault="00063A24">
            <w:pPr>
              <w:rPr>
                <w:rFonts w:ascii="Verdana" w:hAnsi="Verdana" w:cs="Arial"/>
                <w:sz w:val="21"/>
                <w:szCs w:val="21"/>
              </w:rPr>
            </w:pPr>
            <w:r>
              <w:rPr>
                <w:rFonts w:ascii="Verdana" w:hAnsi="Verdana" w:cs="Arial"/>
                <w:sz w:val="21"/>
                <w:szCs w:val="21"/>
              </w:rPr>
              <w:t>Impuesto a la renta causado</w:t>
            </w:r>
          </w:p>
          <w:p w:rsidR="00063A24" w:rsidRDefault="00063A24">
            <w:pPr>
              <w:rPr>
                <w:rFonts w:ascii="Verdana" w:hAnsi="Verdana" w:cs="Arial"/>
                <w:sz w:val="21"/>
                <w:szCs w:val="21"/>
              </w:rPr>
            </w:pPr>
          </w:p>
        </w:tc>
        <w:tc>
          <w:tcPr>
            <w:tcW w:w="1872" w:type="dxa"/>
          </w:tcPr>
          <w:p w:rsidR="00063A24" w:rsidRDefault="00063A24">
            <w:pPr>
              <w:jc w:val="right"/>
              <w:rPr>
                <w:rFonts w:ascii="Verdana" w:hAnsi="Verdana" w:cs="Arial"/>
                <w:sz w:val="21"/>
                <w:szCs w:val="21"/>
              </w:rPr>
            </w:pPr>
          </w:p>
        </w:tc>
        <w:tc>
          <w:tcPr>
            <w:tcW w:w="1836" w:type="dxa"/>
            <w:hideMark/>
          </w:tcPr>
          <w:p w:rsidR="00063A24" w:rsidRDefault="00063A24">
            <w:pPr>
              <w:jc w:val="right"/>
              <w:rPr>
                <w:rFonts w:ascii="Verdana" w:hAnsi="Verdana" w:cs="Arial"/>
                <w:sz w:val="21"/>
                <w:szCs w:val="21"/>
              </w:rPr>
            </w:pPr>
            <w:r>
              <w:rPr>
                <w:rFonts w:ascii="Verdana" w:hAnsi="Verdana" w:cs="Arial"/>
                <w:sz w:val="21"/>
                <w:szCs w:val="21"/>
              </w:rPr>
              <w:t>(1,520)</w:t>
            </w:r>
          </w:p>
        </w:tc>
      </w:tr>
      <w:tr w:rsidR="00063A24" w:rsidTr="00063A24">
        <w:tc>
          <w:tcPr>
            <w:tcW w:w="4786" w:type="dxa"/>
            <w:hideMark/>
          </w:tcPr>
          <w:p w:rsidR="00063A24" w:rsidRDefault="00063A24">
            <w:pPr>
              <w:rPr>
                <w:rFonts w:ascii="Verdana" w:hAnsi="Verdana" w:cs="Arial"/>
                <w:sz w:val="21"/>
                <w:szCs w:val="21"/>
              </w:rPr>
            </w:pPr>
            <w:r>
              <w:rPr>
                <w:rFonts w:ascii="Verdana" w:hAnsi="Verdana" w:cs="Arial"/>
                <w:sz w:val="21"/>
                <w:szCs w:val="21"/>
              </w:rPr>
              <w:t>Menos:</w:t>
            </w:r>
          </w:p>
        </w:tc>
        <w:tc>
          <w:tcPr>
            <w:tcW w:w="1872" w:type="dxa"/>
          </w:tcPr>
          <w:p w:rsidR="00063A24" w:rsidRDefault="00063A24">
            <w:pPr>
              <w:jc w:val="right"/>
              <w:rPr>
                <w:rFonts w:ascii="Verdana" w:hAnsi="Verdana" w:cs="Arial"/>
                <w:sz w:val="21"/>
                <w:szCs w:val="21"/>
              </w:rPr>
            </w:pPr>
          </w:p>
        </w:tc>
        <w:tc>
          <w:tcPr>
            <w:tcW w:w="1836" w:type="dxa"/>
            <w:hideMark/>
          </w:tcPr>
          <w:p w:rsidR="00063A24" w:rsidRDefault="00063A24">
            <w:pPr>
              <w:jc w:val="right"/>
              <w:rPr>
                <w:rFonts w:ascii="Verdana" w:hAnsi="Verdana" w:cs="Arial"/>
                <w:sz w:val="21"/>
                <w:szCs w:val="21"/>
              </w:rPr>
            </w:pPr>
          </w:p>
        </w:tc>
      </w:tr>
      <w:tr w:rsidR="00063A24" w:rsidTr="00063A24">
        <w:tc>
          <w:tcPr>
            <w:tcW w:w="4786" w:type="dxa"/>
            <w:hideMark/>
          </w:tcPr>
          <w:p w:rsidR="00063A24" w:rsidRDefault="00063A24">
            <w:pPr>
              <w:rPr>
                <w:rFonts w:ascii="Verdana" w:hAnsi="Verdana" w:cs="Arial"/>
                <w:sz w:val="21"/>
                <w:szCs w:val="21"/>
              </w:rPr>
            </w:pPr>
            <w:r>
              <w:rPr>
                <w:rFonts w:ascii="Verdana" w:hAnsi="Verdana" w:cs="Arial"/>
                <w:sz w:val="21"/>
                <w:szCs w:val="21"/>
              </w:rPr>
              <w:t>- Retenciones en la fuente realizadas en el año</w:t>
            </w:r>
          </w:p>
          <w:p w:rsidR="00063A24" w:rsidRDefault="00063A24">
            <w:pPr>
              <w:rPr>
                <w:rFonts w:ascii="Verdana" w:hAnsi="Verdana" w:cs="Arial"/>
                <w:sz w:val="21"/>
                <w:szCs w:val="21"/>
              </w:rPr>
            </w:pPr>
            <w:r>
              <w:rPr>
                <w:rFonts w:ascii="Verdana" w:hAnsi="Verdana" w:cs="Arial"/>
                <w:sz w:val="21"/>
                <w:szCs w:val="21"/>
              </w:rPr>
              <w:t>- Crédito tributario de años anteriores</w:t>
            </w:r>
          </w:p>
        </w:tc>
        <w:tc>
          <w:tcPr>
            <w:tcW w:w="1872" w:type="dxa"/>
          </w:tcPr>
          <w:p w:rsidR="00063A24" w:rsidRDefault="00063A24">
            <w:pPr>
              <w:jc w:val="right"/>
              <w:rPr>
                <w:rFonts w:ascii="Verdana" w:hAnsi="Verdana" w:cs="Arial"/>
                <w:sz w:val="21"/>
                <w:szCs w:val="21"/>
              </w:rPr>
            </w:pPr>
          </w:p>
        </w:tc>
        <w:tc>
          <w:tcPr>
            <w:tcW w:w="1836" w:type="dxa"/>
            <w:hideMark/>
          </w:tcPr>
          <w:p w:rsidR="00063A24" w:rsidRDefault="00063A24">
            <w:pPr>
              <w:jc w:val="right"/>
              <w:rPr>
                <w:rFonts w:ascii="Verdana" w:hAnsi="Verdana" w:cs="Arial"/>
                <w:sz w:val="21"/>
                <w:szCs w:val="21"/>
              </w:rPr>
            </w:pPr>
            <w:r>
              <w:rPr>
                <w:rFonts w:ascii="Verdana" w:hAnsi="Verdana" w:cs="Arial"/>
                <w:sz w:val="21"/>
                <w:szCs w:val="21"/>
              </w:rPr>
              <w:t>19,758</w:t>
            </w:r>
          </w:p>
          <w:p w:rsidR="00063A24" w:rsidRDefault="00063A24">
            <w:pPr>
              <w:jc w:val="right"/>
              <w:rPr>
                <w:rFonts w:ascii="Verdana" w:hAnsi="Verdana" w:cs="Arial"/>
                <w:sz w:val="21"/>
                <w:szCs w:val="21"/>
              </w:rPr>
            </w:pPr>
          </w:p>
          <w:p w:rsidR="00063A24" w:rsidRDefault="00063A24">
            <w:pPr>
              <w:jc w:val="right"/>
              <w:rPr>
                <w:rFonts w:ascii="Verdana" w:hAnsi="Verdana" w:cs="Arial"/>
                <w:sz w:val="21"/>
                <w:szCs w:val="21"/>
                <w:u w:val="single"/>
              </w:rPr>
            </w:pPr>
            <w:r>
              <w:rPr>
                <w:rFonts w:ascii="Verdana" w:hAnsi="Verdana" w:cs="Arial"/>
                <w:sz w:val="21"/>
                <w:szCs w:val="21"/>
                <w:u w:val="single"/>
              </w:rPr>
              <w:t>34,918</w:t>
            </w:r>
          </w:p>
        </w:tc>
      </w:tr>
      <w:tr w:rsidR="00063A24" w:rsidTr="00063A24">
        <w:tc>
          <w:tcPr>
            <w:tcW w:w="4786" w:type="dxa"/>
          </w:tcPr>
          <w:p w:rsidR="00063A24" w:rsidRDefault="00063A24">
            <w:pPr>
              <w:rPr>
                <w:rFonts w:ascii="Verdana" w:hAnsi="Verdana" w:cs="Arial"/>
                <w:sz w:val="21"/>
                <w:szCs w:val="21"/>
              </w:rPr>
            </w:pPr>
          </w:p>
          <w:p w:rsidR="00063A24" w:rsidRDefault="00063A24">
            <w:pPr>
              <w:rPr>
                <w:rFonts w:ascii="Verdana" w:hAnsi="Verdana" w:cs="Arial"/>
                <w:sz w:val="21"/>
                <w:szCs w:val="21"/>
              </w:rPr>
            </w:pPr>
            <w:r>
              <w:rPr>
                <w:rFonts w:ascii="Verdana" w:hAnsi="Verdana" w:cs="Arial"/>
                <w:sz w:val="21"/>
                <w:szCs w:val="21"/>
              </w:rPr>
              <w:t>Saldo a favor de la Compañía</w:t>
            </w:r>
          </w:p>
        </w:tc>
        <w:tc>
          <w:tcPr>
            <w:tcW w:w="1872" w:type="dxa"/>
          </w:tcPr>
          <w:p w:rsidR="00063A24" w:rsidRDefault="00063A24">
            <w:pPr>
              <w:jc w:val="right"/>
              <w:rPr>
                <w:rFonts w:ascii="Verdana" w:hAnsi="Verdana" w:cs="Arial"/>
                <w:sz w:val="21"/>
                <w:szCs w:val="21"/>
              </w:rPr>
            </w:pPr>
          </w:p>
          <w:p w:rsidR="00063A24" w:rsidRDefault="00063A24">
            <w:pPr>
              <w:jc w:val="right"/>
              <w:rPr>
                <w:rFonts w:ascii="Verdana" w:hAnsi="Verdana" w:cs="Arial"/>
                <w:sz w:val="21"/>
                <w:szCs w:val="21"/>
                <w:u w:val="single"/>
              </w:rPr>
            </w:pPr>
          </w:p>
        </w:tc>
        <w:tc>
          <w:tcPr>
            <w:tcW w:w="1836" w:type="dxa"/>
          </w:tcPr>
          <w:p w:rsidR="00063A24" w:rsidRDefault="00063A24">
            <w:pPr>
              <w:jc w:val="right"/>
              <w:rPr>
                <w:rFonts w:ascii="Verdana" w:hAnsi="Verdana" w:cs="Arial"/>
                <w:sz w:val="21"/>
                <w:szCs w:val="21"/>
              </w:rPr>
            </w:pPr>
          </w:p>
          <w:p w:rsidR="00063A24" w:rsidRDefault="00063A24">
            <w:pPr>
              <w:jc w:val="right"/>
              <w:rPr>
                <w:rFonts w:ascii="Verdana" w:hAnsi="Verdana" w:cs="Arial"/>
                <w:sz w:val="21"/>
                <w:szCs w:val="21"/>
                <w:u w:val="double"/>
              </w:rPr>
            </w:pPr>
            <w:r>
              <w:rPr>
                <w:rFonts w:ascii="Verdana" w:hAnsi="Verdana" w:cs="Arial"/>
                <w:sz w:val="21"/>
                <w:szCs w:val="21"/>
                <w:u w:val="double"/>
              </w:rPr>
              <w:t>53,156</w:t>
            </w:r>
          </w:p>
        </w:tc>
      </w:tr>
    </w:tbl>
    <w:p w:rsidR="00F82A0F" w:rsidRDefault="00F82A0F" w:rsidP="00063A24">
      <w:pPr>
        <w:rPr>
          <w:rFonts w:ascii="Verdana" w:hAnsi="Verdana" w:cs="Arial"/>
          <w:sz w:val="18"/>
          <w:szCs w:val="18"/>
        </w:rPr>
      </w:pPr>
    </w:p>
    <w:p w:rsidR="00F82A0F" w:rsidRDefault="00F82A0F" w:rsidP="00F82A0F">
      <w:pPr>
        <w:rPr>
          <w:rFonts w:ascii="Verdana" w:hAnsi="Verdana" w:cs="Arial"/>
          <w:sz w:val="18"/>
          <w:szCs w:val="18"/>
        </w:rPr>
      </w:pPr>
    </w:p>
    <w:p w:rsidR="00F82A0F" w:rsidRDefault="00F82A0F" w:rsidP="00F82A0F">
      <w:pPr>
        <w:tabs>
          <w:tab w:val="num" w:pos="567"/>
        </w:tabs>
        <w:ind w:left="709"/>
        <w:jc w:val="both"/>
        <w:rPr>
          <w:rFonts w:ascii="Verdana" w:hAnsi="Verdana" w:cs="Arial"/>
          <w:bCs/>
          <w:color w:val="000000"/>
          <w:sz w:val="21"/>
          <w:szCs w:val="21"/>
        </w:rPr>
      </w:pPr>
      <w:r>
        <w:rPr>
          <w:rFonts w:ascii="Verdana" w:hAnsi="Verdana" w:cs="Arial"/>
          <w:bCs/>
          <w:color w:val="000000"/>
          <w:sz w:val="21"/>
          <w:szCs w:val="21"/>
        </w:rPr>
        <w:t>Del impuesto determinado como se explica en la nota 19.1. Se deducen las retenciones de impuesto a la renta realizadas a la Compañía durante el ejercicio y los créditos tributarios a su favor.</w:t>
      </w:r>
    </w:p>
    <w:p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rsidR="00F82A0F" w:rsidRDefault="00F82A0F" w:rsidP="00F82A0F">
      <w:pPr>
        <w:tabs>
          <w:tab w:val="num" w:pos="567"/>
        </w:tabs>
        <w:jc w:val="both"/>
        <w:rPr>
          <w:rFonts w:ascii="Verdana" w:hAnsi="Verdana" w:cs="Arial"/>
          <w:b/>
          <w:i/>
          <w:iCs/>
          <w:color w:val="000000"/>
          <w:sz w:val="21"/>
          <w:szCs w:val="21"/>
        </w:rPr>
      </w:pPr>
      <w:r>
        <w:rPr>
          <w:rFonts w:ascii="Verdana" w:hAnsi="Verdana" w:cs="Arial"/>
          <w:b/>
          <w:color w:val="000000"/>
          <w:sz w:val="21"/>
          <w:szCs w:val="21"/>
        </w:rPr>
        <w:t>19.3.</w:t>
      </w:r>
      <w:r>
        <w:rPr>
          <w:rFonts w:ascii="Verdana" w:hAnsi="Verdana" w:cs="Arial"/>
          <w:b/>
          <w:i/>
          <w:iCs/>
          <w:color w:val="000000"/>
          <w:sz w:val="21"/>
          <w:szCs w:val="21"/>
        </w:rPr>
        <w:t xml:space="preserve"> Tasa de Impuesto a la Renta</w:t>
      </w:r>
    </w:p>
    <w:p w:rsidR="00F82A0F" w:rsidRDefault="00F82A0F" w:rsidP="00F82A0F">
      <w:pPr>
        <w:tabs>
          <w:tab w:val="num" w:pos="567"/>
        </w:tabs>
        <w:ind w:left="567" w:hanging="567"/>
        <w:jc w:val="both"/>
        <w:rPr>
          <w:rFonts w:ascii="Verdana" w:hAnsi="Verdana" w:cs="Arial"/>
          <w:b/>
          <w:i/>
          <w:iCs/>
          <w:color w:val="000000"/>
          <w:sz w:val="21"/>
          <w:szCs w:val="21"/>
        </w:rPr>
      </w:pPr>
    </w:p>
    <w:p w:rsidR="00F82A0F" w:rsidRDefault="00F82A0F" w:rsidP="00F82A0F">
      <w:pPr>
        <w:autoSpaceDE w:val="0"/>
        <w:autoSpaceDN w:val="0"/>
        <w:adjustRightInd w:val="0"/>
        <w:ind w:left="705"/>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rsidR="00F82A0F" w:rsidRDefault="00F82A0F" w:rsidP="00F82A0F">
      <w:pPr>
        <w:autoSpaceDE w:val="0"/>
        <w:autoSpaceDN w:val="0"/>
        <w:adjustRightInd w:val="0"/>
        <w:ind w:left="705"/>
        <w:jc w:val="both"/>
        <w:rPr>
          <w:rFonts w:ascii="Verdana" w:hAnsi="Verdana" w:cs="Arial"/>
          <w:sz w:val="21"/>
          <w:szCs w:val="21"/>
          <w:lang w:val="es-EC" w:eastAsia="es-EC"/>
        </w:rPr>
      </w:pPr>
    </w:p>
    <w:p w:rsidR="00F82A0F" w:rsidRDefault="00F82A0F" w:rsidP="00F82A0F">
      <w:pPr>
        <w:autoSpaceDE w:val="0"/>
        <w:autoSpaceDN w:val="0"/>
        <w:adjustRightInd w:val="0"/>
        <w:jc w:val="both"/>
        <w:rPr>
          <w:rFonts w:ascii="Verdana" w:hAnsi="Verdana" w:cs="Arial"/>
          <w:b/>
          <w:bCs/>
          <w:sz w:val="21"/>
          <w:szCs w:val="21"/>
          <w:lang w:val="es-EC" w:eastAsia="es-EC"/>
        </w:rPr>
      </w:pPr>
      <w:bookmarkStart w:id="21" w:name="_Hlk31213668"/>
      <w:r>
        <w:rPr>
          <w:rFonts w:ascii="Verdana" w:hAnsi="Verdana" w:cs="Arial"/>
          <w:b/>
          <w:bCs/>
          <w:sz w:val="21"/>
          <w:szCs w:val="21"/>
          <w:lang w:val="es-EC" w:eastAsia="es-EC"/>
        </w:rPr>
        <w:t xml:space="preserve">19.4. </w:t>
      </w:r>
      <w:r>
        <w:rPr>
          <w:rFonts w:ascii="Verdana" w:hAnsi="Verdana" w:cs="Arial"/>
          <w:b/>
          <w:bCs/>
          <w:i/>
          <w:iCs/>
          <w:sz w:val="21"/>
          <w:szCs w:val="21"/>
          <w:lang w:val="es-EC" w:eastAsia="es-EC"/>
        </w:rPr>
        <w:t>Dividendos en Efectivo</w:t>
      </w:r>
    </w:p>
    <w:bookmarkEnd w:id="21"/>
    <w:p w:rsidR="00F82A0F" w:rsidRDefault="00F82A0F" w:rsidP="00F82A0F">
      <w:pPr>
        <w:autoSpaceDE w:val="0"/>
        <w:autoSpaceDN w:val="0"/>
        <w:adjustRightInd w:val="0"/>
        <w:ind w:left="705"/>
        <w:jc w:val="both"/>
        <w:rPr>
          <w:rFonts w:ascii="Verdana" w:hAnsi="Verdana" w:cs="Arial"/>
          <w:sz w:val="21"/>
          <w:szCs w:val="21"/>
          <w:lang w:val="es-EC" w:eastAsia="es-EC"/>
        </w:rPr>
      </w:pPr>
    </w:p>
    <w:p w:rsidR="00F82A0F" w:rsidRDefault="00F82A0F" w:rsidP="00F82A0F">
      <w:pPr>
        <w:autoSpaceDE w:val="0"/>
        <w:autoSpaceDN w:val="0"/>
        <w:adjustRightInd w:val="0"/>
        <w:ind w:left="705"/>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rsidR="00F82A0F" w:rsidRDefault="00F82A0F" w:rsidP="00F82A0F">
      <w:pPr>
        <w:autoSpaceDE w:val="0"/>
        <w:autoSpaceDN w:val="0"/>
        <w:adjustRightInd w:val="0"/>
        <w:ind w:left="705"/>
        <w:jc w:val="both"/>
        <w:rPr>
          <w:rFonts w:ascii="Verdana" w:hAnsi="Verdana" w:cs="Arial"/>
          <w:sz w:val="21"/>
          <w:szCs w:val="21"/>
          <w:lang w:val="es-EC" w:eastAsia="es-EC"/>
        </w:rPr>
      </w:pPr>
    </w:p>
    <w:p w:rsidR="00F82A0F" w:rsidRDefault="00F82A0F" w:rsidP="00F82A0F">
      <w:pPr>
        <w:autoSpaceDE w:val="0"/>
        <w:autoSpaceDN w:val="0"/>
        <w:adjustRightInd w:val="0"/>
        <w:ind w:left="705"/>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 xml:space="preserve">19.5. </w:t>
      </w:r>
      <w:r>
        <w:rPr>
          <w:rFonts w:ascii="Verdana" w:hAnsi="Verdana" w:cs="Arial"/>
          <w:b/>
          <w:bCs/>
          <w:i/>
          <w:iCs/>
          <w:sz w:val="21"/>
          <w:szCs w:val="21"/>
          <w:lang w:val="es-EC" w:eastAsia="es-EC"/>
        </w:rPr>
        <w:t>Crédito Tributario por Amortización de Pérdidas</w:t>
      </w:r>
    </w:p>
    <w:p w:rsidR="00F82A0F" w:rsidRDefault="00F82A0F" w:rsidP="00F82A0F">
      <w:pPr>
        <w:autoSpaceDE w:val="0"/>
        <w:autoSpaceDN w:val="0"/>
        <w:adjustRightInd w:val="0"/>
        <w:jc w:val="both"/>
        <w:rPr>
          <w:rFonts w:ascii="Verdana" w:hAnsi="Verdana" w:cs="Arial"/>
          <w:b/>
          <w:bCs/>
          <w:i/>
          <w:iCs/>
          <w:sz w:val="21"/>
          <w:szCs w:val="21"/>
          <w:lang w:val="es-EC" w:eastAsia="es-EC"/>
        </w:rPr>
      </w:pPr>
    </w:p>
    <w:p w:rsidR="00F82A0F" w:rsidRDefault="00F82A0F" w:rsidP="00F82A0F">
      <w:pPr>
        <w:autoSpaceDE w:val="0"/>
        <w:autoSpaceDN w:val="0"/>
        <w:adjustRightInd w:val="0"/>
        <w:ind w:left="705"/>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2018 y 2017, por US$100 mil y US$204 mil, respectivamente.</w:t>
      </w:r>
    </w:p>
    <w:p w:rsidR="00F82A0F" w:rsidRDefault="00F82A0F" w:rsidP="00F82A0F">
      <w:pPr>
        <w:autoSpaceDE w:val="0"/>
        <w:autoSpaceDN w:val="0"/>
        <w:adjustRightInd w:val="0"/>
        <w:ind w:left="705"/>
        <w:jc w:val="both"/>
        <w:rPr>
          <w:rFonts w:ascii="Verdana" w:hAnsi="Verdana" w:cs="Arial"/>
          <w:sz w:val="21"/>
          <w:szCs w:val="21"/>
          <w:lang w:val="es-EC" w:eastAsia="es-EC"/>
        </w:rPr>
      </w:pPr>
    </w:p>
    <w:p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19.6.</w:t>
      </w:r>
      <w:r>
        <w:rPr>
          <w:rFonts w:ascii="Verdana" w:hAnsi="Verdana" w:cs="Arial"/>
          <w:b/>
          <w:bCs/>
          <w:i/>
          <w:iCs/>
          <w:sz w:val="21"/>
          <w:szCs w:val="21"/>
          <w:lang w:val="es-EC" w:eastAsia="es-EC"/>
        </w:rPr>
        <w:t xml:space="preserve"> Activo por Impuesto Diferido no Reconocido</w:t>
      </w:r>
    </w:p>
    <w:p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rsidR="00F82A0F" w:rsidRDefault="00F82A0F" w:rsidP="00F82A0F">
      <w:pPr>
        <w:autoSpaceDE w:val="0"/>
        <w:autoSpaceDN w:val="0"/>
        <w:adjustRightInd w:val="0"/>
        <w:ind w:left="709"/>
        <w:jc w:val="both"/>
        <w:rPr>
          <w:rFonts w:ascii="Verdana" w:hAnsi="Verdana" w:cs="Arial"/>
          <w:sz w:val="21"/>
          <w:szCs w:val="21"/>
          <w:lang w:val="es-EC" w:eastAsia="es-EC"/>
        </w:rPr>
      </w:pPr>
      <w:r>
        <w:rPr>
          <w:rFonts w:ascii="Verdana" w:hAnsi="Verdana" w:cs="Arial"/>
          <w:sz w:val="21"/>
          <w:szCs w:val="21"/>
          <w:lang w:val="es-EC" w:eastAsia="es-EC"/>
        </w:rPr>
        <w:t>Corresponde al beneficio tributario por amortización de pérdidas (Nota 20.5), el mismo que no ha sido reconocido debido a la incertidumbre en el uso de sus beneficios en los periodos futuros.</w:t>
      </w:r>
    </w:p>
    <w:p w:rsidR="00F82A0F" w:rsidRDefault="00F82A0F" w:rsidP="00F82A0F">
      <w:pPr>
        <w:tabs>
          <w:tab w:val="num" w:pos="567"/>
        </w:tabs>
        <w:ind w:left="567" w:hanging="567"/>
        <w:jc w:val="both"/>
        <w:rPr>
          <w:rFonts w:ascii="Verdana" w:hAnsi="Verdana" w:cs="Arial"/>
          <w:b/>
          <w:color w:val="000000"/>
          <w:sz w:val="18"/>
          <w:szCs w:val="18"/>
          <w:lang w:val="es-EC"/>
        </w:rPr>
      </w:pPr>
    </w:p>
    <w:p w:rsidR="00F82A0F" w:rsidRDefault="00F82A0F" w:rsidP="00F82A0F">
      <w:pPr>
        <w:tabs>
          <w:tab w:val="num" w:pos="567"/>
        </w:tabs>
        <w:ind w:left="567" w:hanging="567"/>
        <w:jc w:val="both"/>
        <w:rPr>
          <w:rFonts w:ascii="Verdana" w:hAnsi="Verdana" w:cs="Arial"/>
          <w:b/>
          <w:i/>
          <w:iCs/>
          <w:color w:val="000000"/>
          <w:sz w:val="21"/>
          <w:szCs w:val="21"/>
        </w:rPr>
      </w:pPr>
      <w:bookmarkStart w:id="22" w:name="_Hlk31300483"/>
      <w:r>
        <w:rPr>
          <w:rFonts w:ascii="Verdana" w:hAnsi="Verdana" w:cs="Arial"/>
          <w:b/>
          <w:color w:val="000000"/>
          <w:sz w:val="21"/>
          <w:szCs w:val="21"/>
        </w:rPr>
        <w:t>19.7</w:t>
      </w:r>
      <w:r>
        <w:rPr>
          <w:rFonts w:ascii="Verdana" w:hAnsi="Verdana" w:cs="Arial"/>
          <w:b/>
          <w:i/>
          <w:iCs/>
          <w:color w:val="000000"/>
          <w:sz w:val="21"/>
          <w:szCs w:val="21"/>
        </w:rPr>
        <w:t>. Revisión Tributaria</w:t>
      </w:r>
    </w:p>
    <w:bookmarkEnd w:id="22"/>
    <w:p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rsidR="00F82A0F" w:rsidRDefault="00F82A0F" w:rsidP="00F82A0F">
      <w:pPr>
        <w:autoSpaceDE w:val="0"/>
        <w:autoSpaceDN w:val="0"/>
        <w:adjustRightInd w:val="0"/>
        <w:ind w:left="709"/>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rsidR="00F82A0F" w:rsidRDefault="00F82A0F" w:rsidP="00F82A0F">
      <w:pPr>
        <w:autoSpaceDE w:val="0"/>
        <w:autoSpaceDN w:val="0"/>
        <w:adjustRightInd w:val="0"/>
        <w:jc w:val="both"/>
        <w:rPr>
          <w:rFonts w:ascii="Verdana" w:hAnsi="Verdana" w:cs="Arial"/>
          <w:sz w:val="21"/>
          <w:szCs w:val="21"/>
          <w:lang w:val="es-EC" w:eastAsia="es-EC"/>
        </w:rPr>
      </w:pPr>
    </w:p>
    <w:p w:rsidR="00F82A0F" w:rsidRDefault="00F82A0F" w:rsidP="00F82A0F">
      <w:pPr>
        <w:autoSpaceDE w:val="0"/>
        <w:autoSpaceDN w:val="0"/>
        <w:adjustRightInd w:val="0"/>
        <w:ind w:left="709"/>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2016 ha prescrito.</w:t>
      </w:r>
    </w:p>
    <w:p w:rsidR="00F82A0F" w:rsidRDefault="00F82A0F" w:rsidP="00F82A0F">
      <w:pPr>
        <w:autoSpaceDE w:val="0"/>
        <w:autoSpaceDN w:val="0"/>
        <w:adjustRightInd w:val="0"/>
        <w:ind w:left="709"/>
        <w:jc w:val="both"/>
        <w:rPr>
          <w:rFonts w:ascii="Verdana" w:hAnsi="Verdana" w:cs="Arial"/>
          <w:sz w:val="21"/>
          <w:szCs w:val="21"/>
          <w:lang w:val="es-EC" w:eastAsia="es-EC"/>
        </w:rPr>
      </w:pPr>
    </w:p>
    <w:p w:rsidR="00F82A0F" w:rsidRDefault="00F82A0F" w:rsidP="00F82A0F">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20.  </w:t>
      </w:r>
      <w:r>
        <w:rPr>
          <w:rFonts w:ascii="Verdana" w:hAnsi="Verdana" w:cs="Arial"/>
          <w:b/>
          <w:color w:val="000000"/>
          <w:sz w:val="21"/>
          <w:szCs w:val="21"/>
        </w:rPr>
        <w:tab/>
        <w:t>SALDOS Y TRANSACCIONES CON PARTES RELACIONADAS</w:t>
      </w:r>
    </w:p>
    <w:p w:rsidR="00336509" w:rsidRDefault="00336509" w:rsidP="00F82A0F">
      <w:pPr>
        <w:rPr>
          <w:rFonts w:ascii="Verdana" w:hAnsi="Verdana" w:cs="Arial"/>
          <w:sz w:val="18"/>
          <w:szCs w:val="18"/>
        </w:rPr>
      </w:pPr>
    </w:p>
    <w:p w:rsidR="00336509" w:rsidRDefault="00336509" w:rsidP="00336509">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2014"/>
        <w:gridCol w:w="1836"/>
      </w:tblGrid>
      <w:tr w:rsidR="00336509" w:rsidTr="007C6CE0">
        <w:tc>
          <w:tcPr>
            <w:tcW w:w="4644" w:type="dxa"/>
          </w:tcPr>
          <w:p w:rsidR="00336509" w:rsidRDefault="00336509">
            <w:pPr>
              <w:rPr>
                <w:rFonts w:ascii="Verdana" w:hAnsi="Verdana" w:cs="Arial"/>
                <w:sz w:val="21"/>
                <w:szCs w:val="21"/>
              </w:rPr>
            </w:pPr>
          </w:p>
        </w:tc>
        <w:tc>
          <w:tcPr>
            <w:tcW w:w="2014" w:type="dxa"/>
            <w:hideMark/>
          </w:tcPr>
          <w:p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336509" w:rsidRDefault="00336509">
            <w:pPr>
              <w:jc w:val="right"/>
              <w:rPr>
                <w:rFonts w:ascii="Verdana" w:hAnsi="Verdana" w:cs="Arial"/>
                <w:sz w:val="21"/>
                <w:szCs w:val="21"/>
                <w:u w:val="single"/>
              </w:rPr>
            </w:pPr>
            <w:r>
              <w:rPr>
                <w:rFonts w:ascii="Verdana" w:hAnsi="Verdana" w:cs="Arial"/>
                <w:sz w:val="21"/>
                <w:szCs w:val="21"/>
                <w:u w:val="single"/>
              </w:rPr>
              <w:t>2020</w:t>
            </w:r>
          </w:p>
        </w:tc>
      </w:tr>
      <w:tr w:rsidR="00336509" w:rsidTr="007C6CE0">
        <w:tc>
          <w:tcPr>
            <w:tcW w:w="4644" w:type="dxa"/>
          </w:tcPr>
          <w:p w:rsidR="00336509" w:rsidRDefault="00336509">
            <w:pPr>
              <w:rPr>
                <w:rFonts w:ascii="Verdana" w:hAnsi="Verdana" w:cs="Arial"/>
                <w:sz w:val="21"/>
                <w:szCs w:val="21"/>
              </w:rPr>
            </w:pPr>
          </w:p>
        </w:tc>
        <w:tc>
          <w:tcPr>
            <w:tcW w:w="2014" w:type="dxa"/>
          </w:tcPr>
          <w:p w:rsidR="00336509" w:rsidRDefault="00336509">
            <w:pPr>
              <w:jc w:val="right"/>
              <w:rPr>
                <w:rFonts w:ascii="Verdana" w:hAnsi="Verdana" w:cs="Arial"/>
                <w:sz w:val="21"/>
                <w:szCs w:val="21"/>
              </w:rPr>
            </w:pPr>
          </w:p>
        </w:tc>
        <w:tc>
          <w:tcPr>
            <w:tcW w:w="1836" w:type="dxa"/>
          </w:tcPr>
          <w:p w:rsidR="00336509" w:rsidRDefault="00336509">
            <w:pPr>
              <w:jc w:val="right"/>
              <w:rPr>
                <w:rFonts w:ascii="Verdana" w:hAnsi="Verdana" w:cs="Arial"/>
                <w:sz w:val="21"/>
                <w:szCs w:val="21"/>
              </w:rPr>
            </w:pPr>
          </w:p>
        </w:tc>
      </w:tr>
      <w:tr w:rsidR="00336509" w:rsidTr="007C6CE0">
        <w:tc>
          <w:tcPr>
            <w:tcW w:w="4644" w:type="dxa"/>
            <w:hideMark/>
          </w:tcPr>
          <w:p w:rsidR="00336509" w:rsidRPr="00336509" w:rsidRDefault="00336509">
            <w:pPr>
              <w:rPr>
                <w:rFonts w:ascii="Verdana" w:hAnsi="Verdana" w:cs="Arial"/>
                <w:sz w:val="21"/>
                <w:szCs w:val="21"/>
                <w:u w:val="single"/>
              </w:rPr>
            </w:pPr>
            <w:r w:rsidRPr="00336509">
              <w:rPr>
                <w:rFonts w:ascii="Verdana" w:hAnsi="Verdana" w:cs="Arial"/>
                <w:sz w:val="21"/>
                <w:szCs w:val="21"/>
                <w:u w:val="single"/>
              </w:rPr>
              <w:t>Saldos:</w:t>
            </w:r>
          </w:p>
        </w:tc>
        <w:tc>
          <w:tcPr>
            <w:tcW w:w="2014" w:type="dxa"/>
          </w:tcPr>
          <w:p w:rsidR="00336509" w:rsidRDefault="00336509">
            <w:pPr>
              <w:jc w:val="right"/>
              <w:rPr>
                <w:rFonts w:ascii="Verdana" w:hAnsi="Verdana" w:cs="Arial"/>
                <w:sz w:val="21"/>
                <w:szCs w:val="21"/>
              </w:rPr>
            </w:pPr>
          </w:p>
        </w:tc>
        <w:tc>
          <w:tcPr>
            <w:tcW w:w="1836" w:type="dxa"/>
            <w:hideMark/>
          </w:tcPr>
          <w:p w:rsidR="00336509" w:rsidRDefault="00336509">
            <w:pPr>
              <w:jc w:val="right"/>
              <w:rPr>
                <w:rFonts w:ascii="Verdana" w:hAnsi="Verdana" w:cs="Arial"/>
                <w:sz w:val="21"/>
                <w:szCs w:val="21"/>
              </w:rPr>
            </w:pPr>
          </w:p>
        </w:tc>
      </w:tr>
      <w:tr w:rsidR="00336509" w:rsidTr="007C6CE0">
        <w:tc>
          <w:tcPr>
            <w:tcW w:w="4644" w:type="dxa"/>
            <w:hideMark/>
          </w:tcPr>
          <w:p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14" w:type="dxa"/>
          </w:tcPr>
          <w:p w:rsidR="00336509" w:rsidRDefault="00336509">
            <w:pPr>
              <w:jc w:val="right"/>
              <w:rPr>
                <w:rFonts w:ascii="Verdana" w:hAnsi="Verdana" w:cs="Arial"/>
                <w:sz w:val="21"/>
                <w:szCs w:val="21"/>
              </w:rPr>
            </w:pPr>
          </w:p>
        </w:tc>
        <w:tc>
          <w:tcPr>
            <w:tcW w:w="1836" w:type="dxa"/>
            <w:hideMark/>
          </w:tcPr>
          <w:p w:rsidR="00336509" w:rsidRDefault="00336509">
            <w:pPr>
              <w:jc w:val="right"/>
              <w:rPr>
                <w:rFonts w:ascii="Verdana" w:hAnsi="Verdana" w:cs="Arial"/>
                <w:sz w:val="21"/>
                <w:szCs w:val="21"/>
              </w:rPr>
            </w:pPr>
          </w:p>
        </w:tc>
      </w:tr>
      <w:tr w:rsidR="00336509" w:rsidTr="007C6CE0">
        <w:tc>
          <w:tcPr>
            <w:tcW w:w="4644" w:type="dxa"/>
            <w:hideMark/>
          </w:tcPr>
          <w:p w:rsidR="00336509" w:rsidRPr="00336509" w:rsidRDefault="00336509">
            <w:pPr>
              <w:rPr>
                <w:rFonts w:ascii="Verdana" w:hAnsi="Verdana" w:cs="Arial"/>
                <w:sz w:val="21"/>
                <w:szCs w:val="21"/>
              </w:rPr>
            </w:pPr>
            <w:r>
              <w:rPr>
                <w:rFonts w:ascii="Verdana" w:hAnsi="Verdana" w:cs="Arial"/>
                <w:b/>
                <w:sz w:val="21"/>
                <w:szCs w:val="21"/>
              </w:rPr>
              <w:t xml:space="preserve">. </w:t>
            </w:r>
            <w:r>
              <w:rPr>
                <w:rFonts w:ascii="Verdana" w:hAnsi="Verdana" w:cs="Arial"/>
                <w:sz w:val="21"/>
                <w:szCs w:val="21"/>
              </w:rPr>
              <w:t>María Dolores Casal (Accionista)</w:t>
            </w:r>
          </w:p>
          <w:p w:rsidR="00336509" w:rsidRDefault="00336509">
            <w:pPr>
              <w:rPr>
                <w:rFonts w:ascii="Verdana" w:hAnsi="Verdana" w:cs="Arial"/>
                <w:sz w:val="21"/>
                <w:szCs w:val="21"/>
              </w:rPr>
            </w:pPr>
            <w:r>
              <w:rPr>
                <w:rFonts w:ascii="Verdana" w:hAnsi="Verdana" w:cs="Arial"/>
                <w:b/>
                <w:sz w:val="21"/>
                <w:szCs w:val="21"/>
              </w:rPr>
              <w:t xml:space="preserve">. </w:t>
            </w:r>
            <w:r>
              <w:rPr>
                <w:rFonts w:ascii="Verdana" w:hAnsi="Verdana" w:cs="Arial"/>
                <w:sz w:val="21"/>
                <w:szCs w:val="21"/>
              </w:rPr>
              <w:t>María Paula Casal (Parte relacionada)</w:t>
            </w:r>
          </w:p>
          <w:p w:rsidR="00336509" w:rsidRDefault="00336509">
            <w:pPr>
              <w:rPr>
                <w:rFonts w:ascii="Verdana" w:hAnsi="Verdana" w:cs="Arial"/>
                <w:sz w:val="21"/>
                <w:szCs w:val="21"/>
              </w:rPr>
            </w:pPr>
          </w:p>
          <w:p w:rsidR="00336509" w:rsidRDefault="00336509">
            <w:pPr>
              <w:rPr>
                <w:rFonts w:ascii="Verdana" w:hAnsi="Verdana" w:cs="Arial"/>
                <w:sz w:val="21"/>
                <w:szCs w:val="21"/>
              </w:rPr>
            </w:pPr>
            <w:r>
              <w:rPr>
                <w:rFonts w:ascii="Verdana" w:hAnsi="Verdana" w:cs="Arial"/>
                <w:sz w:val="21"/>
                <w:szCs w:val="21"/>
              </w:rPr>
              <w:t>Suman</w:t>
            </w:r>
          </w:p>
          <w:p w:rsidR="00336509" w:rsidRDefault="00336509">
            <w:pPr>
              <w:rPr>
                <w:rFonts w:ascii="Verdana" w:hAnsi="Verdana" w:cs="Arial"/>
                <w:sz w:val="21"/>
                <w:szCs w:val="21"/>
              </w:rPr>
            </w:pPr>
            <w:r>
              <w:rPr>
                <w:rFonts w:ascii="Verdana" w:hAnsi="Verdana" w:cs="Arial"/>
                <w:sz w:val="21"/>
                <w:szCs w:val="21"/>
              </w:rPr>
              <w:t>Más: Honorarios por pagar, servicios profesionales</w:t>
            </w:r>
          </w:p>
          <w:p w:rsidR="00336509" w:rsidRDefault="00336509">
            <w:pPr>
              <w:rPr>
                <w:rFonts w:ascii="Verdana" w:hAnsi="Verdana" w:cs="Arial"/>
                <w:sz w:val="21"/>
                <w:szCs w:val="21"/>
              </w:rPr>
            </w:pPr>
          </w:p>
          <w:p w:rsidR="00336509" w:rsidRDefault="00336509">
            <w:pPr>
              <w:rPr>
                <w:rFonts w:ascii="Verdana" w:hAnsi="Verdana" w:cs="Arial"/>
                <w:sz w:val="21"/>
                <w:szCs w:val="21"/>
              </w:rPr>
            </w:pPr>
            <w:r>
              <w:rPr>
                <w:rFonts w:ascii="Verdana" w:hAnsi="Verdana" w:cs="Arial"/>
                <w:sz w:val="21"/>
                <w:szCs w:val="21"/>
              </w:rPr>
              <w:t>Saldos totales por pagar</w:t>
            </w:r>
          </w:p>
          <w:p w:rsidR="00336509" w:rsidRDefault="00336509">
            <w:pPr>
              <w:rPr>
                <w:rFonts w:ascii="Verdana" w:hAnsi="Verdana" w:cs="Arial"/>
                <w:sz w:val="21"/>
                <w:szCs w:val="21"/>
              </w:rPr>
            </w:pPr>
          </w:p>
          <w:p w:rsidR="00336509" w:rsidRDefault="00336509">
            <w:pPr>
              <w:rPr>
                <w:rFonts w:ascii="Verdana" w:hAnsi="Verdana" w:cs="Arial"/>
                <w:sz w:val="21"/>
                <w:szCs w:val="21"/>
              </w:rPr>
            </w:pPr>
            <w:r>
              <w:rPr>
                <w:rFonts w:ascii="Verdana" w:hAnsi="Verdana" w:cs="Arial"/>
                <w:sz w:val="21"/>
                <w:szCs w:val="21"/>
              </w:rPr>
              <w:t>Vencimientos:</w:t>
            </w:r>
          </w:p>
          <w:p w:rsidR="00336509" w:rsidRDefault="00336509">
            <w:pPr>
              <w:rPr>
                <w:rFonts w:ascii="Verdana" w:hAnsi="Verdana" w:cs="Arial"/>
                <w:sz w:val="21"/>
                <w:szCs w:val="21"/>
              </w:rPr>
            </w:pPr>
            <w:r>
              <w:rPr>
                <w:rFonts w:ascii="Verdana" w:hAnsi="Verdana" w:cs="Arial"/>
                <w:sz w:val="21"/>
                <w:szCs w:val="21"/>
              </w:rPr>
              <w:t>…Corrientes</w:t>
            </w:r>
          </w:p>
          <w:p w:rsidR="00336509" w:rsidRPr="00336509" w:rsidRDefault="00336509">
            <w:pPr>
              <w:rPr>
                <w:rFonts w:ascii="Verdana" w:hAnsi="Verdana" w:cs="Arial"/>
                <w:sz w:val="21"/>
                <w:szCs w:val="21"/>
              </w:rPr>
            </w:pPr>
            <w:r>
              <w:rPr>
                <w:rFonts w:ascii="Verdana" w:hAnsi="Verdana" w:cs="Arial"/>
                <w:sz w:val="21"/>
                <w:szCs w:val="21"/>
              </w:rPr>
              <w:t>…Largo plazo</w:t>
            </w:r>
          </w:p>
        </w:tc>
        <w:tc>
          <w:tcPr>
            <w:tcW w:w="2014" w:type="dxa"/>
          </w:tcPr>
          <w:p w:rsidR="00336509" w:rsidRDefault="00336509">
            <w:pPr>
              <w:jc w:val="right"/>
              <w:rPr>
                <w:rFonts w:ascii="Verdana" w:hAnsi="Verdana" w:cs="Arial"/>
                <w:sz w:val="21"/>
                <w:szCs w:val="21"/>
              </w:rPr>
            </w:pPr>
          </w:p>
        </w:tc>
        <w:tc>
          <w:tcPr>
            <w:tcW w:w="1836" w:type="dxa"/>
            <w:hideMark/>
          </w:tcPr>
          <w:p w:rsidR="00336509" w:rsidRDefault="007C6CE0">
            <w:pPr>
              <w:jc w:val="right"/>
              <w:rPr>
                <w:rFonts w:ascii="Verdana" w:hAnsi="Verdana" w:cs="Arial"/>
                <w:sz w:val="21"/>
                <w:szCs w:val="21"/>
              </w:rPr>
            </w:pPr>
            <w:r>
              <w:rPr>
                <w:rFonts w:ascii="Verdana" w:hAnsi="Verdana" w:cs="Arial"/>
                <w:sz w:val="21"/>
                <w:szCs w:val="21"/>
              </w:rPr>
              <w:t>220,912</w:t>
            </w:r>
          </w:p>
          <w:p w:rsidR="00336509" w:rsidRDefault="007C6CE0">
            <w:pPr>
              <w:jc w:val="right"/>
              <w:rPr>
                <w:rFonts w:ascii="Verdana" w:hAnsi="Verdana" w:cs="Arial"/>
                <w:sz w:val="21"/>
                <w:szCs w:val="21"/>
                <w:u w:val="single"/>
              </w:rPr>
            </w:pPr>
            <w:r>
              <w:rPr>
                <w:rFonts w:ascii="Verdana" w:hAnsi="Verdana" w:cs="Arial"/>
                <w:sz w:val="21"/>
                <w:szCs w:val="21"/>
                <w:u w:val="single"/>
              </w:rPr>
              <w:t>28,242</w:t>
            </w:r>
          </w:p>
          <w:p w:rsidR="007C6CE0" w:rsidRDefault="007C6CE0">
            <w:pPr>
              <w:jc w:val="right"/>
              <w:rPr>
                <w:rFonts w:ascii="Verdana" w:hAnsi="Verdana" w:cs="Arial"/>
                <w:sz w:val="21"/>
                <w:szCs w:val="21"/>
                <w:u w:val="single"/>
              </w:rPr>
            </w:pPr>
          </w:p>
          <w:p w:rsidR="007C6CE0" w:rsidRDefault="007C6CE0">
            <w:pPr>
              <w:jc w:val="right"/>
              <w:rPr>
                <w:rFonts w:ascii="Verdana" w:hAnsi="Verdana" w:cs="Arial"/>
                <w:sz w:val="21"/>
                <w:szCs w:val="21"/>
              </w:rPr>
            </w:pPr>
            <w:r w:rsidRPr="007C6CE0">
              <w:rPr>
                <w:rFonts w:ascii="Verdana" w:hAnsi="Verdana" w:cs="Arial"/>
                <w:sz w:val="21"/>
                <w:szCs w:val="21"/>
              </w:rPr>
              <w:t>249,154</w:t>
            </w:r>
          </w:p>
          <w:p w:rsidR="007C6CE0" w:rsidRDefault="007C6CE0">
            <w:pPr>
              <w:jc w:val="right"/>
              <w:rPr>
                <w:rFonts w:ascii="Verdana" w:hAnsi="Verdana" w:cs="Arial"/>
                <w:sz w:val="21"/>
                <w:szCs w:val="21"/>
                <w:u w:val="single"/>
              </w:rPr>
            </w:pPr>
            <w:r w:rsidRPr="007C6CE0">
              <w:rPr>
                <w:rFonts w:ascii="Verdana" w:hAnsi="Verdana" w:cs="Arial"/>
                <w:sz w:val="21"/>
                <w:szCs w:val="21"/>
                <w:u w:val="single"/>
              </w:rPr>
              <w:t>0</w:t>
            </w:r>
          </w:p>
          <w:p w:rsidR="007C6CE0" w:rsidRDefault="007C6CE0" w:rsidP="007C6CE0">
            <w:pPr>
              <w:jc w:val="right"/>
              <w:rPr>
                <w:rFonts w:ascii="Verdana" w:hAnsi="Verdana" w:cs="Arial"/>
                <w:sz w:val="21"/>
                <w:szCs w:val="21"/>
              </w:rPr>
            </w:pPr>
          </w:p>
          <w:p w:rsidR="007C6CE0" w:rsidRDefault="007C6CE0" w:rsidP="007C6CE0">
            <w:pPr>
              <w:jc w:val="right"/>
              <w:rPr>
                <w:rFonts w:ascii="Verdana" w:hAnsi="Verdana" w:cs="Arial"/>
                <w:sz w:val="21"/>
                <w:szCs w:val="21"/>
              </w:rPr>
            </w:pPr>
          </w:p>
          <w:p w:rsidR="007C6CE0" w:rsidRDefault="007C6CE0" w:rsidP="007C6CE0">
            <w:pPr>
              <w:jc w:val="right"/>
              <w:rPr>
                <w:rFonts w:ascii="Verdana" w:hAnsi="Verdana" w:cs="Arial"/>
                <w:sz w:val="21"/>
                <w:szCs w:val="21"/>
                <w:u w:val="double"/>
              </w:rPr>
            </w:pPr>
            <w:r>
              <w:rPr>
                <w:rFonts w:ascii="Verdana" w:hAnsi="Verdana" w:cs="Arial"/>
                <w:sz w:val="21"/>
                <w:szCs w:val="21"/>
                <w:u w:val="double"/>
              </w:rPr>
              <w:t>249,154</w:t>
            </w:r>
          </w:p>
          <w:p w:rsidR="007C6CE0" w:rsidRDefault="007C6CE0" w:rsidP="007C6CE0">
            <w:pPr>
              <w:jc w:val="right"/>
              <w:rPr>
                <w:rFonts w:ascii="Verdana" w:hAnsi="Verdana" w:cs="Arial"/>
                <w:sz w:val="21"/>
                <w:szCs w:val="21"/>
                <w:u w:val="double"/>
              </w:rPr>
            </w:pPr>
          </w:p>
          <w:p w:rsidR="007C6CE0" w:rsidRDefault="007C6CE0" w:rsidP="007C6CE0">
            <w:pPr>
              <w:jc w:val="right"/>
              <w:rPr>
                <w:rFonts w:ascii="Verdana" w:hAnsi="Verdana" w:cs="Arial"/>
                <w:sz w:val="21"/>
                <w:szCs w:val="21"/>
                <w:u w:val="double"/>
              </w:rPr>
            </w:pPr>
          </w:p>
          <w:p w:rsidR="007C6CE0" w:rsidRPr="007C6CE0" w:rsidRDefault="007C6CE0" w:rsidP="007C6CE0">
            <w:pPr>
              <w:jc w:val="right"/>
              <w:rPr>
                <w:rFonts w:ascii="Verdana" w:hAnsi="Verdana" w:cs="Arial"/>
                <w:sz w:val="21"/>
                <w:szCs w:val="21"/>
              </w:rPr>
            </w:pPr>
            <w:r>
              <w:rPr>
                <w:rFonts w:ascii="Verdana" w:hAnsi="Verdana" w:cs="Arial"/>
                <w:sz w:val="21"/>
                <w:szCs w:val="21"/>
              </w:rPr>
              <w:t>124,577</w:t>
            </w:r>
          </w:p>
          <w:p w:rsidR="007C6CE0" w:rsidRPr="007C6CE0" w:rsidRDefault="007C6CE0" w:rsidP="007C6CE0">
            <w:pPr>
              <w:jc w:val="right"/>
              <w:rPr>
                <w:rFonts w:ascii="Verdana" w:hAnsi="Verdana" w:cs="Arial"/>
                <w:sz w:val="21"/>
                <w:szCs w:val="21"/>
                <w:u w:val="single"/>
              </w:rPr>
            </w:pPr>
            <w:r>
              <w:rPr>
                <w:rFonts w:ascii="Verdana" w:hAnsi="Verdana" w:cs="Arial"/>
                <w:sz w:val="21"/>
                <w:szCs w:val="21"/>
                <w:u w:val="single"/>
              </w:rPr>
              <w:t>124,577</w:t>
            </w:r>
          </w:p>
        </w:tc>
      </w:tr>
      <w:tr w:rsidR="00336509" w:rsidTr="007C6CE0">
        <w:tc>
          <w:tcPr>
            <w:tcW w:w="4644" w:type="dxa"/>
          </w:tcPr>
          <w:p w:rsidR="00336509" w:rsidRDefault="00336509">
            <w:pPr>
              <w:rPr>
                <w:rFonts w:ascii="Verdana" w:hAnsi="Verdana" w:cs="Arial"/>
                <w:sz w:val="21"/>
                <w:szCs w:val="21"/>
              </w:rPr>
            </w:pPr>
          </w:p>
          <w:p w:rsidR="00336509" w:rsidRDefault="007C6CE0">
            <w:pPr>
              <w:rPr>
                <w:rFonts w:ascii="Verdana" w:hAnsi="Verdana" w:cs="Arial"/>
                <w:sz w:val="21"/>
                <w:szCs w:val="21"/>
              </w:rPr>
            </w:pPr>
            <w:r>
              <w:rPr>
                <w:rFonts w:ascii="Verdana" w:hAnsi="Verdana" w:cs="Arial"/>
                <w:sz w:val="21"/>
                <w:szCs w:val="21"/>
              </w:rPr>
              <w:t>TOTAL</w:t>
            </w:r>
          </w:p>
        </w:tc>
        <w:tc>
          <w:tcPr>
            <w:tcW w:w="2014" w:type="dxa"/>
          </w:tcPr>
          <w:p w:rsidR="00336509" w:rsidRDefault="00336509">
            <w:pPr>
              <w:jc w:val="right"/>
              <w:rPr>
                <w:rFonts w:ascii="Verdana" w:hAnsi="Verdana" w:cs="Arial"/>
                <w:sz w:val="21"/>
                <w:szCs w:val="21"/>
              </w:rPr>
            </w:pPr>
          </w:p>
          <w:p w:rsidR="00336509" w:rsidRDefault="00336509">
            <w:pPr>
              <w:jc w:val="right"/>
              <w:rPr>
                <w:rFonts w:ascii="Verdana" w:hAnsi="Verdana" w:cs="Arial"/>
                <w:sz w:val="21"/>
                <w:szCs w:val="21"/>
                <w:u w:val="single"/>
              </w:rPr>
            </w:pPr>
          </w:p>
        </w:tc>
        <w:tc>
          <w:tcPr>
            <w:tcW w:w="1836" w:type="dxa"/>
          </w:tcPr>
          <w:p w:rsidR="00336509" w:rsidRDefault="00336509">
            <w:pPr>
              <w:jc w:val="right"/>
              <w:rPr>
                <w:rFonts w:ascii="Verdana" w:hAnsi="Verdana" w:cs="Arial"/>
                <w:sz w:val="21"/>
                <w:szCs w:val="21"/>
              </w:rPr>
            </w:pPr>
          </w:p>
          <w:p w:rsidR="00336509" w:rsidRDefault="007C6CE0">
            <w:pPr>
              <w:jc w:val="right"/>
              <w:rPr>
                <w:rFonts w:ascii="Verdana" w:hAnsi="Verdana" w:cs="Arial"/>
                <w:sz w:val="21"/>
                <w:szCs w:val="21"/>
                <w:u w:val="double"/>
              </w:rPr>
            </w:pPr>
            <w:r>
              <w:rPr>
                <w:rFonts w:ascii="Verdana" w:hAnsi="Verdana" w:cs="Arial"/>
                <w:sz w:val="21"/>
                <w:szCs w:val="21"/>
                <w:u w:val="double"/>
              </w:rPr>
              <w:t>249,154</w:t>
            </w:r>
          </w:p>
        </w:tc>
      </w:tr>
    </w:tbl>
    <w:p w:rsidR="007C6CE0" w:rsidRDefault="007C6CE0" w:rsidP="00336509">
      <w:pPr>
        <w:rPr>
          <w:rFonts w:ascii="Verdana" w:hAnsi="Verdana" w:cs="Arial"/>
          <w:sz w:val="18"/>
          <w:szCs w:val="18"/>
        </w:rPr>
      </w:pPr>
    </w:p>
    <w:p w:rsidR="007C6CE0" w:rsidRDefault="007C6CE0" w:rsidP="007C6CE0">
      <w:pPr>
        <w:rPr>
          <w:rFonts w:ascii="Verdana" w:hAnsi="Verdana" w:cs="Arial"/>
          <w:sz w:val="18"/>
          <w:szCs w:val="18"/>
        </w:rPr>
      </w:pPr>
    </w:p>
    <w:p w:rsidR="007C6CE0" w:rsidRDefault="007C6CE0" w:rsidP="007C6CE0">
      <w:pPr>
        <w:pStyle w:val="BodyText22"/>
        <w:widowControl/>
        <w:tabs>
          <w:tab w:val="clear" w:pos="7655"/>
          <w:tab w:val="left" w:pos="851"/>
          <w:tab w:val="left" w:pos="6305"/>
          <w:tab w:val="right" w:pos="7513"/>
          <w:tab w:val="right" w:pos="7560"/>
          <w:tab w:val="left" w:pos="7740"/>
          <w:tab w:val="right" w:pos="8930"/>
          <w:tab w:val="right" w:pos="8987"/>
        </w:tabs>
        <w:ind w:right="140"/>
        <w:rPr>
          <w:rFonts w:ascii="Verdana" w:hAnsi="Verdana" w:cs="Arial"/>
          <w:bCs/>
          <w:sz w:val="21"/>
          <w:szCs w:val="21"/>
        </w:rPr>
      </w:pPr>
      <w:r>
        <w:rPr>
          <w:rFonts w:ascii="Verdana" w:hAnsi="Verdana" w:cs="Arial"/>
          <w:bCs/>
          <w:sz w:val="21"/>
          <w:szCs w:val="21"/>
        </w:rPr>
        <w:t>Las deudas con Accionista y parte relacionada se originan en la provisión de fondos para capital de trabajo, se encuentran amparadas en pagarés firmados por la Compañía a favor de éstas y no generan intereses por financiamiento.</w:t>
      </w:r>
    </w:p>
    <w:p w:rsidR="007C6CE0" w:rsidRDefault="00662332" w:rsidP="00662332">
      <w:pPr>
        <w:spacing w:after="160" w:line="259" w:lineRule="auto"/>
        <w:rPr>
          <w:rFonts w:ascii="Verdana" w:hAnsi="Verdana" w:cs="Arial"/>
          <w:sz w:val="18"/>
          <w:szCs w:val="18"/>
          <w:lang w:val="es-ES_tradnl"/>
        </w:rPr>
      </w:pPr>
      <w:r>
        <w:rPr>
          <w:rFonts w:ascii="Verdana" w:hAnsi="Verdana" w:cs="Arial"/>
          <w:sz w:val="18"/>
          <w:szCs w:val="18"/>
          <w:lang w:val="es-ES_tradnl"/>
        </w:rPr>
        <w:br w:type="page"/>
      </w:r>
    </w:p>
    <w:p w:rsidR="007C6CE0" w:rsidRDefault="007C6CE0" w:rsidP="007C6CE0">
      <w:pPr>
        <w:rPr>
          <w:rFonts w:ascii="Verdana" w:hAnsi="Verdana" w:cs="Arial"/>
          <w:sz w:val="18"/>
          <w:szCs w:val="18"/>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1872"/>
        <w:gridCol w:w="1836"/>
      </w:tblGrid>
      <w:tr w:rsidR="007C6CE0" w:rsidTr="00424808">
        <w:tc>
          <w:tcPr>
            <w:tcW w:w="4786" w:type="dxa"/>
          </w:tcPr>
          <w:p w:rsidR="007C6CE0" w:rsidRDefault="007C6CE0">
            <w:pPr>
              <w:rPr>
                <w:rFonts w:ascii="Verdana" w:hAnsi="Verdana" w:cs="Arial"/>
                <w:sz w:val="21"/>
                <w:szCs w:val="21"/>
              </w:rPr>
            </w:pPr>
          </w:p>
        </w:tc>
        <w:tc>
          <w:tcPr>
            <w:tcW w:w="1872" w:type="dxa"/>
            <w:hideMark/>
          </w:tcPr>
          <w:p w:rsidR="007C6CE0" w:rsidRDefault="007C6CE0">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rsidR="007C6CE0" w:rsidRDefault="007C6CE0">
            <w:pPr>
              <w:jc w:val="right"/>
              <w:rPr>
                <w:rFonts w:ascii="Verdana" w:hAnsi="Verdana" w:cs="Arial"/>
                <w:sz w:val="21"/>
                <w:szCs w:val="21"/>
                <w:u w:val="single"/>
              </w:rPr>
            </w:pPr>
            <w:r>
              <w:rPr>
                <w:rFonts w:ascii="Verdana" w:hAnsi="Verdana" w:cs="Arial"/>
                <w:sz w:val="21"/>
                <w:szCs w:val="21"/>
                <w:u w:val="single"/>
              </w:rPr>
              <w:t>2020</w:t>
            </w:r>
          </w:p>
        </w:tc>
      </w:tr>
      <w:tr w:rsidR="007C6CE0" w:rsidTr="00424808">
        <w:tc>
          <w:tcPr>
            <w:tcW w:w="4786" w:type="dxa"/>
          </w:tcPr>
          <w:p w:rsidR="007C6CE0" w:rsidRDefault="007C6CE0">
            <w:pPr>
              <w:rPr>
                <w:rFonts w:ascii="Verdana" w:hAnsi="Verdana" w:cs="Arial"/>
                <w:sz w:val="21"/>
                <w:szCs w:val="21"/>
              </w:rPr>
            </w:pPr>
          </w:p>
        </w:tc>
        <w:tc>
          <w:tcPr>
            <w:tcW w:w="1872" w:type="dxa"/>
          </w:tcPr>
          <w:p w:rsidR="007C6CE0" w:rsidRDefault="007C6CE0">
            <w:pPr>
              <w:jc w:val="right"/>
              <w:rPr>
                <w:rFonts w:ascii="Verdana" w:hAnsi="Verdana" w:cs="Arial"/>
                <w:sz w:val="21"/>
                <w:szCs w:val="21"/>
              </w:rPr>
            </w:pPr>
          </w:p>
        </w:tc>
        <w:tc>
          <w:tcPr>
            <w:tcW w:w="1836" w:type="dxa"/>
          </w:tcPr>
          <w:p w:rsidR="007C6CE0" w:rsidRDefault="007C6CE0">
            <w:pPr>
              <w:jc w:val="right"/>
              <w:rPr>
                <w:rFonts w:ascii="Verdana" w:hAnsi="Verdana" w:cs="Arial"/>
                <w:sz w:val="21"/>
                <w:szCs w:val="21"/>
              </w:rPr>
            </w:pPr>
          </w:p>
        </w:tc>
      </w:tr>
      <w:tr w:rsidR="007C6CE0" w:rsidTr="00424808">
        <w:tc>
          <w:tcPr>
            <w:tcW w:w="4786" w:type="dxa"/>
            <w:hideMark/>
          </w:tcPr>
          <w:p w:rsidR="007C6CE0" w:rsidRPr="007C6CE0" w:rsidRDefault="00662332">
            <w:pPr>
              <w:rPr>
                <w:rFonts w:ascii="Verdana" w:hAnsi="Verdana" w:cs="Arial"/>
                <w:sz w:val="21"/>
                <w:szCs w:val="21"/>
                <w:u w:val="single"/>
              </w:rPr>
            </w:pPr>
            <w:r>
              <w:rPr>
                <w:rFonts w:ascii="Verdana" w:hAnsi="Verdana" w:cs="Arial"/>
                <w:sz w:val="21"/>
                <w:szCs w:val="21"/>
                <w:u w:val="single"/>
              </w:rPr>
              <w:t>Transacciones</w:t>
            </w:r>
            <w:r w:rsidR="007C6CE0">
              <w:rPr>
                <w:rFonts w:ascii="Verdana" w:hAnsi="Verdana" w:cs="Arial"/>
                <w:sz w:val="21"/>
                <w:szCs w:val="21"/>
                <w:u w:val="single"/>
              </w:rPr>
              <w:t xml:space="preserve"> con efecto en gastos operaci</w:t>
            </w:r>
            <w:r>
              <w:rPr>
                <w:rFonts w:ascii="Verdana" w:hAnsi="Verdana" w:cs="Arial"/>
                <w:sz w:val="21"/>
                <w:szCs w:val="21"/>
                <w:u w:val="single"/>
              </w:rPr>
              <w:t>onales:</w:t>
            </w:r>
          </w:p>
        </w:tc>
        <w:tc>
          <w:tcPr>
            <w:tcW w:w="1872" w:type="dxa"/>
          </w:tcPr>
          <w:p w:rsidR="007C6CE0" w:rsidRDefault="007C6CE0">
            <w:pPr>
              <w:jc w:val="right"/>
              <w:rPr>
                <w:rFonts w:ascii="Verdana" w:hAnsi="Verdana" w:cs="Arial"/>
                <w:sz w:val="21"/>
                <w:szCs w:val="21"/>
              </w:rPr>
            </w:pPr>
          </w:p>
        </w:tc>
        <w:tc>
          <w:tcPr>
            <w:tcW w:w="1836" w:type="dxa"/>
            <w:hideMark/>
          </w:tcPr>
          <w:p w:rsidR="007C6CE0" w:rsidRDefault="007C6CE0">
            <w:pPr>
              <w:jc w:val="right"/>
              <w:rPr>
                <w:rFonts w:ascii="Verdana" w:hAnsi="Verdana" w:cs="Arial"/>
                <w:sz w:val="21"/>
                <w:szCs w:val="21"/>
              </w:rPr>
            </w:pPr>
          </w:p>
        </w:tc>
      </w:tr>
      <w:tr w:rsidR="007C6CE0" w:rsidTr="00424808">
        <w:tc>
          <w:tcPr>
            <w:tcW w:w="4786" w:type="dxa"/>
            <w:hideMark/>
          </w:tcPr>
          <w:p w:rsidR="007C6CE0" w:rsidRDefault="00662332">
            <w:pPr>
              <w:rPr>
                <w:rFonts w:ascii="Verdana" w:hAnsi="Verdana" w:cs="Arial"/>
                <w:sz w:val="21"/>
                <w:szCs w:val="21"/>
              </w:rPr>
            </w:pPr>
            <w:r>
              <w:rPr>
                <w:rFonts w:ascii="Verdana" w:hAnsi="Verdana" w:cs="Arial"/>
                <w:sz w:val="21"/>
                <w:szCs w:val="21"/>
              </w:rPr>
              <w:t>Honorarios por asesorías en marketing</w:t>
            </w:r>
          </w:p>
        </w:tc>
        <w:tc>
          <w:tcPr>
            <w:tcW w:w="1872" w:type="dxa"/>
          </w:tcPr>
          <w:p w:rsidR="007C6CE0" w:rsidRDefault="007C6CE0">
            <w:pPr>
              <w:jc w:val="right"/>
              <w:rPr>
                <w:rFonts w:ascii="Verdana" w:hAnsi="Verdana" w:cs="Arial"/>
                <w:sz w:val="21"/>
                <w:szCs w:val="21"/>
              </w:rPr>
            </w:pPr>
          </w:p>
        </w:tc>
        <w:tc>
          <w:tcPr>
            <w:tcW w:w="1836" w:type="dxa"/>
            <w:hideMark/>
          </w:tcPr>
          <w:p w:rsidR="007C6CE0" w:rsidRDefault="00424808">
            <w:pPr>
              <w:jc w:val="right"/>
              <w:rPr>
                <w:rFonts w:ascii="Verdana" w:hAnsi="Verdana" w:cs="Arial"/>
                <w:sz w:val="21"/>
                <w:szCs w:val="21"/>
              </w:rPr>
            </w:pPr>
            <w:r>
              <w:rPr>
                <w:rFonts w:ascii="Verdana" w:hAnsi="Verdana" w:cs="Arial"/>
                <w:sz w:val="21"/>
                <w:szCs w:val="21"/>
              </w:rPr>
              <w:t>0</w:t>
            </w:r>
          </w:p>
        </w:tc>
      </w:tr>
      <w:tr w:rsidR="007C6CE0" w:rsidTr="00424808">
        <w:tc>
          <w:tcPr>
            <w:tcW w:w="4786" w:type="dxa"/>
            <w:hideMark/>
          </w:tcPr>
          <w:p w:rsidR="007C6CE0" w:rsidRDefault="00662332">
            <w:pPr>
              <w:rPr>
                <w:rFonts w:ascii="Verdana" w:hAnsi="Verdana" w:cs="Arial"/>
                <w:sz w:val="21"/>
                <w:szCs w:val="21"/>
              </w:rPr>
            </w:pPr>
            <w:r>
              <w:rPr>
                <w:rFonts w:ascii="Verdana" w:hAnsi="Verdana" w:cs="Arial"/>
                <w:sz w:val="21"/>
                <w:szCs w:val="21"/>
              </w:rPr>
              <w:t>Arriendo de bodega</w:t>
            </w:r>
          </w:p>
          <w:p w:rsidR="00662332" w:rsidRDefault="00662332">
            <w:pPr>
              <w:rPr>
                <w:rFonts w:ascii="Verdana" w:hAnsi="Verdana" w:cs="Arial"/>
                <w:sz w:val="21"/>
                <w:szCs w:val="21"/>
              </w:rPr>
            </w:pPr>
            <w:r>
              <w:rPr>
                <w:rFonts w:ascii="Verdana" w:hAnsi="Verdana" w:cs="Arial"/>
                <w:sz w:val="21"/>
                <w:szCs w:val="21"/>
              </w:rPr>
              <w:t>Ventas de servicios</w:t>
            </w:r>
          </w:p>
          <w:p w:rsidR="007C6CE0" w:rsidRDefault="007C6CE0">
            <w:pPr>
              <w:rPr>
                <w:rFonts w:ascii="Verdana" w:hAnsi="Verdana" w:cs="Arial"/>
                <w:sz w:val="21"/>
                <w:szCs w:val="21"/>
              </w:rPr>
            </w:pPr>
          </w:p>
          <w:p w:rsidR="00662332" w:rsidRDefault="00662332">
            <w:pPr>
              <w:rPr>
                <w:rFonts w:ascii="Verdana" w:hAnsi="Verdana" w:cs="Arial"/>
                <w:sz w:val="21"/>
                <w:szCs w:val="21"/>
                <w:u w:val="single"/>
              </w:rPr>
            </w:pPr>
            <w:r>
              <w:rPr>
                <w:rFonts w:ascii="Verdana" w:hAnsi="Verdana" w:cs="Arial"/>
                <w:sz w:val="21"/>
                <w:szCs w:val="21"/>
                <w:u w:val="single"/>
              </w:rPr>
              <w:t>Otras transacciones:</w:t>
            </w:r>
          </w:p>
          <w:p w:rsidR="00662332" w:rsidRDefault="00424808">
            <w:pPr>
              <w:rPr>
                <w:rFonts w:ascii="Verdana" w:hAnsi="Verdana" w:cs="Arial"/>
                <w:sz w:val="21"/>
                <w:szCs w:val="21"/>
              </w:rPr>
            </w:pPr>
            <w:r>
              <w:rPr>
                <w:rFonts w:ascii="Verdana" w:hAnsi="Verdana" w:cs="Arial"/>
                <w:sz w:val="21"/>
                <w:szCs w:val="21"/>
              </w:rPr>
              <w:t>Préstamos recibidos</w:t>
            </w:r>
          </w:p>
          <w:p w:rsidR="00424808" w:rsidRPr="00662332" w:rsidRDefault="00424808">
            <w:pPr>
              <w:rPr>
                <w:rFonts w:ascii="Verdana" w:hAnsi="Verdana" w:cs="Arial"/>
                <w:sz w:val="21"/>
                <w:szCs w:val="21"/>
              </w:rPr>
            </w:pPr>
            <w:r>
              <w:rPr>
                <w:rFonts w:ascii="Verdana" w:hAnsi="Verdana" w:cs="Arial"/>
                <w:sz w:val="21"/>
                <w:szCs w:val="21"/>
              </w:rPr>
              <w:t>Pagos de préstamos a largo plazo</w:t>
            </w:r>
          </w:p>
        </w:tc>
        <w:tc>
          <w:tcPr>
            <w:tcW w:w="1872" w:type="dxa"/>
          </w:tcPr>
          <w:p w:rsidR="007C6CE0" w:rsidRDefault="007C6CE0">
            <w:pPr>
              <w:jc w:val="right"/>
              <w:rPr>
                <w:rFonts w:ascii="Verdana" w:hAnsi="Verdana" w:cs="Arial"/>
                <w:sz w:val="21"/>
                <w:szCs w:val="21"/>
              </w:rPr>
            </w:pPr>
          </w:p>
        </w:tc>
        <w:tc>
          <w:tcPr>
            <w:tcW w:w="1836" w:type="dxa"/>
            <w:hideMark/>
          </w:tcPr>
          <w:p w:rsidR="007C6CE0" w:rsidRDefault="00424808">
            <w:pPr>
              <w:jc w:val="right"/>
              <w:rPr>
                <w:rFonts w:ascii="Verdana" w:hAnsi="Verdana" w:cs="Arial"/>
                <w:sz w:val="21"/>
                <w:szCs w:val="21"/>
              </w:rPr>
            </w:pPr>
            <w:r>
              <w:rPr>
                <w:rFonts w:ascii="Verdana" w:hAnsi="Verdana" w:cs="Arial"/>
                <w:sz w:val="21"/>
                <w:szCs w:val="21"/>
              </w:rPr>
              <w:t>12,652</w:t>
            </w:r>
          </w:p>
          <w:p w:rsidR="007C6CE0" w:rsidRDefault="00424808">
            <w:pPr>
              <w:jc w:val="right"/>
              <w:rPr>
                <w:rFonts w:ascii="Verdana" w:hAnsi="Verdana" w:cs="Arial"/>
                <w:sz w:val="21"/>
                <w:szCs w:val="21"/>
              </w:rPr>
            </w:pPr>
            <w:r w:rsidRPr="00424808">
              <w:rPr>
                <w:rFonts w:ascii="Verdana" w:hAnsi="Verdana" w:cs="Arial"/>
                <w:sz w:val="21"/>
                <w:szCs w:val="21"/>
              </w:rPr>
              <w:t>13,000</w:t>
            </w:r>
          </w:p>
          <w:p w:rsidR="00424808" w:rsidRDefault="00424808">
            <w:pPr>
              <w:jc w:val="right"/>
              <w:rPr>
                <w:rFonts w:ascii="Verdana" w:hAnsi="Verdana" w:cs="Arial"/>
                <w:sz w:val="21"/>
                <w:szCs w:val="21"/>
              </w:rPr>
            </w:pPr>
          </w:p>
          <w:p w:rsidR="00424808" w:rsidRDefault="00424808">
            <w:pPr>
              <w:jc w:val="right"/>
              <w:rPr>
                <w:rFonts w:ascii="Verdana" w:hAnsi="Verdana" w:cs="Arial"/>
                <w:sz w:val="21"/>
                <w:szCs w:val="21"/>
              </w:rPr>
            </w:pPr>
          </w:p>
          <w:p w:rsidR="00424808" w:rsidRDefault="00424808">
            <w:pPr>
              <w:jc w:val="right"/>
              <w:rPr>
                <w:rFonts w:ascii="Verdana" w:hAnsi="Verdana" w:cs="Arial"/>
                <w:sz w:val="21"/>
                <w:szCs w:val="21"/>
              </w:rPr>
            </w:pPr>
            <w:r>
              <w:rPr>
                <w:rFonts w:ascii="Verdana" w:hAnsi="Verdana" w:cs="Arial"/>
                <w:sz w:val="21"/>
                <w:szCs w:val="21"/>
              </w:rPr>
              <w:t>30,000</w:t>
            </w:r>
          </w:p>
          <w:p w:rsidR="00424808" w:rsidRPr="00424808" w:rsidRDefault="00424808">
            <w:pPr>
              <w:jc w:val="right"/>
              <w:rPr>
                <w:rFonts w:ascii="Verdana" w:hAnsi="Verdana" w:cs="Arial"/>
                <w:sz w:val="21"/>
                <w:szCs w:val="21"/>
                <w:u w:val="single"/>
              </w:rPr>
            </w:pPr>
            <w:r>
              <w:rPr>
                <w:rFonts w:ascii="Verdana" w:hAnsi="Verdana" w:cs="Arial"/>
                <w:sz w:val="21"/>
                <w:szCs w:val="21"/>
                <w:u w:val="single"/>
              </w:rPr>
              <w:t>18,000</w:t>
            </w:r>
          </w:p>
        </w:tc>
      </w:tr>
      <w:tr w:rsidR="007C6CE0" w:rsidTr="00424808">
        <w:tc>
          <w:tcPr>
            <w:tcW w:w="4786" w:type="dxa"/>
          </w:tcPr>
          <w:p w:rsidR="007C6CE0" w:rsidRDefault="007C6CE0">
            <w:pPr>
              <w:rPr>
                <w:rFonts w:ascii="Verdana" w:hAnsi="Verdana" w:cs="Arial"/>
                <w:sz w:val="21"/>
                <w:szCs w:val="21"/>
              </w:rPr>
            </w:pPr>
          </w:p>
          <w:p w:rsidR="007C6CE0" w:rsidRDefault="00424808">
            <w:pPr>
              <w:rPr>
                <w:rFonts w:ascii="Verdana" w:hAnsi="Verdana" w:cs="Arial"/>
                <w:sz w:val="21"/>
                <w:szCs w:val="21"/>
              </w:rPr>
            </w:pPr>
            <w:r>
              <w:rPr>
                <w:rFonts w:ascii="Verdana" w:hAnsi="Verdana" w:cs="Arial"/>
                <w:sz w:val="21"/>
                <w:szCs w:val="21"/>
              </w:rPr>
              <w:t>Transacciones totales</w:t>
            </w:r>
          </w:p>
        </w:tc>
        <w:tc>
          <w:tcPr>
            <w:tcW w:w="1872" w:type="dxa"/>
          </w:tcPr>
          <w:p w:rsidR="007C6CE0" w:rsidRDefault="007C6CE0">
            <w:pPr>
              <w:jc w:val="right"/>
              <w:rPr>
                <w:rFonts w:ascii="Verdana" w:hAnsi="Verdana" w:cs="Arial"/>
                <w:sz w:val="21"/>
                <w:szCs w:val="21"/>
              </w:rPr>
            </w:pPr>
          </w:p>
          <w:p w:rsidR="007C6CE0" w:rsidRDefault="007C6CE0">
            <w:pPr>
              <w:jc w:val="right"/>
              <w:rPr>
                <w:rFonts w:ascii="Verdana" w:hAnsi="Verdana" w:cs="Arial"/>
                <w:sz w:val="21"/>
                <w:szCs w:val="21"/>
                <w:u w:val="single"/>
              </w:rPr>
            </w:pPr>
          </w:p>
        </w:tc>
        <w:tc>
          <w:tcPr>
            <w:tcW w:w="1836" w:type="dxa"/>
          </w:tcPr>
          <w:p w:rsidR="007C6CE0" w:rsidRDefault="007C6CE0">
            <w:pPr>
              <w:jc w:val="right"/>
              <w:rPr>
                <w:rFonts w:ascii="Verdana" w:hAnsi="Verdana" w:cs="Arial"/>
                <w:sz w:val="21"/>
                <w:szCs w:val="21"/>
              </w:rPr>
            </w:pPr>
          </w:p>
          <w:p w:rsidR="007C6CE0" w:rsidRDefault="00424808">
            <w:pPr>
              <w:jc w:val="right"/>
              <w:rPr>
                <w:rFonts w:ascii="Verdana" w:hAnsi="Verdana" w:cs="Arial"/>
                <w:sz w:val="21"/>
                <w:szCs w:val="21"/>
                <w:u w:val="double"/>
              </w:rPr>
            </w:pPr>
            <w:r>
              <w:rPr>
                <w:rFonts w:ascii="Verdana" w:hAnsi="Verdana" w:cs="Arial"/>
                <w:sz w:val="21"/>
                <w:szCs w:val="21"/>
                <w:u w:val="double"/>
              </w:rPr>
              <w:t>50,652</w:t>
            </w:r>
          </w:p>
        </w:tc>
      </w:tr>
    </w:tbl>
    <w:p w:rsidR="00424808" w:rsidRDefault="00424808" w:rsidP="007C6CE0">
      <w:pPr>
        <w:rPr>
          <w:rFonts w:ascii="Verdana" w:hAnsi="Verdana" w:cs="Arial"/>
          <w:sz w:val="18"/>
          <w:szCs w:val="18"/>
          <w:lang w:val="es-ES_tradnl"/>
        </w:rPr>
      </w:pPr>
    </w:p>
    <w:p w:rsidR="00424808" w:rsidRDefault="00424808" w:rsidP="00424808">
      <w:pPr>
        <w:rPr>
          <w:rFonts w:ascii="Verdana" w:hAnsi="Verdana" w:cs="Arial"/>
          <w:sz w:val="18"/>
          <w:szCs w:val="18"/>
          <w:lang w:val="es-ES_tradnl"/>
        </w:rPr>
      </w:pPr>
    </w:p>
    <w:p w:rsidR="00424808" w:rsidRDefault="00424808" w:rsidP="00424808">
      <w:pPr>
        <w:overflowPunct w:val="0"/>
        <w:autoSpaceDE w:val="0"/>
        <w:autoSpaceDN w:val="0"/>
        <w:adjustRightInd w:val="0"/>
        <w:jc w:val="both"/>
        <w:textAlignment w:val="baseline"/>
        <w:rPr>
          <w:rFonts w:ascii="Verdana" w:hAnsi="Verdana" w:cs="Arial"/>
          <w:sz w:val="21"/>
          <w:szCs w:val="21"/>
          <w:lang w:val="es-EC"/>
        </w:rPr>
      </w:pPr>
      <w:r>
        <w:rPr>
          <w:rFonts w:ascii="Verdana" w:hAnsi="Verdana" w:cs="Arial"/>
          <w:b/>
          <w:color w:val="000000"/>
          <w:sz w:val="21"/>
          <w:szCs w:val="21"/>
        </w:rPr>
        <w:t xml:space="preserve">21. </w:t>
      </w:r>
      <w:r>
        <w:rPr>
          <w:rFonts w:ascii="Verdana" w:hAnsi="Verdana" w:cs="Arial"/>
          <w:b/>
          <w:color w:val="000000"/>
          <w:sz w:val="21"/>
          <w:szCs w:val="21"/>
        </w:rPr>
        <w:tab/>
      </w:r>
      <w:r>
        <w:rPr>
          <w:rFonts w:ascii="Verdana" w:hAnsi="Verdana"/>
          <w:b/>
          <w:color w:val="000000"/>
          <w:sz w:val="21"/>
          <w:szCs w:val="21"/>
        </w:rPr>
        <w:t>COMPROMISOS Y CONTRATOS</w:t>
      </w:r>
    </w:p>
    <w:p w:rsidR="00424808" w:rsidRDefault="00424808" w:rsidP="00424808">
      <w:pPr>
        <w:tabs>
          <w:tab w:val="num" w:pos="567"/>
        </w:tabs>
        <w:ind w:left="567" w:hanging="567"/>
        <w:jc w:val="both"/>
        <w:rPr>
          <w:rFonts w:ascii="Verdana" w:hAnsi="Verdana"/>
          <w:b/>
          <w:color w:val="000000"/>
          <w:sz w:val="21"/>
          <w:szCs w:val="21"/>
        </w:rPr>
      </w:pP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21.1.</w:t>
      </w:r>
      <w:r>
        <w:rPr>
          <w:rFonts w:ascii="Verdana" w:hAnsi="Verdana" w:cs="Arial"/>
          <w:b/>
          <w:bCs/>
          <w:i/>
          <w:iCs/>
          <w:color w:val="000000"/>
          <w:sz w:val="21"/>
          <w:szCs w:val="21"/>
          <w:lang w:val="es-ES"/>
        </w:rPr>
        <w:tab/>
      </w:r>
      <w:r>
        <w:rPr>
          <w:rFonts w:ascii="Verdana" w:hAnsi="Verdana" w:cs="Arial"/>
          <w:b/>
          <w:bCs/>
          <w:i/>
          <w:iCs/>
          <w:color w:val="000000"/>
          <w:sz w:val="21"/>
          <w:szCs w:val="21"/>
          <w:lang w:val="es-ES"/>
        </w:rPr>
        <w:tab/>
        <w:t>Compromisos con Clientes</w:t>
      </w:r>
      <w:r>
        <w:rPr>
          <w:rFonts w:ascii="Verdana" w:hAnsi="Verdana" w:cs="Arial"/>
          <w:color w:val="000000"/>
          <w:sz w:val="21"/>
          <w:szCs w:val="21"/>
          <w:lang w:val="es-ES"/>
        </w:rPr>
        <w:t xml:space="preserve"> - Durante los años 2021 y 2020, y al 31 de diciembre de dichos años, estuvieron vigentes los siguientes compromisos y contratos principales con clientes:</w:t>
      </w: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 xml:space="preserve">Contrato firmado el 1º de junio del 2020 con Unilever Andina Ecuador S.A. por un monto estimado de US$110 mil, para la prestación de servicios de activación y promoción de marcas, organización, montaje y desarrollo de eventos especiales e implementación de estrategias de mercadeo para la categoría de “ice </w:t>
      </w:r>
      <w:proofErr w:type="spellStart"/>
      <w:r>
        <w:rPr>
          <w:rFonts w:ascii="Verdana" w:hAnsi="Verdana" w:cs="Arial"/>
          <w:color w:val="000000"/>
          <w:sz w:val="21"/>
          <w:szCs w:val="21"/>
          <w:lang w:val="es-ES"/>
        </w:rPr>
        <w:t>cream</w:t>
      </w:r>
      <w:proofErr w:type="spellEnd"/>
      <w:r>
        <w:rPr>
          <w:rFonts w:ascii="Verdana" w:hAnsi="Verdana" w:cs="Arial"/>
          <w:color w:val="000000"/>
          <w:sz w:val="21"/>
          <w:szCs w:val="21"/>
          <w:lang w:val="es-ES"/>
        </w:rPr>
        <w:t xml:space="preserve">”, de acuerdo con el </w:t>
      </w:r>
      <w:proofErr w:type="spellStart"/>
      <w:r>
        <w:rPr>
          <w:rFonts w:ascii="Verdana" w:hAnsi="Verdana" w:cs="Arial"/>
          <w:color w:val="000000"/>
          <w:sz w:val="21"/>
          <w:szCs w:val="21"/>
          <w:lang w:val="es-ES"/>
        </w:rPr>
        <w:t>brief</w:t>
      </w:r>
      <w:proofErr w:type="spellEnd"/>
      <w:r>
        <w:rPr>
          <w:rFonts w:ascii="Verdana" w:hAnsi="Verdana" w:cs="Arial"/>
          <w:color w:val="000000"/>
          <w:sz w:val="21"/>
          <w:szCs w:val="21"/>
          <w:lang w:val="es-ES"/>
        </w:rPr>
        <w:t xml:space="preserve"> y plan de trabajo para cada proyecto y condiciones de las órdenes de compra, así como los precios establecidos en tarifario anexo al contrato. Contrato vigente por un año prorrogable automáticamente salvo decisión de las partes.</w:t>
      </w: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con Banco Guayaquil firmado el 23 de octubre del 2020 por un monto de US$167 mil, para prestación de servicios de BTL, iluminación y pintado para implementación de publicidad y otros trabajos de conformidad con la propuesta incorporada como anexo 1, con un plazo de seis semanas a partir de su suscripción.</w:t>
      </w: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 xml:space="preserve">Contrato de servicios de publicidad con “Productos </w:t>
      </w:r>
      <w:proofErr w:type="spellStart"/>
      <w:r>
        <w:rPr>
          <w:rFonts w:ascii="Verdana" w:hAnsi="Verdana" w:cs="Arial"/>
          <w:color w:val="000000"/>
          <w:sz w:val="21"/>
          <w:szCs w:val="21"/>
          <w:lang w:val="es-ES"/>
        </w:rPr>
        <w:t>Tissue</w:t>
      </w:r>
      <w:proofErr w:type="spellEnd"/>
      <w:r>
        <w:rPr>
          <w:rFonts w:ascii="Verdana" w:hAnsi="Verdana" w:cs="Arial"/>
          <w:color w:val="000000"/>
          <w:sz w:val="21"/>
          <w:szCs w:val="21"/>
          <w:lang w:val="es-ES"/>
        </w:rPr>
        <w:t xml:space="preserve"> del Ecuador S.A.” con el objetivo de promocionar los productos de esta última en varios mercados específicos, al precio y forma de pago establecidos en el anexo al mismo. Este contrato venció el 1º de junio del 2020 por un año adicional y no fue renovado.</w:t>
      </w: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 xml:space="preserve">21.2. </w:t>
      </w:r>
      <w:r>
        <w:rPr>
          <w:rFonts w:ascii="Verdana" w:hAnsi="Verdana" w:cs="Arial"/>
          <w:b/>
          <w:bCs/>
          <w:i/>
          <w:iCs/>
          <w:color w:val="000000"/>
          <w:sz w:val="21"/>
          <w:szCs w:val="21"/>
          <w:lang w:val="es-ES"/>
        </w:rPr>
        <w:t>Compromisos por Arrendamientos Operativos</w:t>
      </w:r>
      <w:r>
        <w:rPr>
          <w:rFonts w:ascii="Verdana" w:hAnsi="Verdana" w:cs="Arial"/>
          <w:color w:val="000000"/>
          <w:sz w:val="21"/>
          <w:szCs w:val="21"/>
          <w:lang w:val="es-ES"/>
        </w:rPr>
        <w:t xml:space="preserve"> – La Compañía alquila un inmueble donde funciona su establecimiento permanente, y otro inmueble que es utilizado como bodega; estos contratos son por períodos de dos y tres años respectivamente, con cuotas fijas a lo largo de dichos períodos y pueden ser renovados por igual plazo con un incremento de hasta el 10% y 5%, en cada caso.</w:t>
      </w:r>
    </w:p>
    <w:p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Los contratos mencionados pueden darse por terminado mediante comunicación por escrito con 30 días de anticipación a la desocupación efectiva del inmueble, debiendo cancelarse una indemnización efectiva equivalente a un mes de arriendo.</w:t>
      </w:r>
    </w:p>
    <w:p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rPr>
          <w:rFonts w:ascii="Verdana" w:hAnsi="Verdana" w:cs="Arial"/>
          <w:color w:val="000000"/>
          <w:sz w:val="18"/>
          <w:szCs w:val="18"/>
          <w:lang w:val="es-ES"/>
        </w:rPr>
      </w:pPr>
    </w:p>
    <w:p w:rsidR="00424808" w:rsidRDefault="00424808" w:rsidP="00424808">
      <w:pPr>
        <w:tabs>
          <w:tab w:val="left" w:pos="567"/>
          <w:tab w:val="left" w:pos="7655"/>
        </w:tabs>
        <w:ind w:left="567" w:hanging="567"/>
        <w:jc w:val="both"/>
        <w:rPr>
          <w:rFonts w:ascii="Verdana" w:hAnsi="Verdana" w:cs="Arial"/>
          <w:color w:val="000000"/>
          <w:sz w:val="21"/>
          <w:szCs w:val="21"/>
        </w:rPr>
      </w:pPr>
      <w:r>
        <w:rPr>
          <w:rFonts w:ascii="Verdana" w:hAnsi="Verdana" w:cs="Arial"/>
          <w:b/>
          <w:color w:val="000000"/>
          <w:sz w:val="21"/>
          <w:szCs w:val="21"/>
        </w:rPr>
        <w:t>22.</w:t>
      </w:r>
      <w:r>
        <w:rPr>
          <w:rFonts w:ascii="Verdana" w:hAnsi="Verdana" w:cs="Arial"/>
          <w:b/>
          <w:color w:val="000000"/>
          <w:sz w:val="21"/>
          <w:szCs w:val="21"/>
        </w:rPr>
        <w:tab/>
        <w:t>REFORMAS TRIBUTARIAS</w:t>
      </w:r>
    </w:p>
    <w:p w:rsidR="00424808" w:rsidRDefault="00424808" w:rsidP="00424808">
      <w:pPr>
        <w:ind w:left="567"/>
        <w:jc w:val="both"/>
        <w:rPr>
          <w:rFonts w:ascii="Verdana" w:hAnsi="Verdana"/>
          <w:color w:val="000000"/>
          <w:sz w:val="21"/>
          <w:szCs w:val="21"/>
          <w:lang w:eastAsia="es-EC"/>
        </w:rPr>
      </w:pPr>
    </w:p>
    <w:p w:rsidR="00424808" w:rsidRDefault="00424808" w:rsidP="00424808">
      <w:pPr>
        <w:ind w:left="567"/>
        <w:jc w:val="both"/>
        <w:rPr>
          <w:rFonts w:ascii="Verdana" w:hAnsi="Verdana"/>
          <w:color w:val="000000"/>
          <w:sz w:val="21"/>
          <w:szCs w:val="21"/>
          <w:lang w:eastAsia="es-EC"/>
        </w:rPr>
      </w:pPr>
      <w:r>
        <w:rPr>
          <w:rFonts w:ascii="Verdana" w:hAnsi="Verdana"/>
          <w:color w:val="000000"/>
          <w:sz w:val="21"/>
          <w:szCs w:val="21"/>
          <w:lang w:eastAsia="es-EC"/>
        </w:rPr>
        <w:t>Co</w:t>
      </w:r>
      <w:r w:rsidR="00BB515B">
        <w:rPr>
          <w:rFonts w:ascii="Verdana" w:hAnsi="Verdana"/>
          <w:color w:val="000000"/>
          <w:sz w:val="21"/>
          <w:szCs w:val="21"/>
          <w:lang w:eastAsia="es-EC"/>
        </w:rPr>
        <w:t>n fecha 31 de diciembre del 2019</w:t>
      </w:r>
      <w:r>
        <w:rPr>
          <w:rFonts w:ascii="Verdana" w:hAnsi="Verdana"/>
          <w:color w:val="000000"/>
          <w:sz w:val="21"/>
          <w:szCs w:val="21"/>
          <w:lang w:eastAsia="es-EC"/>
        </w:rPr>
        <w:t xml:space="preserve"> se publicó en el Registro Oficial la Ley de Simplicidad y Progresividad Tributaria, cuyos principales aspectos son:</w:t>
      </w:r>
    </w:p>
    <w:p w:rsidR="00424808" w:rsidRDefault="00424808" w:rsidP="00424808">
      <w:pPr>
        <w:ind w:left="567"/>
        <w:jc w:val="both"/>
        <w:rPr>
          <w:rFonts w:ascii="Verdana" w:hAnsi="Verdana"/>
          <w:color w:val="000000"/>
          <w:sz w:val="21"/>
          <w:szCs w:val="21"/>
          <w:lang w:eastAsia="es-EC"/>
        </w:rPr>
      </w:pPr>
    </w:p>
    <w:p w:rsidR="00424808" w:rsidRDefault="00424808" w:rsidP="00424808">
      <w:pPr>
        <w:numPr>
          <w:ilvl w:val="0"/>
          <w:numId w:val="8"/>
        </w:numPr>
        <w:jc w:val="both"/>
        <w:rPr>
          <w:rFonts w:ascii="Verdana" w:hAnsi="Verdana"/>
          <w:color w:val="000000"/>
          <w:sz w:val="21"/>
          <w:szCs w:val="21"/>
          <w:lang w:eastAsia="es-EC"/>
        </w:rPr>
      </w:pPr>
      <w:r>
        <w:rPr>
          <w:rFonts w:ascii="Verdana" w:hAnsi="Verdana"/>
          <w:color w:val="000000"/>
          <w:sz w:val="21"/>
          <w:szCs w:val="21"/>
          <w:lang w:eastAsia="es-EC"/>
        </w:rPr>
        <w:t>Establece una contribución única y temporal, durante tres años, equivalente al 0.10% hasta el 0.20% sobre los ingresos iguales o superiores a US$1 millón, según su declaración de impuesto a la renta del año 2018, de todas las entidades económicas del sector privado. Esta contribución se pagará en marzo de cada año.</w:t>
      </w:r>
    </w:p>
    <w:p w:rsidR="00424808" w:rsidRDefault="00424808" w:rsidP="00424808">
      <w:pPr>
        <w:pStyle w:val="Prrafodelista"/>
        <w:rPr>
          <w:rFonts w:ascii="Verdana" w:hAnsi="Verdana"/>
          <w:color w:val="000000"/>
          <w:sz w:val="21"/>
          <w:szCs w:val="21"/>
          <w:lang w:eastAsia="es-EC"/>
        </w:rPr>
      </w:pPr>
    </w:p>
    <w:p w:rsidR="00424808" w:rsidRDefault="00424808" w:rsidP="00424808">
      <w:pPr>
        <w:numPr>
          <w:ilvl w:val="0"/>
          <w:numId w:val="8"/>
        </w:numPr>
        <w:jc w:val="both"/>
        <w:rPr>
          <w:rFonts w:ascii="Verdana" w:hAnsi="Verdana"/>
          <w:color w:val="000000"/>
          <w:sz w:val="21"/>
          <w:szCs w:val="21"/>
          <w:lang w:eastAsia="es-EC"/>
        </w:rPr>
      </w:pPr>
      <w:r>
        <w:rPr>
          <w:rFonts w:ascii="Verdana" w:hAnsi="Verdana"/>
          <w:color w:val="000000"/>
          <w:sz w:val="21"/>
          <w:szCs w:val="21"/>
          <w:lang w:eastAsia="es-EC"/>
        </w:rPr>
        <w:t xml:space="preserve">Se grava con IVA, a partir del segundo semestre del 2020, los servicios digitales locales e importados. También se grava con 10% de Impuesto a los Consumos Especiales los servicios </w:t>
      </w:r>
      <w:proofErr w:type="spellStart"/>
      <w:r>
        <w:rPr>
          <w:rFonts w:ascii="Verdana" w:hAnsi="Verdana"/>
          <w:color w:val="000000"/>
          <w:sz w:val="21"/>
          <w:szCs w:val="21"/>
          <w:lang w:eastAsia="es-EC"/>
        </w:rPr>
        <w:t>pospago</w:t>
      </w:r>
      <w:proofErr w:type="spellEnd"/>
      <w:r>
        <w:rPr>
          <w:rFonts w:ascii="Verdana" w:hAnsi="Verdana"/>
          <w:color w:val="000000"/>
          <w:sz w:val="21"/>
          <w:szCs w:val="21"/>
          <w:lang w:eastAsia="es-EC"/>
        </w:rPr>
        <w:t xml:space="preserve"> de telefonía celular para personas naturales.</w:t>
      </w:r>
    </w:p>
    <w:p w:rsidR="00424808" w:rsidRDefault="00424808" w:rsidP="00424808">
      <w:pPr>
        <w:pStyle w:val="Prrafodelista"/>
        <w:rPr>
          <w:rFonts w:ascii="Verdana" w:hAnsi="Verdana"/>
          <w:color w:val="000000"/>
          <w:sz w:val="21"/>
          <w:szCs w:val="21"/>
          <w:lang w:eastAsia="es-EC"/>
        </w:rPr>
      </w:pPr>
    </w:p>
    <w:p w:rsidR="00424808" w:rsidRDefault="00424808" w:rsidP="00424808">
      <w:pPr>
        <w:numPr>
          <w:ilvl w:val="0"/>
          <w:numId w:val="8"/>
        </w:numPr>
        <w:jc w:val="both"/>
        <w:rPr>
          <w:rFonts w:ascii="Verdana" w:hAnsi="Verdana"/>
          <w:color w:val="000000"/>
          <w:sz w:val="21"/>
          <w:szCs w:val="21"/>
          <w:lang w:eastAsia="es-EC"/>
        </w:rPr>
      </w:pPr>
      <w:r>
        <w:rPr>
          <w:rFonts w:ascii="Verdana" w:hAnsi="Verdana"/>
          <w:color w:val="000000"/>
          <w:sz w:val="21"/>
          <w:szCs w:val="21"/>
          <w:lang w:eastAsia="es-EC"/>
        </w:rPr>
        <w:t>Elimina la obligatoriedad de pagar anticipos del impuesto a la renta corporativo.</w:t>
      </w:r>
    </w:p>
    <w:p w:rsidR="00424808" w:rsidRPr="00BB515B" w:rsidRDefault="00424808" w:rsidP="00BB515B">
      <w:pPr>
        <w:rPr>
          <w:rFonts w:ascii="Verdana" w:hAnsi="Verdana"/>
          <w:color w:val="000000"/>
          <w:sz w:val="21"/>
          <w:szCs w:val="21"/>
          <w:lang w:eastAsia="es-EC"/>
        </w:rPr>
      </w:pPr>
    </w:p>
    <w:p w:rsidR="00424808" w:rsidRDefault="00424808" w:rsidP="00424808">
      <w:pPr>
        <w:numPr>
          <w:ilvl w:val="0"/>
          <w:numId w:val="8"/>
        </w:numPr>
        <w:jc w:val="both"/>
        <w:rPr>
          <w:rFonts w:ascii="Verdana" w:hAnsi="Verdana"/>
          <w:color w:val="000000"/>
          <w:sz w:val="21"/>
          <w:szCs w:val="21"/>
          <w:lang w:eastAsia="es-EC"/>
        </w:rPr>
      </w:pPr>
      <w:r>
        <w:rPr>
          <w:rFonts w:ascii="Verdana" w:hAnsi="Verdana"/>
          <w:color w:val="000000"/>
          <w:sz w:val="21"/>
          <w:szCs w:val="21"/>
          <w:lang w:eastAsia="es-EC"/>
        </w:rPr>
        <w:t>A partir del ejercicio fiscal 2021 permite la deducción de provisiones por jubilación patronal y desahucio únicamente para trabajadores con al menos diez años de antigüedad, siempre que se aporten en efectivo a Administradoras de Fondos autorizadas en el Mercado de Valores.</w:t>
      </w:r>
    </w:p>
    <w:p w:rsidR="00424808" w:rsidRDefault="00424808" w:rsidP="00424808">
      <w:pPr>
        <w:pStyle w:val="Prrafodelista"/>
        <w:rPr>
          <w:rFonts w:ascii="Verdana" w:hAnsi="Verdana"/>
          <w:color w:val="000000"/>
          <w:sz w:val="21"/>
          <w:szCs w:val="21"/>
          <w:lang w:eastAsia="es-EC"/>
        </w:rPr>
      </w:pPr>
    </w:p>
    <w:p w:rsidR="00424808" w:rsidRDefault="00424808" w:rsidP="00424808">
      <w:pPr>
        <w:numPr>
          <w:ilvl w:val="0"/>
          <w:numId w:val="8"/>
        </w:numPr>
        <w:jc w:val="both"/>
        <w:rPr>
          <w:rFonts w:ascii="Verdana" w:hAnsi="Verdana"/>
          <w:color w:val="000000"/>
          <w:sz w:val="21"/>
          <w:szCs w:val="21"/>
          <w:lang w:eastAsia="es-EC"/>
        </w:rPr>
      </w:pPr>
      <w:r>
        <w:rPr>
          <w:rFonts w:ascii="Verdana" w:hAnsi="Verdana"/>
          <w:color w:val="000000"/>
          <w:sz w:val="21"/>
          <w:szCs w:val="21"/>
          <w:lang w:eastAsia="es-EC"/>
        </w:rPr>
        <w:t>Establece una retención de impuesto a la renta del 35% sobre los dividendos que se paguen, cuando no se cumpla la obligación de reportar la composición accionaria de las Sociedades.</w:t>
      </w:r>
    </w:p>
    <w:p w:rsidR="00424808" w:rsidRDefault="00424808" w:rsidP="00424808">
      <w:pPr>
        <w:jc w:val="both"/>
        <w:rPr>
          <w:rFonts w:ascii="Verdana" w:hAnsi="Verdana"/>
          <w:color w:val="000000"/>
          <w:sz w:val="21"/>
          <w:szCs w:val="21"/>
          <w:lang w:eastAsia="es-EC"/>
        </w:rPr>
      </w:pPr>
    </w:p>
    <w:p w:rsidR="00424808" w:rsidRDefault="00424808" w:rsidP="00424808">
      <w:pPr>
        <w:numPr>
          <w:ilvl w:val="0"/>
          <w:numId w:val="8"/>
        </w:numPr>
        <w:jc w:val="both"/>
        <w:rPr>
          <w:rFonts w:ascii="Verdana" w:hAnsi="Verdana"/>
          <w:color w:val="000000"/>
          <w:sz w:val="21"/>
          <w:szCs w:val="21"/>
          <w:lang w:eastAsia="es-EC"/>
        </w:rPr>
      </w:pPr>
      <w:r>
        <w:rPr>
          <w:rFonts w:ascii="Verdana" w:hAnsi="Verdana"/>
          <w:color w:val="000000"/>
          <w:sz w:val="21"/>
          <w:szCs w:val="21"/>
          <w:lang w:eastAsia="es-EC"/>
        </w:rPr>
        <w:t>Establece la figura de determinación presuntiva del impuesto a la renta, por parte del SRI, en base de catastros tributarios o registros que posea la Administración Tributaria.</w:t>
      </w:r>
    </w:p>
    <w:p w:rsidR="00424808" w:rsidRDefault="00424808" w:rsidP="00424808">
      <w:pPr>
        <w:pStyle w:val="BodyText22"/>
        <w:widowControl/>
        <w:tabs>
          <w:tab w:val="clear" w:pos="7655"/>
          <w:tab w:val="left" w:pos="6305"/>
          <w:tab w:val="right" w:pos="7513"/>
          <w:tab w:val="right" w:pos="7560"/>
          <w:tab w:val="left" w:pos="7740"/>
          <w:tab w:val="right" w:pos="8930"/>
          <w:tab w:val="right" w:pos="8987"/>
        </w:tabs>
        <w:ind w:left="0"/>
        <w:rPr>
          <w:rFonts w:ascii="Verdana" w:hAnsi="Verdana" w:cs="Arial"/>
          <w:color w:val="000000"/>
          <w:sz w:val="21"/>
          <w:szCs w:val="21"/>
          <w:lang w:val="es-MX"/>
        </w:rPr>
      </w:pPr>
    </w:p>
    <w:p w:rsidR="00424808" w:rsidRDefault="00424808" w:rsidP="00424808">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23.</w:t>
      </w:r>
      <w:r>
        <w:rPr>
          <w:rFonts w:ascii="Verdana" w:hAnsi="Verdana" w:cs="Arial"/>
          <w:b/>
          <w:color w:val="000000"/>
          <w:sz w:val="21"/>
          <w:szCs w:val="21"/>
        </w:rPr>
        <w:tab/>
        <w:t>INFORMACION FINANCIERA POR SEGMENTOS DE OPERACION</w:t>
      </w:r>
    </w:p>
    <w:p w:rsidR="00424808" w:rsidRDefault="00424808" w:rsidP="00424808">
      <w:pPr>
        <w:tabs>
          <w:tab w:val="num" w:pos="567"/>
        </w:tabs>
        <w:ind w:left="567" w:hanging="567"/>
        <w:jc w:val="both"/>
        <w:rPr>
          <w:rFonts w:ascii="Verdana" w:hAnsi="Verdana" w:cs="Arial"/>
          <w:b/>
          <w:color w:val="000000"/>
          <w:sz w:val="21"/>
          <w:szCs w:val="21"/>
        </w:rPr>
      </w:pPr>
    </w:p>
    <w:p w:rsidR="00424808" w:rsidRDefault="00424808" w:rsidP="00424808">
      <w:pPr>
        <w:tabs>
          <w:tab w:val="num" w:pos="567"/>
        </w:tabs>
        <w:ind w:left="567" w:hanging="567"/>
        <w:jc w:val="both"/>
        <w:rPr>
          <w:rFonts w:ascii="Verdana" w:hAnsi="Verdana" w:cs="Arial"/>
          <w:bCs/>
          <w:color w:val="000000"/>
          <w:sz w:val="21"/>
          <w:szCs w:val="21"/>
        </w:rPr>
      </w:pPr>
      <w:r>
        <w:rPr>
          <w:rFonts w:ascii="Verdana" w:hAnsi="Verdana" w:cs="Arial"/>
          <w:b/>
          <w:color w:val="000000"/>
          <w:sz w:val="21"/>
          <w:szCs w:val="21"/>
        </w:rPr>
        <w:tab/>
      </w:r>
      <w:r w:rsidR="00BB515B">
        <w:rPr>
          <w:rFonts w:ascii="Verdana" w:hAnsi="Verdana" w:cs="Arial"/>
          <w:bCs/>
          <w:color w:val="000000"/>
          <w:sz w:val="21"/>
          <w:szCs w:val="21"/>
        </w:rPr>
        <w:t>En el año 2020</w:t>
      </w:r>
      <w:r>
        <w:rPr>
          <w:rFonts w:ascii="Verdana" w:hAnsi="Verdana" w:cs="Arial"/>
          <w:bCs/>
          <w:color w:val="000000"/>
          <w:sz w:val="21"/>
          <w:szCs w:val="21"/>
        </w:rPr>
        <w:t xml:space="preserve"> la Compañía reportó información por segmentos siguiendo los lineamientos de la NIIF 8 “Segmentos Operativos”. Un segmento operativo se define como un componente de una entidad sobre el cual se tiene información separada que es evaluada regularmente.</w:t>
      </w:r>
    </w:p>
    <w:p w:rsidR="00424808" w:rsidRDefault="00424808" w:rsidP="00424808">
      <w:pPr>
        <w:tabs>
          <w:tab w:val="num" w:pos="567"/>
        </w:tabs>
        <w:ind w:left="567" w:hanging="567"/>
        <w:jc w:val="both"/>
        <w:rPr>
          <w:rFonts w:ascii="Verdana" w:hAnsi="Verdana" w:cs="Arial"/>
          <w:bCs/>
          <w:color w:val="000000"/>
          <w:sz w:val="21"/>
          <w:szCs w:val="21"/>
        </w:rPr>
      </w:pPr>
    </w:p>
    <w:p w:rsidR="00424808" w:rsidRDefault="00424808" w:rsidP="00424808">
      <w:pPr>
        <w:tabs>
          <w:tab w:val="num" w:pos="567"/>
        </w:tabs>
        <w:ind w:left="567" w:hanging="567"/>
        <w:jc w:val="both"/>
        <w:rPr>
          <w:rFonts w:ascii="Verdana" w:hAnsi="Verdana" w:cs="Arial"/>
          <w:bCs/>
          <w:color w:val="000000"/>
          <w:sz w:val="21"/>
          <w:szCs w:val="21"/>
        </w:rPr>
      </w:pPr>
      <w:r>
        <w:rPr>
          <w:rFonts w:ascii="Verdana" w:hAnsi="Verdana" w:cs="Arial"/>
          <w:bCs/>
          <w:color w:val="000000"/>
          <w:sz w:val="21"/>
          <w:szCs w:val="21"/>
        </w:rPr>
        <w:tab/>
      </w:r>
      <w:r>
        <w:rPr>
          <w:rFonts w:ascii="Verdana" w:hAnsi="Verdana" w:cs="Arial"/>
          <w:bCs/>
          <w:i/>
          <w:iCs/>
          <w:color w:val="000000"/>
          <w:sz w:val="21"/>
          <w:szCs w:val="21"/>
          <w:u w:val="single"/>
        </w:rPr>
        <w:t>Criterios de segmentación</w:t>
      </w:r>
      <w:r>
        <w:rPr>
          <w:rFonts w:ascii="Verdana" w:hAnsi="Verdana" w:cs="Arial"/>
          <w:bCs/>
          <w:color w:val="000000"/>
          <w:sz w:val="21"/>
          <w:szCs w:val="21"/>
        </w:rPr>
        <w:t xml:space="preserve"> - Para ef</w:t>
      </w:r>
      <w:r w:rsidR="00BB515B">
        <w:rPr>
          <w:rFonts w:ascii="Verdana" w:hAnsi="Verdana" w:cs="Arial"/>
          <w:bCs/>
          <w:color w:val="000000"/>
          <w:sz w:val="21"/>
          <w:szCs w:val="21"/>
        </w:rPr>
        <w:t>ectos de gestión, en el año 2020</w:t>
      </w:r>
      <w:r>
        <w:rPr>
          <w:rFonts w:ascii="Verdana" w:hAnsi="Verdana" w:cs="Arial"/>
          <w:bCs/>
          <w:color w:val="000000"/>
          <w:sz w:val="21"/>
          <w:szCs w:val="21"/>
        </w:rPr>
        <w:t xml:space="preserve"> la Compañía se organizó en dos segmentos operativos, siendo estos: servicios BTL y eventos propios. Estos segmentos son informados de manera coherente con la presentación de informes internos que usa la Administración en el proceso de toma de decisiones y control de gestión, considerándolos desde una perspectiva asociada al tipo de negocio.</w:t>
      </w:r>
    </w:p>
    <w:p w:rsidR="00424808" w:rsidRDefault="00424808" w:rsidP="00424808">
      <w:pPr>
        <w:tabs>
          <w:tab w:val="num" w:pos="567"/>
        </w:tabs>
        <w:ind w:left="567" w:hanging="567"/>
        <w:jc w:val="both"/>
        <w:rPr>
          <w:rFonts w:ascii="Verdana" w:hAnsi="Verdana" w:cs="Arial"/>
          <w:bCs/>
          <w:color w:val="000000"/>
          <w:sz w:val="21"/>
          <w:szCs w:val="21"/>
        </w:rPr>
      </w:pPr>
    </w:p>
    <w:p w:rsidR="00BB515B" w:rsidRDefault="00424808" w:rsidP="00424808">
      <w:pPr>
        <w:tabs>
          <w:tab w:val="num" w:pos="567"/>
        </w:tabs>
        <w:ind w:left="567" w:hanging="567"/>
        <w:jc w:val="both"/>
        <w:rPr>
          <w:rFonts w:ascii="Verdana" w:hAnsi="Verdana" w:cs="Arial"/>
          <w:bCs/>
          <w:color w:val="000000"/>
          <w:sz w:val="21"/>
          <w:szCs w:val="21"/>
        </w:rPr>
      </w:pPr>
      <w:r>
        <w:rPr>
          <w:rFonts w:ascii="Verdana" w:hAnsi="Verdana" w:cs="Arial"/>
          <w:bCs/>
          <w:color w:val="000000"/>
          <w:sz w:val="21"/>
          <w:szCs w:val="21"/>
        </w:rPr>
        <w:tab/>
        <w:t>A continuación se presenta únicamente la información por segmentos de las cuentas de resultados, dado que los rubros del estado de situación financiera son administrados y controlados en forma centralizada:</w:t>
      </w:r>
    </w:p>
    <w:p w:rsidR="00BB515B" w:rsidRDefault="00BB515B">
      <w:pPr>
        <w:spacing w:after="160" w:line="259" w:lineRule="auto"/>
        <w:rPr>
          <w:rFonts w:ascii="Verdana" w:hAnsi="Verdana" w:cs="Arial"/>
          <w:bCs/>
          <w:color w:val="000000"/>
          <w:sz w:val="21"/>
          <w:szCs w:val="21"/>
        </w:rPr>
      </w:pPr>
      <w:r>
        <w:rPr>
          <w:rFonts w:ascii="Verdana" w:hAnsi="Verdana" w:cs="Arial"/>
          <w:bCs/>
          <w:color w:val="000000"/>
          <w:sz w:val="21"/>
          <w:szCs w:val="21"/>
        </w:rPr>
        <w:br w:type="page"/>
      </w:r>
    </w:p>
    <w:tbl>
      <w:tblPr>
        <w:tblW w:w="0" w:type="auto"/>
        <w:tblInd w:w="567" w:type="dxa"/>
        <w:tblLayout w:type="fixed"/>
        <w:tblLook w:val="04A0"/>
      </w:tblPr>
      <w:tblGrid>
        <w:gridCol w:w="3355"/>
        <w:gridCol w:w="1612"/>
        <w:gridCol w:w="1662"/>
        <w:gridCol w:w="1524"/>
      </w:tblGrid>
      <w:tr w:rsidR="00BB515B" w:rsidTr="00957C4E">
        <w:tc>
          <w:tcPr>
            <w:tcW w:w="3355" w:type="dxa"/>
          </w:tcPr>
          <w:p w:rsidR="00BB515B" w:rsidRDefault="00BB515B">
            <w:pPr>
              <w:tabs>
                <w:tab w:val="num" w:pos="567"/>
              </w:tabs>
              <w:jc w:val="both"/>
              <w:rPr>
                <w:rFonts w:ascii="Verdana" w:hAnsi="Verdana" w:cs="Arial"/>
                <w:bCs/>
                <w:color w:val="000000"/>
                <w:sz w:val="21"/>
                <w:szCs w:val="21"/>
              </w:rPr>
            </w:pPr>
          </w:p>
        </w:tc>
        <w:tc>
          <w:tcPr>
            <w:tcW w:w="1612" w:type="dxa"/>
          </w:tcPr>
          <w:p w:rsidR="00BB515B" w:rsidRDefault="00BB515B" w:rsidP="00957C4E">
            <w:pPr>
              <w:tabs>
                <w:tab w:val="num" w:pos="567"/>
              </w:tabs>
              <w:rPr>
                <w:rFonts w:ascii="Verdana" w:hAnsi="Verdana" w:cs="Arial"/>
                <w:bCs/>
                <w:color w:val="000000"/>
                <w:sz w:val="21"/>
                <w:szCs w:val="21"/>
                <w:u w:val="single"/>
              </w:rPr>
            </w:pPr>
            <w:r>
              <w:rPr>
                <w:rFonts w:ascii="Verdana" w:hAnsi="Verdana" w:cs="Arial"/>
                <w:bCs/>
                <w:color w:val="000000"/>
                <w:sz w:val="21"/>
                <w:szCs w:val="21"/>
                <w:u w:val="single"/>
              </w:rPr>
              <w:t>Servicios BTL</w:t>
            </w:r>
          </w:p>
        </w:tc>
        <w:tc>
          <w:tcPr>
            <w:tcW w:w="1662" w:type="dxa"/>
            <w:hideMark/>
          </w:tcPr>
          <w:p w:rsidR="00BB515B" w:rsidRDefault="00BB515B">
            <w:pPr>
              <w:tabs>
                <w:tab w:val="num" w:pos="567"/>
              </w:tabs>
              <w:jc w:val="center"/>
              <w:rPr>
                <w:rFonts w:ascii="Verdana" w:hAnsi="Verdana" w:cs="Arial"/>
                <w:bCs/>
                <w:color w:val="000000"/>
                <w:sz w:val="21"/>
                <w:szCs w:val="21"/>
              </w:rPr>
            </w:pPr>
            <w:r>
              <w:rPr>
                <w:rFonts w:ascii="Verdana" w:hAnsi="Verdana" w:cs="Arial"/>
                <w:bCs/>
                <w:color w:val="000000"/>
                <w:sz w:val="21"/>
                <w:szCs w:val="21"/>
              </w:rPr>
              <w:t xml:space="preserve">Eventos </w:t>
            </w:r>
            <w:r>
              <w:rPr>
                <w:rFonts w:ascii="Verdana" w:hAnsi="Verdana" w:cs="Arial"/>
                <w:bCs/>
                <w:color w:val="000000"/>
                <w:sz w:val="21"/>
                <w:szCs w:val="21"/>
                <w:u w:val="single"/>
              </w:rPr>
              <w:t>propios</w:t>
            </w:r>
          </w:p>
        </w:tc>
        <w:tc>
          <w:tcPr>
            <w:tcW w:w="1524" w:type="dxa"/>
          </w:tcPr>
          <w:p w:rsidR="00BB515B" w:rsidRDefault="00BB515B">
            <w:pPr>
              <w:tabs>
                <w:tab w:val="num" w:pos="567"/>
              </w:tabs>
              <w:jc w:val="center"/>
              <w:rPr>
                <w:rFonts w:ascii="Verdana" w:hAnsi="Verdana" w:cs="Arial"/>
                <w:bCs/>
                <w:color w:val="000000"/>
                <w:sz w:val="21"/>
                <w:szCs w:val="21"/>
              </w:rPr>
            </w:pPr>
          </w:p>
          <w:p w:rsidR="00BB515B" w:rsidRDefault="00BB515B">
            <w:pPr>
              <w:tabs>
                <w:tab w:val="num" w:pos="567"/>
              </w:tabs>
              <w:jc w:val="center"/>
              <w:rPr>
                <w:rFonts w:ascii="Verdana" w:hAnsi="Verdana" w:cs="Arial"/>
                <w:bCs/>
                <w:color w:val="000000"/>
                <w:sz w:val="21"/>
                <w:szCs w:val="21"/>
                <w:u w:val="single"/>
              </w:rPr>
            </w:pPr>
            <w:r>
              <w:rPr>
                <w:rFonts w:ascii="Verdana" w:hAnsi="Verdana" w:cs="Arial"/>
                <w:bCs/>
                <w:color w:val="000000"/>
                <w:sz w:val="21"/>
                <w:szCs w:val="21"/>
                <w:u w:val="single"/>
              </w:rPr>
              <w:t>Total</w:t>
            </w:r>
          </w:p>
        </w:tc>
      </w:tr>
      <w:tr w:rsidR="00BB515B" w:rsidTr="00957C4E">
        <w:tc>
          <w:tcPr>
            <w:tcW w:w="3355" w:type="dxa"/>
            <w:hideMark/>
          </w:tcPr>
          <w:p w:rsidR="00BB515B" w:rsidRDefault="00957C4E">
            <w:pPr>
              <w:tabs>
                <w:tab w:val="num" w:pos="567"/>
              </w:tabs>
              <w:jc w:val="both"/>
              <w:rPr>
                <w:rFonts w:ascii="Verdana" w:hAnsi="Verdana" w:cs="Arial"/>
                <w:bCs/>
                <w:color w:val="000000"/>
                <w:sz w:val="21"/>
                <w:szCs w:val="21"/>
              </w:rPr>
            </w:pPr>
            <w:r>
              <w:rPr>
                <w:rFonts w:ascii="Verdana" w:hAnsi="Verdana" w:cs="Arial"/>
                <w:bCs/>
                <w:color w:val="000000"/>
                <w:sz w:val="21"/>
                <w:szCs w:val="21"/>
              </w:rPr>
              <w:t>Año 2021</w:t>
            </w:r>
            <w:r w:rsidR="00BB515B">
              <w:rPr>
                <w:rFonts w:ascii="Verdana" w:hAnsi="Verdana" w:cs="Arial"/>
                <w:bCs/>
                <w:color w:val="000000"/>
                <w:sz w:val="21"/>
                <w:szCs w:val="21"/>
              </w:rPr>
              <w:t>:</w:t>
            </w:r>
          </w:p>
        </w:tc>
        <w:tc>
          <w:tcPr>
            <w:tcW w:w="1612" w:type="dxa"/>
          </w:tcPr>
          <w:p w:rsidR="00BB515B" w:rsidRDefault="00BB515B">
            <w:pPr>
              <w:tabs>
                <w:tab w:val="num" w:pos="567"/>
              </w:tabs>
              <w:jc w:val="center"/>
              <w:rPr>
                <w:rFonts w:ascii="Verdana" w:hAnsi="Verdana" w:cs="Arial"/>
                <w:bCs/>
                <w:color w:val="000000"/>
                <w:sz w:val="21"/>
                <w:szCs w:val="21"/>
                <w:u w:val="single"/>
              </w:rPr>
            </w:pPr>
          </w:p>
        </w:tc>
        <w:tc>
          <w:tcPr>
            <w:tcW w:w="1662" w:type="dxa"/>
          </w:tcPr>
          <w:p w:rsidR="00BB515B" w:rsidRDefault="00BB515B">
            <w:pPr>
              <w:tabs>
                <w:tab w:val="num" w:pos="567"/>
              </w:tabs>
              <w:jc w:val="center"/>
              <w:rPr>
                <w:rFonts w:ascii="Verdana" w:hAnsi="Verdana" w:cs="Arial"/>
                <w:bCs/>
                <w:color w:val="000000"/>
                <w:sz w:val="21"/>
                <w:szCs w:val="21"/>
              </w:rPr>
            </w:pPr>
          </w:p>
        </w:tc>
        <w:tc>
          <w:tcPr>
            <w:tcW w:w="1524" w:type="dxa"/>
          </w:tcPr>
          <w:p w:rsidR="00BB515B" w:rsidRDefault="00BB515B">
            <w:pPr>
              <w:tabs>
                <w:tab w:val="num" w:pos="567"/>
              </w:tabs>
              <w:jc w:val="center"/>
              <w:rPr>
                <w:rFonts w:ascii="Verdana" w:hAnsi="Verdana" w:cs="Arial"/>
                <w:bCs/>
                <w:color w:val="000000"/>
                <w:sz w:val="21"/>
                <w:szCs w:val="21"/>
              </w:rPr>
            </w:pPr>
          </w:p>
        </w:tc>
      </w:tr>
      <w:tr w:rsidR="00BB515B" w:rsidTr="00957C4E">
        <w:tc>
          <w:tcPr>
            <w:tcW w:w="3355" w:type="dxa"/>
          </w:tcPr>
          <w:p w:rsidR="00BB515B" w:rsidRDefault="00BB515B">
            <w:pPr>
              <w:tabs>
                <w:tab w:val="num" w:pos="567"/>
              </w:tabs>
              <w:jc w:val="both"/>
              <w:rPr>
                <w:rFonts w:ascii="Verdana" w:hAnsi="Verdana" w:cs="Arial"/>
                <w:bCs/>
                <w:color w:val="000000"/>
                <w:sz w:val="21"/>
                <w:szCs w:val="21"/>
              </w:rPr>
            </w:pPr>
          </w:p>
        </w:tc>
        <w:tc>
          <w:tcPr>
            <w:tcW w:w="1612" w:type="dxa"/>
          </w:tcPr>
          <w:p w:rsidR="00BB515B" w:rsidRDefault="00BB515B">
            <w:pPr>
              <w:tabs>
                <w:tab w:val="num" w:pos="567"/>
              </w:tabs>
              <w:jc w:val="center"/>
              <w:rPr>
                <w:rFonts w:ascii="Verdana" w:hAnsi="Verdana" w:cs="Arial"/>
                <w:bCs/>
                <w:color w:val="000000"/>
                <w:sz w:val="21"/>
                <w:szCs w:val="21"/>
                <w:u w:val="single"/>
              </w:rPr>
            </w:pPr>
          </w:p>
        </w:tc>
        <w:tc>
          <w:tcPr>
            <w:tcW w:w="1662" w:type="dxa"/>
          </w:tcPr>
          <w:p w:rsidR="00BB515B" w:rsidRDefault="00BB515B">
            <w:pPr>
              <w:tabs>
                <w:tab w:val="num" w:pos="567"/>
              </w:tabs>
              <w:jc w:val="center"/>
              <w:rPr>
                <w:rFonts w:ascii="Verdana" w:hAnsi="Verdana" w:cs="Arial"/>
                <w:bCs/>
                <w:color w:val="000000"/>
                <w:sz w:val="21"/>
                <w:szCs w:val="21"/>
              </w:rPr>
            </w:pPr>
          </w:p>
        </w:tc>
        <w:tc>
          <w:tcPr>
            <w:tcW w:w="1524" w:type="dxa"/>
          </w:tcPr>
          <w:p w:rsidR="00BB515B" w:rsidRDefault="00BB515B">
            <w:pPr>
              <w:tabs>
                <w:tab w:val="num" w:pos="567"/>
              </w:tabs>
              <w:jc w:val="center"/>
              <w:rPr>
                <w:rFonts w:ascii="Verdana" w:hAnsi="Verdana" w:cs="Arial"/>
                <w:bCs/>
                <w:color w:val="000000"/>
                <w:sz w:val="21"/>
                <w:szCs w:val="21"/>
              </w:rPr>
            </w:pPr>
          </w:p>
        </w:tc>
      </w:tr>
      <w:tr w:rsidR="00BB515B" w:rsidTr="00957C4E">
        <w:tc>
          <w:tcPr>
            <w:tcW w:w="3355" w:type="dxa"/>
            <w:hideMark/>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Ingresos por ventas</w:t>
            </w:r>
          </w:p>
        </w:tc>
        <w:tc>
          <w:tcPr>
            <w:tcW w:w="1612" w:type="dxa"/>
            <w:hideMark/>
          </w:tcPr>
          <w:p w:rsidR="00BB515B" w:rsidRDefault="00BB515B">
            <w:pPr>
              <w:tabs>
                <w:tab w:val="num" w:pos="567"/>
              </w:tabs>
              <w:jc w:val="right"/>
              <w:rPr>
                <w:rFonts w:ascii="Verdana" w:hAnsi="Verdana" w:cs="Arial"/>
                <w:bCs/>
                <w:color w:val="000000"/>
                <w:sz w:val="21"/>
                <w:szCs w:val="21"/>
              </w:rPr>
            </w:pPr>
          </w:p>
        </w:tc>
        <w:tc>
          <w:tcPr>
            <w:tcW w:w="1662" w:type="dxa"/>
            <w:hideMark/>
          </w:tcPr>
          <w:p w:rsidR="00BB515B" w:rsidRDefault="00BB515B">
            <w:pPr>
              <w:tabs>
                <w:tab w:val="num" w:pos="567"/>
              </w:tabs>
              <w:jc w:val="center"/>
              <w:rPr>
                <w:rFonts w:ascii="Verdana" w:hAnsi="Verdana" w:cs="Arial"/>
                <w:bCs/>
                <w:color w:val="000000"/>
                <w:sz w:val="21"/>
                <w:szCs w:val="21"/>
              </w:rPr>
            </w:pPr>
            <w:r>
              <w:rPr>
                <w:rFonts w:ascii="Verdana" w:hAnsi="Verdana" w:cs="Arial"/>
                <w:bCs/>
                <w:color w:val="000000"/>
                <w:sz w:val="21"/>
                <w:szCs w:val="21"/>
              </w:rPr>
              <w:t xml:space="preserve">   </w:t>
            </w:r>
          </w:p>
        </w:tc>
        <w:tc>
          <w:tcPr>
            <w:tcW w:w="1524" w:type="dxa"/>
            <w:hideMark/>
          </w:tcPr>
          <w:p w:rsidR="00BB515B" w:rsidRDefault="00BB515B">
            <w:pPr>
              <w:tabs>
                <w:tab w:val="num" w:pos="567"/>
              </w:tabs>
              <w:jc w:val="center"/>
              <w:rPr>
                <w:rFonts w:ascii="Verdana" w:hAnsi="Verdana" w:cs="Arial"/>
                <w:bCs/>
                <w:color w:val="000000"/>
                <w:sz w:val="21"/>
                <w:szCs w:val="21"/>
              </w:rPr>
            </w:pPr>
            <w:r>
              <w:rPr>
                <w:rFonts w:ascii="Verdana" w:hAnsi="Verdana" w:cs="Arial"/>
                <w:bCs/>
                <w:color w:val="000000"/>
                <w:sz w:val="21"/>
                <w:szCs w:val="21"/>
              </w:rPr>
              <w:t xml:space="preserve"> </w:t>
            </w:r>
          </w:p>
        </w:tc>
      </w:tr>
      <w:tr w:rsidR="00BB515B" w:rsidTr="00957C4E">
        <w:tc>
          <w:tcPr>
            <w:tcW w:w="3355" w:type="dxa"/>
            <w:hideMark/>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Costo de ventas</w:t>
            </w:r>
          </w:p>
        </w:tc>
        <w:tc>
          <w:tcPr>
            <w:tcW w:w="1612" w:type="dxa"/>
            <w:hideMark/>
          </w:tcPr>
          <w:p w:rsidR="00BB515B" w:rsidRDefault="00BB515B">
            <w:pPr>
              <w:tabs>
                <w:tab w:val="num" w:pos="567"/>
              </w:tabs>
              <w:rPr>
                <w:rFonts w:ascii="Verdana" w:hAnsi="Verdana" w:cs="Arial"/>
                <w:bCs/>
                <w:color w:val="000000"/>
                <w:sz w:val="21"/>
                <w:szCs w:val="21"/>
                <w:u w:val="single"/>
              </w:rPr>
            </w:pPr>
            <w:r>
              <w:rPr>
                <w:rFonts w:ascii="Verdana" w:hAnsi="Verdana" w:cs="Arial"/>
                <w:bCs/>
                <w:color w:val="000000"/>
                <w:sz w:val="21"/>
                <w:szCs w:val="21"/>
              </w:rPr>
              <w:t xml:space="preserve">     </w:t>
            </w:r>
            <w:r>
              <w:rPr>
                <w:rFonts w:ascii="Verdana" w:hAnsi="Verdana" w:cs="Arial"/>
                <w:bCs/>
                <w:color w:val="000000"/>
                <w:sz w:val="21"/>
                <w:szCs w:val="21"/>
                <w:u w:val="single"/>
              </w:rPr>
              <w:t xml:space="preserve">             </w:t>
            </w:r>
          </w:p>
        </w:tc>
        <w:tc>
          <w:tcPr>
            <w:tcW w:w="1662" w:type="dxa"/>
            <w:hideMark/>
          </w:tcPr>
          <w:p w:rsidR="00BB515B" w:rsidRDefault="00BB515B">
            <w:pPr>
              <w:tabs>
                <w:tab w:val="num" w:pos="567"/>
              </w:tabs>
              <w:jc w:val="right"/>
              <w:rPr>
                <w:rFonts w:ascii="Verdana" w:hAnsi="Verdana" w:cs="Arial"/>
                <w:bCs/>
                <w:color w:val="000000"/>
                <w:sz w:val="21"/>
                <w:szCs w:val="21"/>
                <w:u w:val="single"/>
              </w:rPr>
            </w:pPr>
          </w:p>
        </w:tc>
        <w:tc>
          <w:tcPr>
            <w:tcW w:w="1524" w:type="dxa"/>
            <w:hideMark/>
          </w:tcPr>
          <w:p w:rsidR="00BB515B" w:rsidRDefault="00BB515B">
            <w:pPr>
              <w:tabs>
                <w:tab w:val="num" w:pos="567"/>
              </w:tabs>
              <w:jc w:val="right"/>
              <w:rPr>
                <w:rFonts w:ascii="Verdana" w:hAnsi="Verdana" w:cs="Arial"/>
                <w:bCs/>
                <w:color w:val="000000"/>
                <w:sz w:val="21"/>
                <w:szCs w:val="21"/>
                <w:u w:val="single"/>
              </w:rPr>
            </w:pPr>
          </w:p>
        </w:tc>
      </w:tr>
      <w:tr w:rsidR="00BB515B" w:rsidTr="00957C4E">
        <w:tc>
          <w:tcPr>
            <w:tcW w:w="3355" w:type="dxa"/>
            <w:hideMark/>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Margen bruto</w:t>
            </w:r>
          </w:p>
        </w:tc>
        <w:tc>
          <w:tcPr>
            <w:tcW w:w="1612" w:type="dxa"/>
            <w:hideMark/>
          </w:tcPr>
          <w:p w:rsidR="00BB515B" w:rsidRDefault="00BB515B">
            <w:pPr>
              <w:tabs>
                <w:tab w:val="num" w:pos="567"/>
              </w:tabs>
              <w:rPr>
                <w:rFonts w:ascii="Verdana" w:hAnsi="Verdana" w:cs="Arial"/>
                <w:bCs/>
                <w:color w:val="000000"/>
                <w:sz w:val="21"/>
                <w:szCs w:val="21"/>
                <w:u w:val="double"/>
              </w:rPr>
            </w:pPr>
            <w:r>
              <w:rPr>
                <w:rFonts w:ascii="Verdana" w:hAnsi="Verdana" w:cs="Arial"/>
                <w:bCs/>
                <w:color w:val="000000"/>
                <w:sz w:val="21"/>
                <w:szCs w:val="21"/>
              </w:rPr>
              <w:t xml:space="preserve">     </w:t>
            </w:r>
            <w:r>
              <w:rPr>
                <w:rFonts w:ascii="Verdana" w:hAnsi="Verdana" w:cs="Arial"/>
                <w:bCs/>
                <w:color w:val="000000"/>
                <w:sz w:val="21"/>
                <w:szCs w:val="21"/>
                <w:u w:val="double"/>
              </w:rPr>
              <w:t xml:space="preserve">             </w:t>
            </w:r>
          </w:p>
        </w:tc>
        <w:tc>
          <w:tcPr>
            <w:tcW w:w="1662" w:type="dxa"/>
            <w:hideMark/>
          </w:tcPr>
          <w:p w:rsidR="00BB515B" w:rsidRDefault="00BB515B">
            <w:pPr>
              <w:tabs>
                <w:tab w:val="num" w:pos="567"/>
              </w:tabs>
              <w:jc w:val="center"/>
              <w:rPr>
                <w:rFonts w:ascii="Verdana" w:hAnsi="Verdana" w:cs="Arial"/>
                <w:bCs/>
                <w:color w:val="000000"/>
                <w:sz w:val="21"/>
                <w:szCs w:val="21"/>
                <w:u w:val="double"/>
              </w:rPr>
            </w:pPr>
            <w:r>
              <w:rPr>
                <w:rFonts w:ascii="Verdana" w:hAnsi="Verdana" w:cs="Arial"/>
                <w:bCs/>
                <w:color w:val="000000"/>
                <w:sz w:val="21"/>
                <w:szCs w:val="21"/>
              </w:rPr>
              <w:t xml:space="preserve"> </w:t>
            </w:r>
            <w:r>
              <w:rPr>
                <w:rFonts w:ascii="Verdana" w:hAnsi="Verdana" w:cs="Arial"/>
                <w:bCs/>
                <w:color w:val="000000"/>
                <w:sz w:val="21"/>
                <w:szCs w:val="21"/>
                <w:u w:val="double"/>
              </w:rPr>
              <w:t xml:space="preserve">   </w:t>
            </w:r>
            <w:r>
              <w:rPr>
                <w:rFonts w:ascii="Verdana" w:hAnsi="Verdana" w:cs="Arial"/>
                <w:bCs/>
                <w:color w:val="000000"/>
                <w:sz w:val="21"/>
                <w:szCs w:val="21"/>
              </w:rPr>
              <w:t xml:space="preserve"> </w:t>
            </w:r>
          </w:p>
        </w:tc>
        <w:tc>
          <w:tcPr>
            <w:tcW w:w="1524" w:type="dxa"/>
            <w:hideMark/>
          </w:tcPr>
          <w:p w:rsidR="00BB515B" w:rsidRDefault="00957C4E">
            <w:pPr>
              <w:tabs>
                <w:tab w:val="num" w:pos="567"/>
              </w:tabs>
              <w:rPr>
                <w:rFonts w:ascii="Verdana" w:hAnsi="Verdana" w:cs="Arial"/>
                <w:bCs/>
                <w:color w:val="000000"/>
                <w:sz w:val="21"/>
                <w:szCs w:val="21"/>
                <w:u w:val="double"/>
              </w:rPr>
            </w:pPr>
            <w:r>
              <w:rPr>
                <w:rFonts w:ascii="Verdana" w:hAnsi="Verdana" w:cs="Arial"/>
                <w:bCs/>
                <w:color w:val="000000"/>
                <w:sz w:val="21"/>
                <w:szCs w:val="21"/>
                <w:u w:val="double"/>
              </w:rPr>
              <w:t xml:space="preserve">    </w:t>
            </w:r>
            <w:r w:rsidR="00BB515B">
              <w:rPr>
                <w:rFonts w:ascii="Verdana" w:hAnsi="Verdana" w:cs="Arial"/>
                <w:bCs/>
                <w:color w:val="000000"/>
                <w:sz w:val="21"/>
                <w:szCs w:val="21"/>
                <w:u w:val="double"/>
              </w:rPr>
              <w:t xml:space="preserve"> </w:t>
            </w:r>
          </w:p>
        </w:tc>
      </w:tr>
      <w:tr w:rsidR="00BB515B" w:rsidTr="00957C4E">
        <w:tc>
          <w:tcPr>
            <w:tcW w:w="3355" w:type="dxa"/>
          </w:tcPr>
          <w:p w:rsidR="00BB515B" w:rsidRDefault="00BB515B">
            <w:pPr>
              <w:tabs>
                <w:tab w:val="num" w:pos="567"/>
              </w:tabs>
              <w:jc w:val="both"/>
              <w:rPr>
                <w:rFonts w:ascii="Verdana" w:hAnsi="Verdana" w:cs="Arial"/>
                <w:bCs/>
                <w:color w:val="000000"/>
                <w:sz w:val="21"/>
                <w:szCs w:val="21"/>
              </w:rPr>
            </w:pPr>
          </w:p>
        </w:tc>
        <w:tc>
          <w:tcPr>
            <w:tcW w:w="1612" w:type="dxa"/>
          </w:tcPr>
          <w:p w:rsidR="00BB515B" w:rsidRDefault="00BB515B">
            <w:pPr>
              <w:tabs>
                <w:tab w:val="num" w:pos="567"/>
              </w:tabs>
              <w:jc w:val="center"/>
              <w:rPr>
                <w:rFonts w:ascii="Verdana" w:hAnsi="Verdana" w:cs="Arial"/>
                <w:bCs/>
                <w:color w:val="000000"/>
                <w:sz w:val="21"/>
                <w:szCs w:val="21"/>
                <w:u w:val="single"/>
              </w:rPr>
            </w:pPr>
          </w:p>
        </w:tc>
        <w:tc>
          <w:tcPr>
            <w:tcW w:w="1662" w:type="dxa"/>
          </w:tcPr>
          <w:p w:rsidR="00BB515B" w:rsidRDefault="00BB515B">
            <w:pPr>
              <w:tabs>
                <w:tab w:val="num" w:pos="567"/>
              </w:tabs>
              <w:jc w:val="center"/>
              <w:rPr>
                <w:rFonts w:ascii="Verdana" w:hAnsi="Verdana" w:cs="Arial"/>
                <w:bCs/>
                <w:color w:val="000000"/>
                <w:sz w:val="21"/>
                <w:szCs w:val="21"/>
              </w:rPr>
            </w:pPr>
          </w:p>
        </w:tc>
        <w:tc>
          <w:tcPr>
            <w:tcW w:w="1524" w:type="dxa"/>
          </w:tcPr>
          <w:p w:rsidR="00BB515B" w:rsidRDefault="00BB515B">
            <w:pPr>
              <w:tabs>
                <w:tab w:val="num" w:pos="567"/>
              </w:tabs>
              <w:jc w:val="center"/>
              <w:rPr>
                <w:rFonts w:ascii="Verdana" w:hAnsi="Verdana" w:cs="Arial"/>
                <w:bCs/>
                <w:color w:val="000000"/>
                <w:sz w:val="21"/>
                <w:szCs w:val="21"/>
              </w:rPr>
            </w:pPr>
          </w:p>
        </w:tc>
      </w:tr>
      <w:tr w:rsidR="00BB515B" w:rsidTr="00957C4E">
        <w:tc>
          <w:tcPr>
            <w:tcW w:w="3355" w:type="dxa"/>
          </w:tcPr>
          <w:p w:rsidR="00BB515B" w:rsidRDefault="00BB515B">
            <w:pPr>
              <w:tabs>
                <w:tab w:val="num" w:pos="567"/>
              </w:tabs>
              <w:jc w:val="both"/>
              <w:rPr>
                <w:rFonts w:ascii="Verdana" w:hAnsi="Verdana" w:cs="Arial"/>
                <w:bCs/>
                <w:color w:val="000000"/>
                <w:sz w:val="21"/>
                <w:szCs w:val="21"/>
              </w:rPr>
            </w:pPr>
          </w:p>
        </w:tc>
        <w:tc>
          <w:tcPr>
            <w:tcW w:w="1612" w:type="dxa"/>
          </w:tcPr>
          <w:p w:rsidR="00BB515B" w:rsidRDefault="00BB515B">
            <w:pPr>
              <w:tabs>
                <w:tab w:val="num" w:pos="567"/>
              </w:tabs>
              <w:jc w:val="center"/>
              <w:rPr>
                <w:rFonts w:ascii="Verdana" w:hAnsi="Verdana" w:cs="Arial"/>
                <w:bCs/>
                <w:color w:val="000000"/>
                <w:sz w:val="21"/>
                <w:szCs w:val="21"/>
                <w:u w:val="single"/>
              </w:rPr>
            </w:pPr>
          </w:p>
        </w:tc>
        <w:tc>
          <w:tcPr>
            <w:tcW w:w="1662" w:type="dxa"/>
          </w:tcPr>
          <w:p w:rsidR="00BB515B" w:rsidRDefault="00BB515B">
            <w:pPr>
              <w:tabs>
                <w:tab w:val="num" w:pos="567"/>
              </w:tabs>
              <w:jc w:val="center"/>
              <w:rPr>
                <w:rFonts w:ascii="Verdana" w:hAnsi="Verdana" w:cs="Arial"/>
                <w:bCs/>
                <w:color w:val="000000"/>
                <w:sz w:val="21"/>
                <w:szCs w:val="21"/>
              </w:rPr>
            </w:pPr>
          </w:p>
        </w:tc>
        <w:tc>
          <w:tcPr>
            <w:tcW w:w="1524" w:type="dxa"/>
          </w:tcPr>
          <w:p w:rsidR="00BB515B" w:rsidRDefault="00BB515B">
            <w:pPr>
              <w:tabs>
                <w:tab w:val="num" w:pos="567"/>
              </w:tabs>
              <w:jc w:val="center"/>
              <w:rPr>
                <w:rFonts w:ascii="Verdana" w:hAnsi="Verdana" w:cs="Arial"/>
                <w:bCs/>
                <w:color w:val="000000"/>
                <w:sz w:val="21"/>
                <w:szCs w:val="21"/>
              </w:rPr>
            </w:pPr>
          </w:p>
        </w:tc>
      </w:tr>
      <w:tr w:rsidR="00BB515B" w:rsidTr="00957C4E">
        <w:tc>
          <w:tcPr>
            <w:tcW w:w="3355" w:type="dxa"/>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Año 2020:</w:t>
            </w:r>
          </w:p>
          <w:p w:rsidR="00BB515B" w:rsidRDefault="00BB515B">
            <w:pPr>
              <w:tabs>
                <w:tab w:val="num" w:pos="567"/>
              </w:tabs>
              <w:jc w:val="both"/>
              <w:rPr>
                <w:rFonts w:ascii="Verdana" w:hAnsi="Verdana" w:cs="Arial"/>
                <w:bCs/>
                <w:color w:val="000000"/>
                <w:sz w:val="21"/>
                <w:szCs w:val="21"/>
              </w:rPr>
            </w:pPr>
          </w:p>
        </w:tc>
        <w:tc>
          <w:tcPr>
            <w:tcW w:w="1612" w:type="dxa"/>
          </w:tcPr>
          <w:p w:rsidR="00BB515B" w:rsidRDefault="00BB515B">
            <w:pPr>
              <w:tabs>
                <w:tab w:val="num" w:pos="567"/>
              </w:tabs>
              <w:jc w:val="center"/>
              <w:rPr>
                <w:rFonts w:ascii="Verdana" w:hAnsi="Verdana" w:cs="Arial"/>
                <w:bCs/>
                <w:color w:val="000000"/>
                <w:sz w:val="21"/>
                <w:szCs w:val="21"/>
                <w:u w:val="single"/>
              </w:rPr>
            </w:pPr>
          </w:p>
        </w:tc>
        <w:tc>
          <w:tcPr>
            <w:tcW w:w="1662" w:type="dxa"/>
          </w:tcPr>
          <w:p w:rsidR="00BB515B" w:rsidRDefault="00BB515B">
            <w:pPr>
              <w:tabs>
                <w:tab w:val="num" w:pos="567"/>
              </w:tabs>
              <w:jc w:val="center"/>
              <w:rPr>
                <w:rFonts w:ascii="Verdana" w:hAnsi="Verdana" w:cs="Arial"/>
                <w:bCs/>
                <w:color w:val="000000"/>
                <w:sz w:val="21"/>
                <w:szCs w:val="21"/>
              </w:rPr>
            </w:pPr>
          </w:p>
        </w:tc>
        <w:tc>
          <w:tcPr>
            <w:tcW w:w="1524" w:type="dxa"/>
          </w:tcPr>
          <w:p w:rsidR="00BB515B" w:rsidRDefault="00BB515B">
            <w:pPr>
              <w:tabs>
                <w:tab w:val="num" w:pos="567"/>
              </w:tabs>
              <w:jc w:val="center"/>
              <w:rPr>
                <w:rFonts w:ascii="Verdana" w:hAnsi="Verdana" w:cs="Arial"/>
                <w:bCs/>
                <w:color w:val="000000"/>
                <w:sz w:val="21"/>
                <w:szCs w:val="21"/>
              </w:rPr>
            </w:pPr>
          </w:p>
        </w:tc>
      </w:tr>
      <w:tr w:rsidR="00BB515B" w:rsidTr="00957C4E">
        <w:tc>
          <w:tcPr>
            <w:tcW w:w="3355" w:type="dxa"/>
            <w:hideMark/>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Ingresos por ventas</w:t>
            </w:r>
          </w:p>
        </w:tc>
        <w:tc>
          <w:tcPr>
            <w:tcW w:w="1612" w:type="dxa"/>
            <w:hideMark/>
          </w:tcPr>
          <w:p w:rsidR="00BB515B" w:rsidRDefault="00BB515B">
            <w:pPr>
              <w:tabs>
                <w:tab w:val="num" w:pos="567"/>
              </w:tabs>
              <w:jc w:val="right"/>
              <w:rPr>
                <w:rFonts w:ascii="Verdana" w:hAnsi="Verdana" w:cs="Arial"/>
                <w:bCs/>
                <w:color w:val="000000"/>
                <w:sz w:val="21"/>
                <w:szCs w:val="21"/>
              </w:rPr>
            </w:pPr>
            <w:r>
              <w:rPr>
                <w:rFonts w:ascii="Verdana" w:hAnsi="Verdana" w:cs="Arial"/>
                <w:bCs/>
                <w:color w:val="000000"/>
                <w:sz w:val="21"/>
                <w:szCs w:val="21"/>
              </w:rPr>
              <w:t>0</w:t>
            </w:r>
          </w:p>
        </w:tc>
        <w:tc>
          <w:tcPr>
            <w:tcW w:w="1662" w:type="dxa"/>
            <w:hideMark/>
          </w:tcPr>
          <w:p w:rsidR="00BB515B" w:rsidRDefault="00BB515B">
            <w:pPr>
              <w:tabs>
                <w:tab w:val="num" w:pos="567"/>
              </w:tabs>
              <w:jc w:val="center"/>
              <w:rPr>
                <w:rFonts w:ascii="Verdana" w:hAnsi="Verdana" w:cs="Arial"/>
                <w:bCs/>
                <w:color w:val="000000"/>
                <w:sz w:val="21"/>
                <w:szCs w:val="21"/>
              </w:rPr>
            </w:pPr>
            <w:r>
              <w:rPr>
                <w:rFonts w:ascii="Verdana" w:hAnsi="Verdana" w:cs="Arial"/>
                <w:bCs/>
                <w:color w:val="000000"/>
                <w:sz w:val="21"/>
                <w:szCs w:val="21"/>
              </w:rPr>
              <w:t xml:space="preserve">   </w:t>
            </w:r>
            <w:r w:rsidR="00957C4E">
              <w:rPr>
                <w:rFonts w:ascii="Verdana" w:hAnsi="Verdana" w:cs="Arial"/>
                <w:bCs/>
                <w:color w:val="000000"/>
                <w:sz w:val="21"/>
                <w:szCs w:val="21"/>
              </w:rPr>
              <w:t xml:space="preserve"> </w:t>
            </w:r>
            <w:r>
              <w:rPr>
                <w:rFonts w:ascii="Verdana" w:hAnsi="Verdana" w:cs="Arial"/>
                <w:bCs/>
                <w:color w:val="000000"/>
                <w:sz w:val="21"/>
                <w:szCs w:val="21"/>
              </w:rPr>
              <w:t>1,252,249</w:t>
            </w:r>
          </w:p>
        </w:tc>
        <w:tc>
          <w:tcPr>
            <w:tcW w:w="1524" w:type="dxa"/>
            <w:hideMark/>
          </w:tcPr>
          <w:p w:rsidR="00BB515B" w:rsidRDefault="00BB515B">
            <w:pPr>
              <w:tabs>
                <w:tab w:val="num" w:pos="567"/>
              </w:tabs>
              <w:jc w:val="center"/>
              <w:rPr>
                <w:rFonts w:ascii="Verdana" w:hAnsi="Verdana" w:cs="Arial"/>
                <w:bCs/>
                <w:color w:val="000000"/>
                <w:sz w:val="21"/>
                <w:szCs w:val="21"/>
              </w:rPr>
            </w:pPr>
            <w:r>
              <w:rPr>
                <w:rFonts w:ascii="Verdana" w:hAnsi="Verdana" w:cs="Arial"/>
                <w:bCs/>
                <w:color w:val="000000"/>
                <w:sz w:val="21"/>
                <w:szCs w:val="21"/>
              </w:rPr>
              <w:t xml:space="preserve"> 1,252,249</w:t>
            </w:r>
          </w:p>
        </w:tc>
      </w:tr>
      <w:tr w:rsidR="00BB515B" w:rsidTr="00957C4E">
        <w:tc>
          <w:tcPr>
            <w:tcW w:w="3355" w:type="dxa"/>
            <w:hideMark/>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Costo de ventas</w:t>
            </w:r>
          </w:p>
        </w:tc>
        <w:tc>
          <w:tcPr>
            <w:tcW w:w="1612" w:type="dxa"/>
            <w:hideMark/>
          </w:tcPr>
          <w:p w:rsidR="00BB515B" w:rsidRDefault="00BB515B" w:rsidP="00BB515B">
            <w:pPr>
              <w:tabs>
                <w:tab w:val="num" w:pos="567"/>
              </w:tabs>
              <w:jc w:val="right"/>
              <w:rPr>
                <w:rFonts w:ascii="Verdana" w:hAnsi="Verdana" w:cs="Arial"/>
                <w:bCs/>
                <w:color w:val="000000"/>
                <w:sz w:val="21"/>
                <w:szCs w:val="21"/>
                <w:u w:val="single"/>
              </w:rPr>
            </w:pPr>
            <w:r>
              <w:rPr>
                <w:rFonts w:ascii="Verdana" w:hAnsi="Verdana" w:cs="Arial"/>
                <w:bCs/>
                <w:color w:val="000000"/>
                <w:sz w:val="21"/>
                <w:szCs w:val="21"/>
              </w:rPr>
              <w:t xml:space="preserve">      </w:t>
            </w:r>
            <w:r>
              <w:rPr>
                <w:rFonts w:ascii="Verdana" w:hAnsi="Verdana" w:cs="Arial"/>
                <w:bCs/>
                <w:color w:val="000000"/>
                <w:sz w:val="21"/>
                <w:szCs w:val="21"/>
                <w:u w:val="single"/>
              </w:rPr>
              <w:t xml:space="preserve"> 0</w:t>
            </w:r>
          </w:p>
        </w:tc>
        <w:tc>
          <w:tcPr>
            <w:tcW w:w="1662" w:type="dxa"/>
            <w:hideMark/>
          </w:tcPr>
          <w:p w:rsidR="00BB515B" w:rsidRDefault="00BB515B" w:rsidP="00BB515B">
            <w:pPr>
              <w:tabs>
                <w:tab w:val="num" w:pos="567"/>
              </w:tabs>
              <w:jc w:val="right"/>
              <w:rPr>
                <w:rFonts w:ascii="Verdana" w:hAnsi="Verdana" w:cs="Arial"/>
                <w:bCs/>
                <w:color w:val="000000"/>
                <w:sz w:val="21"/>
                <w:szCs w:val="21"/>
                <w:u w:val="single"/>
              </w:rPr>
            </w:pPr>
            <w:r>
              <w:rPr>
                <w:rFonts w:ascii="Verdana" w:hAnsi="Verdana" w:cs="Arial"/>
                <w:bCs/>
                <w:color w:val="000000"/>
                <w:sz w:val="21"/>
                <w:szCs w:val="21"/>
              </w:rPr>
              <w:t xml:space="preserve">  </w:t>
            </w:r>
            <w:r w:rsidR="00957C4E">
              <w:rPr>
                <w:rFonts w:ascii="Verdana" w:hAnsi="Verdana" w:cs="Arial"/>
                <w:bCs/>
                <w:color w:val="000000"/>
                <w:sz w:val="21"/>
                <w:szCs w:val="21"/>
                <w:u w:val="single"/>
              </w:rPr>
              <w:t>(1,087,497)</w:t>
            </w:r>
          </w:p>
        </w:tc>
        <w:tc>
          <w:tcPr>
            <w:tcW w:w="1524" w:type="dxa"/>
            <w:hideMark/>
          </w:tcPr>
          <w:p w:rsidR="00BB515B" w:rsidRDefault="00957C4E" w:rsidP="00BB515B">
            <w:pPr>
              <w:tabs>
                <w:tab w:val="num" w:pos="567"/>
              </w:tabs>
              <w:jc w:val="right"/>
              <w:rPr>
                <w:rFonts w:ascii="Verdana" w:hAnsi="Verdana" w:cs="Arial"/>
                <w:bCs/>
                <w:color w:val="000000"/>
                <w:sz w:val="21"/>
                <w:szCs w:val="21"/>
                <w:u w:val="single"/>
              </w:rPr>
            </w:pPr>
            <w:r>
              <w:rPr>
                <w:rFonts w:ascii="Verdana" w:hAnsi="Verdana" w:cs="Arial"/>
                <w:bCs/>
                <w:color w:val="000000"/>
                <w:sz w:val="21"/>
                <w:szCs w:val="21"/>
                <w:u w:val="single"/>
              </w:rPr>
              <w:t>(1,087,497)</w:t>
            </w:r>
          </w:p>
        </w:tc>
      </w:tr>
      <w:tr w:rsidR="00BB515B" w:rsidTr="00957C4E">
        <w:tc>
          <w:tcPr>
            <w:tcW w:w="3355" w:type="dxa"/>
            <w:hideMark/>
          </w:tcPr>
          <w:p w:rsidR="00BB515B" w:rsidRDefault="00BB515B">
            <w:pPr>
              <w:tabs>
                <w:tab w:val="num" w:pos="567"/>
              </w:tabs>
              <w:jc w:val="both"/>
              <w:rPr>
                <w:rFonts w:ascii="Verdana" w:hAnsi="Verdana" w:cs="Arial"/>
                <w:bCs/>
                <w:color w:val="000000"/>
                <w:sz w:val="21"/>
                <w:szCs w:val="21"/>
              </w:rPr>
            </w:pPr>
            <w:r>
              <w:rPr>
                <w:rFonts w:ascii="Verdana" w:hAnsi="Verdana" w:cs="Arial"/>
                <w:bCs/>
                <w:color w:val="000000"/>
                <w:sz w:val="21"/>
                <w:szCs w:val="21"/>
              </w:rPr>
              <w:t>Margen bruto</w:t>
            </w:r>
          </w:p>
        </w:tc>
        <w:tc>
          <w:tcPr>
            <w:tcW w:w="1612" w:type="dxa"/>
            <w:hideMark/>
          </w:tcPr>
          <w:p w:rsidR="00BB515B" w:rsidRDefault="00BB515B" w:rsidP="00BB515B">
            <w:pPr>
              <w:tabs>
                <w:tab w:val="num" w:pos="567"/>
              </w:tabs>
              <w:jc w:val="right"/>
              <w:rPr>
                <w:rFonts w:ascii="Verdana" w:hAnsi="Verdana" w:cs="Arial"/>
                <w:bCs/>
                <w:color w:val="000000"/>
                <w:sz w:val="21"/>
                <w:szCs w:val="21"/>
                <w:u w:val="double"/>
              </w:rPr>
            </w:pPr>
            <w:r>
              <w:rPr>
                <w:rFonts w:ascii="Verdana" w:hAnsi="Verdana" w:cs="Arial"/>
                <w:bCs/>
                <w:color w:val="000000"/>
                <w:sz w:val="21"/>
                <w:szCs w:val="21"/>
              </w:rPr>
              <w:t xml:space="preserve">      </w:t>
            </w:r>
            <w:r>
              <w:rPr>
                <w:rFonts w:ascii="Verdana" w:hAnsi="Verdana" w:cs="Arial"/>
                <w:bCs/>
                <w:color w:val="000000"/>
                <w:sz w:val="21"/>
                <w:szCs w:val="21"/>
                <w:u w:val="double"/>
              </w:rPr>
              <w:t>0</w:t>
            </w:r>
          </w:p>
        </w:tc>
        <w:tc>
          <w:tcPr>
            <w:tcW w:w="1662" w:type="dxa"/>
            <w:hideMark/>
          </w:tcPr>
          <w:p w:rsidR="00BB515B" w:rsidRDefault="00957C4E">
            <w:pPr>
              <w:tabs>
                <w:tab w:val="num" w:pos="567"/>
              </w:tabs>
              <w:jc w:val="right"/>
              <w:rPr>
                <w:rFonts w:ascii="Verdana" w:hAnsi="Verdana" w:cs="Arial"/>
                <w:bCs/>
                <w:color w:val="000000"/>
                <w:sz w:val="21"/>
                <w:szCs w:val="21"/>
                <w:u w:val="double"/>
              </w:rPr>
            </w:pPr>
            <w:r>
              <w:rPr>
                <w:rFonts w:ascii="Verdana" w:hAnsi="Verdana" w:cs="Arial"/>
                <w:bCs/>
                <w:color w:val="000000"/>
                <w:sz w:val="21"/>
                <w:szCs w:val="21"/>
                <w:u w:val="double"/>
              </w:rPr>
              <w:t>164,752</w:t>
            </w:r>
          </w:p>
        </w:tc>
        <w:tc>
          <w:tcPr>
            <w:tcW w:w="1524" w:type="dxa"/>
            <w:hideMark/>
          </w:tcPr>
          <w:p w:rsidR="00BB515B" w:rsidRDefault="00BB515B">
            <w:pPr>
              <w:tabs>
                <w:tab w:val="num" w:pos="567"/>
              </w:tabs>
              <w:jc w:val="center"/>
              <w:rPr>
                <w:rFonts w:ascii="Verdana" w:hAnsi="Verdana" w:cs="Arial"/>
                <w:bCs/>
                <w:color w:val="000000"/>
                <w:sz w:val="21"/>
                <w:szCs w:val="21"/>
                <w:u w:val="double"/>
              </w:rPr>
            </w:pPr>
            <w:r>
              <w:rPr>
                <w:rFonts w:ascii="Verdana" w:hAnsi="Verdana" w:cs="Arial"/>
                <w:bCs/>
                <w:color w:val="000000"/>
                <w:sz w:val="21"/>
                <w:szCs w:val="21"/>
              </w:rPr>
              <w:t xml:space="preserve">   </w:t>
            </w:r>
            <w:r>
              <w:rPr>
                <w:rFonts w:ascii="Verdana" w:hAnsi="Verdana" w:cs="Arial"/>
                <w:bCs/>
                <w:color w:val="000000"/>
                <w:sz w:val="21"/>
                <w:szCs w:val="21"/>
                <w:u w:val="double"/>
              </w:rPr>
              <w:t xml:space="preserve">  </w:t>
            </w:r>
            <w:r w:rsidR="00957C4E">
              <w:rPr>
                <w:rFonts w:ascii="Verdana" w:hAnsi="Verdana" w:cs="Arial"/>
                <w:bCs/>
                <w:color w:val="000000"/>
                <w:sz w:val="21"/>
                <w:szCs w:val="21"/>
                <w:u w:val="double"/>
              </w:rPr>
              <w:t>164,752</w:t>
            </w:r>
          </w:p>
        </w:tc>
      </w:tr>
    </w:tbl>
    <w:p w:rsidR="00424808" w:rsidRDefault="00424808" w:rsidP="00424808">
      <w:pPr>
        <w:tabs>
          <w:tab w:val="num" w:pos="567"/>
        </w:tabs>
        <w:ind w:left="567" w:hanging="567"/>
        <w:jc w:val="both"/>
        <w:rPr>
          <w:rFonts w:ascii="Verdana" w:hAnsi="Verdana" w:cs="Arial"/>
          <w:bCs/>
          <w:color w:val="000000"/>
          <w:sz w:val="21"/>
          <w:szCs w:val="21"/>
        </w:rPr>
      </w:pPr>
    </w:p>
    <w:p w:rsidR="00957C4E" w:rsidRDefault="00957C4E" w:rsidP="00957C4E">
      <w:pPr>
        <w:tabs>
          <w:tab w:val="num" w:pos="567"/>
        </w:tabs>
        <w:ind w:left="567"/>
        <w:jc w:val="both"/>
        <w:rPr>
          <w:rFonts w:ascii="Verdana" w:hAnsi="Verdana" w:cs="Arial"/>
          <w:bCs/>
          <w:color w:val="000000"/>
          <w:sz w:val="21"/>
          <w:szCs w:val="21"/>
        </w:rPr>
      </w:pPr>
      <w:r>
        <w:rPr>
          <w:rFonts w:ascii="Verdana" w:hAnsi="Verdana" w:cs="Arial"/>
          <w:bCs/>
          <w:color w:val="000000"/>
          <w:sz w:val="21"/>
          <w:szCs w:val="21"/>
        </w:rPr>
        <w:t>En el año 2021 no se ha continuado con operaciones en el segmento de “Eventos propios”.</w:t>
      </w:r>
    </w:p>
    <w:p w:rsidR="00957C4E" w:rsidRDefault="00957C4E" w:rsidP="00957C4E">
      <w:pPr>
        <w:tabs>
          <w:tab w:val="num" w:pos="567"/>
        </w:tabs>
        <w:jc w:val="both"/>
        <w:rPr>
          <w:rFonts w:ascii="Verdana" w:hAnsi="Verdana" w:cs="Arial"/>
          <w:b/>
          <w:color w:val="000000"/>
          <w:sz w:val="21"/>
          <w:szCs w:val="21"/>
        </w:rPr>
      </w:pPr>
    </w:p>
    <w:p w:rsidR="00957C4E" w:rsidRDefault="00957C4E" w:rsidP="00957C4E">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24.  </w:t>
      </w:r>
      <w:r>
        <w:rPr>
          <w:rFonts w:ascii="Verdana" w:hAnsi="Verdana" w:cs="Arial"/>
          <w:b/>
          <w:color w:val="000000"/>
          <w:sz w:val="21"/>
          <w:szCs w:val="21"/>
        </w:rPr>
        <w:tab/>
        <w:t>EVENTOS SUBSECUENTES</w:t>
      </w:r>
    </w:p>
    <w:p w:rsidR="00957C4E" w:rsidRDefault="00957C4E" w:rsidP="00957C4E">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567"/>
        <w:rPr>
          <w:rFonts w:ascii="Verdana" w:hAnsi="Verdana" w:cs="Arial"/>
          <w:color w:val="000000"/>
          <w:sz w:val="21"/>
          <w:szCs w:val="21"/>
          <w:lang w:val="es-ES"/>
        </w:rPr>
      </w:pPr>
    </w:p>
    <w:p w:rsidR="00957C4E" w:rsidRDefault="00957C4E" w:rsidP="00957C4E">
      <w:pPr>
        <w:ind w:left="567"/>
        <w:jc w:val="both"/>
        <w:rPr>
          <w:rFonts w:ascii="Verdana" w:hAnsi="Verdana" w:cs="Arial"/>
          <w:color w:val="000000"/>
          <w:sz w:val="21"/>
          <w:szCs w:val="21"/>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rsidR="00957C4E" w:rsidRDefault="00957C4E" w:rsidP="00957C4E">
      <w:pPr>
        <w:tabs>
          <w:tab w:val="left" w:pos="567"/>
        </w:tabs>
        <w:rPr>
          <w:rFonts w:ascii="Verdana" w:hAnsi="Verdana" w:cs="Arial"/>
          <w:color w:val="000000"/>
          <w:sz w:val="18"/>
          <w:szCs w:val="18"/>
        </w:rPr>
      </w:pPr>
    </w:p>
    <w:p w:rsidR="00BF100F" w:rsidRPr="00424808" w:rsidRDefault="00BF100F" w:rsidP="00957C4E">
      <w:pPr>
        <w:ind w:firstLine="708"/>
        <w:rPr>
          <w:rFonts w:ascii="Verdana" w:hAnsi="Verdana" w:cs="Arial"/>
          <w:sz w:val="18"/>
          <w:szCs w:val="18"/>
        </w:rPr>
      </w:pPr>
    </w:p>
    <w:sectPr w:rsidR="00BF100F" w:rsidRPr="00424808" w:rsidSect="00AB71C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72A" w:rsidRDefault="00D2372A" w:rsidP="00FB5C72">
      <w:r>
        <w:separator/>
      </w:r>
    </w:p>
  </w:endnote>
  <w:endnote w:type="continuationSeparator" w:id="0">
    <w:p w:rsidR="00D2372A" w:rsidRDefault="00D2372A" w:rsidP="00FB5C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550647"/>
      <w:docPartObj>
        <w:docPartGallery w:val="Page Numbers (Bottom of Page)"/>
        <w:docPartUnique/>
      </w:docPartObj>
    </w:sdtPr>
    <w:sdtContent>
      <w:p w:rsidR="00063A24" w:rsidRDefault="00063A24" w:rsidP="00A61C8B">
        <w:pPr>
          <w:pStyle w:val="Piedepgina"/>
          <w:jc w:val="right"/>
        </w:pPr>
        <w:fldSimple w:instr="PAGE   \* MERGEFORMAT">
          <w:r w:rsidR="00957C4E">
            <w:rPr>
              <w:noProof/>
            </w:rPr>
            <w:t>27</w:t>
          </w:r>
        </w:fldSimple>
      </w:p>
    </w:sdtContent>
  </w:sdt>
  <w:p w:rsidR="00063A24" w:rsidRDefault="00063A24" w:rsidP="00A61C8B">
    <w:pPr>
      <w:pStyle w:val="Piedepgina"/>
      <w:tabs>
        <w:tab w:val="clear" w:pos="4252"/>
        <w:tab w:val="clear" w:pos="8504"/>
        <w:tab w:val="left" w:pos="919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72A" w:rsidRDefault="00D2372A" w:rsidP="00FB5C72">
      <w:r>
        <w:separator/>
      </w:r>
    </w:p>
  </w:footnote>
  <w:footnote w:type="continuationSeparator" w:id="0">
    <w:p w:rsidR="00D2372A" w:rsidRDefault="00D2372A" w:rsidP="00FB5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6">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7">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40015E"/>
    <w:rsid w:val="00027B06"/>
    <w:rsid w:val="00031A5A"/>
    <w:rsid w:val="000555DA"/>
    <w:rsid w:val="00063A24"/>
    <w:rsid w:val="00067512"/>
    <w:rsid w:val="000A6E2B"/>
    <w:rsid w:val="000E44C7"/>
    <w:rsid w:val="00112114"/>
    <w:rsid w:val="001B0C01"/>
    <w:rsid w:val="00212B06"/>
    <w:rsid w:val="00237963"/>
    <w:rsid w:val="00270649"/>
    <w:rsid w:val="00272CED"/>
    <w:rsid w:val="002C1A3F"/>
    <w:rsid w:val="003267DD"/>
    <w:rsid w:val="0032697C"/>
    <w:rsid w:val="00336509"/>
    <w:rsid w:val="00380BCF"/>
    <w:rsid w:val="003A439E"/>
    <w:rsid w:val="003B7EC7"/>
    <w:rsid w:val="0040015E"/>
    <w:rsid w:val="00410698"/>
    <w:rsid w:val="00424808"/>
    <w:rsid w:val="00471369"/>
    <w:rsid w:val="004D158E"/>
    <w:rsid w:val="004F5E01"/>
    <w:rsid w:val="00627E09"/>
    <w:rsid w:val="00637C98"/>
    <w:rsid w:val="00662332"/>
    <w:rsid w:val="007C256A"/>
    <w:rsid w:val="007C6CE0"/>
    <w:rsid w:val="007D770B"/>
    <w:rsid w:val="00805FB6"/>
    <w:rsid w:val="00957C4E"/>
    <w:rsid w:val="00A43559"/>
    <w:rsid w:val="00A61C8B"/>
    <w:rsid w:val="00A87F95"/>
    <w:rsid w:val="00AB71CC"/>
    <w:rsid w:val="00B5398D"/>
    <w:rsid w:val="00B55214"/>
    <w:rsid w:val="00B72D3E"/>
    <w:rsid w:val="00B77661"/>
    <w:rsid w:val="00BB515B"/>
    <w:rsid w:val="00BD0A4E"/>
    <w:rsid w:val="00BF100F"/>
    <w:rsid w:val="00C22B05"/>
    <w:rsid w:val="00C5388A"/>
    <w:rsid w:val="00D2372A"/>
    <w:rsid w:val="00D7063D"/>
    <w:rsid w:val="00D91861"/>
    <w:rsid w:val="00DC3946"/>
    <w:rsid w:val="00E16FAA"/>
    <w:rsid w:val="00E36780"/>
    <w:rsid w:val="00E64997"/>
    <w:rsid w:val="00E65CC1"/>
    <w:rsid w:val="00ED2C58"/>
    <w:rsid w:val="00EE0162"/>
    <w:rsid w:val="00EF2CBA"/>
    <w:rsid w:val="00F82A0F"/>
    <w:rsid w:val="00F865CE"/>
    <w:rsid w:val="00FA7A5F"/>
    <w:rsid w:val="00FB5C72"/>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28</Pages>
  <Words>8634</Words>
  <Characters>47491</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TANYA</cp:lastModifiedBy>
  <cp:revision>27</cp:revision>
  <dcterms:created xsi:type="dcterms:W3CDTF">2021-11-16T15:28:00Z</dcterms:created>
  <dcterms:modified xsi:type="dcterms:W3CDTF">2021-11-17T18:36:00Z</dcterms:modified>
</cp:coreProperties>
</file>