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CB09" w14:textId="77777777" w:rsidR="00C5388A" w:rsidRDefault="00C5388A"/>
    <w:p w14:paraId="6CCACB85" w14:textId="77777777" w:rsidR="0040015E" w:rsidRDefault="0040015E"/>
    <w:p w14:paraId="3AEE9072" w14:textId="77777777" w:rsidR="0040015E" w:rsidRDefault="0040015E"/>
    <w:p w14:paraId="6D284B3D" w14:textId="77777777" w:rsidR="0040015E" w:rsidRDefault="0040015E" w:rsidP="0040015E">
      <w:pPr>
        <w:jc w:val="center"/>
        <w:rPr>
          <w:rFonts w:ascii="Verdana" w:hAnsi="Verdana" w:cs="Arial"/>
          <w:b/>
          <w:color w:val="000000"/>
          <w:sz w:val="21"/>
          <w:szCs w:val="21"/>
          <w:u w:val="single"/>
        </w:rPr>
      </w:pPr>
      <w:r>
        <w:rPr>
          <w:rFonts w:ascii="Verdana" w:hAnsi="Verdana" w:cs="Arial"/>
          <w:b/>
          <w:color w:val="000000"/>
          <w:sz w:val="21"/>
          <w:szCs w:val="21"/>
          <w:u w:val="single"/>
        </w:rPr>
        <w:t>VISACOM S.A.</w:t>
      </w:r>
    </w:p>
    <w:p w14:paraId="3DDB5D98" w14:textId="77777777" w:rsidR="0040015E" w:rsidRDefault="0040015E" w:rsidP="0040015E">
      <w:pPr>
        <w:jc w:val="center"/>
        <w:rPr>
          <w:rFonts w:ascii="Verdana" w:hAnsi="Verdana" w:cs="Arial"/>
          <w:b/>
          <w:color w:val="000000"/>
          <w:sz w:val="21"/>
          <w:szCs w:val="21"/>
        </w:rPr>
      </w:pPr>
    </w:p>
    <w:p w14:paraId="23A26291"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ESTADOS FINANCIEROS POR LOS AÑOS TERMINADOS</w:t>
      </w:r>
    </w:p>
    <w:p w14:paraId="27AC200E" w14:textId="77777777" w:rsidR="0040015E" w:rsidRDefault="0040015E" w:rsidP="0040015E">
      <w:pPr>
        <w:pStyle w:val="Ttulo1"/>
        <w:ind w:left="0"/>
        <w:jc w:val="center"/>
        <w:rPr>
          <w:rFonts w:ascii="Verdana" w:hAnsi="Verdana" w:cs="Arial"/>
          <w:b/>
          <w:color w:val="000000"/>
          <w:sz w:val="21"/>
          <w:szCs w:val="21"/>
        </w:rPr>
      </w:pPr>
      <w:r>
        <w:rPr>
          <w:rFonts w:ascii="Verdana" w:hAnsi="Verdana" w:cs="Arial"/>
          <w:b/>
          <w:color w:val="000000"/>
          <w:sz w:val="21"/>
          <w:szCs w:val="21"/>
        </w:rPr>
        <w:t>EL 31 DE DICIEMBRE DE 2021 Y 2020</w:t>
      </w:r>
    </w:p>
    <w:p w14:paraId="11568897" w14:textId="77777777" w:rsidR="0040015E" w:rsidRDefault="0040015E" w:rsidP="0040015E">
      <w:pPr>
        <w:jc w:val="center"/>
        <w:rPr>
          <w:rFonts w:ascii="Verdana" w:hAnsi="Verdana" w:cs="Arial"/>
          <w:color w:val="000000"/>
          <w:sz w:val="21"/>
          <w:szCs w:val="21"/>
        </w:rPr>
      </w:pPr>
    </w:p>
    <w:p w14:paraId="3FC2B19E"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CON EL INFORME DE LOS AUDITORES INDEPENDIENTES</w:t>
      </w: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3DDB063F" w14:textId="77777777" w:rsidR="0040015E" w:rsidRPr="0040015E" w:rsidRDefault="0040015E" w:rsidP="0040015E">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lastRenderedPageBreak/>
        <w:t>VISACOM S.A.</w:t>
      </w:r>
    </w:p>
    <w:p w14:paraId="168B8444" w14:textId="77777777" w:rsidR="0040015E" w:rsidRPr="0040015E" w:rsidRDefault="0040015E" w:rsidP="0040015E">
      <w:pPr>
        <w:rPr>
          <w:rFonts w:ascii="Verdana" w:hAnsi="Verdana" w:cs="Arial"/>
          <w:color w:val="000000"/>
          <w:sz w:val="21"/>
          <w:szCs w:val="21"/>
        </w:rPr>
      </w:pPr>
    </w:p>
    <w:p w14:paraId="015DF555" w14:textId="77777777" w:rsidR="0040015E" w:rsidRPr="0040015E" w:rsidRDefault="0040015E" w:rsidP="0040015E">
      <w:pPr>
        <w:keepNext/>
        <w:overflowPunct w:val="0"/>
        <w:autoSpaceDE w:val="0"/>
        <w:autoSpaceDN w:val="0"/>
        <w:adjustRightInd w:val="0"/>
        <w:outlineLvl w:val="5"/>
        <w:rPr>
          <w:rFonts w:ascii="Verdana" w:hAnsi="Verdana" w:cs="Arial"/>
          <w:b/>
          <w:color w:val="000000"/>
          <w:sz w:val="21"/>
          <w:szCs w:val="21"/>
          <w:lang w:val="es-EC"/>
        </w:rPr>
      </w:pPr>
      <w:bookmarkStart w:id="0" w:name="_Hlk34213386"/>
      <w:r w:rsidRPr="0040015E">
        <w:rPr>
          <w:rFonts w:ascii="Verdana" w:hAnsi="Verdana" w:cs="Arial"/>
          <w:b/>
          <w:color w:val="000000"/>
          <w:sz w:val="21"/>
          <w:szCs w:val="21"/>
          <w:lang w:val="es-EC"/>
        </w:rPr>
        <w:t>ESTADOS FINANCIEROS</w:t>
      </w:r>
    </w:p>
    <w:p w14:paraId="0C995C14" w14:textId="77777777" w:rsidR="0040015E" w:rsidRPr="0040015E" w:rsidRDefault="0040015E" w:rsidP="0040015E">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sidRPr="0040015E">
        <w:rPr>
          <w:rFonts w:ascii="Verdana" w:hAnsi="Verdana" w:cs="Arial"/>
          <w:b/>
          <w:color w:val="000000"/>
          <w:sz w:val="21"/>
          <w:szCs w:val="21"/>
          <w:lang w:val="es-EC"/>
        </w:rPr>
        <w:t>POR LOS AÑOS TERMI</w:t>
      </w:r>
      <w:r>
        <w:rPr>
          <w:rFonts w:ascii="Verdana" w:hAnsi="Verdana" w:cs="Arial"/>
          <w:b/>
          <w:color w:val="000000"/>
          <w:sz w:val="21"/>
          <w:szCs w:val="21"/>
          <w:lang w:val="es-EC"/>
        </w:rPr>
        <w:t>NADOS EL 31 DE DICIEMBRE DE 2021 Y 2020</w:t>
      </w:r>
    </w:p>
    <w:p w14:paraId="726E2675" w14:textId="77777777" w:rsidR="0040015E" w:rsidRPr="0040015E" w:rsidRDefault="0040015E" w:rsidP="0040015E">
      <w:pPr>
        <w:jc w:val="both"/>
        <w:rPr>
          <w:rFonts w:ascii="Verdana" w:hAnsi="Verdana" w:cs="Arial"/>
          <w:b/>
          <w:color w:val="000000"/>
          <w:sz w:val="21"/>
          <w:szCs w:val="21"/>
          <w:u w:val="single"/>
        </w:rPr>
      </w:pPr>
    </w:p>
    <w:p w14:paraId="06C64EE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b/>
          <w:color w:val="000000"/>
          <w:sz w:val="21"/>
          <w:szCs w:val="21"/>
          <w:lang w:val="es-EC"/>
        </w:rPr>
        <w:t>INDICE</w:t>
      </w:r>
      <w:r w:rsidRPr="0040015E">
        <w:rPr>
          <w:rFonts w:ascii="Verdana" w:hAnsi="Verdana" w:cs="Arial"/>
          <w:color w:val="000000"/>
          <w:sz w:val="21"/>
          <w:szCs w:val="21"/>
          <w:lang w:val="es-EC"/>
        </w:rPr>
        <w:tab/>
      </w:r>
      <w:r w:rsidRPr="0040015E">
        <w:rPr>
          <w:rFonts w:ascii="Verdana" w:hAnsi="Verdana" w:cs="Arial"/>
          <w:b/>
          <w:color w:val="000000"/>
          <w:sz w:val="21"/>
          <w:szCs w:val="21"/>
          <w:lang w:val="es-EC"/>
        </w:rPr>
        <w:t>Página #</w:t>
      </w:r>
    </w:p>
    <w:p w14:paraId="00CCCD0F" w14:textId="77777777" w:rsidR="0040015E" w:rsidRPr="0040015E" w:rsidRDefault="0040015E" w:rsidP="0040015E">
      <w:pPr>
        <w:jc w:val="both"/>
        <w:rPr>
          <w:rFonts w:ascii="Verdana" w:hAnsi="Verdana" w:cs="Arial"/>
          <w:b/>
          <w:color w:val="000000"/>
          <w:sz w:val="21"/>
          <w:szCs w:val="21"/>
          <w:u w:val="single"/>
        </w:rPr>
      </w:pPr>
    </w:p>
    <w:p w14:paraId="4BE3583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Informe de los Auditores Independientes</w:t>
      </w:r>
      <w:r w:rsidRPr="0040015E">
        <w:rPr>
          <w:rFonts w:ascii="Verdana" w:hAnsi="Verdana" w:cs="Arial"/>
          <w:color w:val="000000"/>
          <w:sz w:val="21"/>
          <w:szCs w:val="21"/>
          <w:lang w:val="es-EC"/>
        </w:rPr>
        <w:tab/>
        <w:t xml:space="preserve">3 - 5 </w:t>
      </w:r>
    </w:p>
    <w:p w14:paraId="6BBC36C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situación financiera</w:t>
      </w:r>
      <w:r w:rsidRPr="0040015E">
        <w:rPr>
          <w:rFonts w:ascii="Verdana" w:hAnsi="Verdana" w:cs="Arial"/>
          <w:color w:val="000000"/>
          <w:sz w:val="21"/>
          <w:szCs w:val="21"/>
          <w:lang w:val="es-EC"/>
        </w:rPr>
        <w:tab/>
        <w:t>6</w:t>
      </w:r>
    </w:p>
    <w:p w14:paraId="2E8E852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resultado integral</w:t>
      </w:r>
      <w:r w:rsidRPr="0040015E">
        <w:rPr>
          <w:rFonts w:ascii="Verdana" w:hAnsi="Verdana" w:cs="Arial"/>
          <w:color w:val="000000"/>
          <w:sz w:val="21"/>
          <w:szCs w:val="21"/>
          <w:lang w:val="es-EC"/>
        </w:rPr>
        <w:tab/>
        <w:t>7</w:t>
      </w:r>
    </w:p>
    <w:p w14:paraId="2C97E63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cambios en el patrimonio neto de los accionistas</w:t>
      </w:r>
      <w:r w:rsidRPr="0040015E">
        <w:rPr>
          <w:rFonts w:ascii="Verdana" w:hAnsi="Verdana" w:cs="Arial"/>
          <w:color w:val="000000"/>
          <w:sz w:val="21"/>
          <w:szCs w:val="21"/>
          <w:lang w:val="es-EC"/>
        </w:rPr>
        <w:tab/>
        <w:t>8</w:t>
      </w:r>
    </w:p>
    <w:p w14:paraId="5A66AD4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flujos de efectivo</w:t>
      </w:r>
      <w:r w:rsidRPr="0040015E">
        <w:rPr>
          <w:rFonts w:ascii="Verdana" w:hAnsi="Verdana" w:cs="Arial"/>
          <w:color w:val="000000"/>
          <w:sz w:val="21"/>
          <w:szCs w:val="21"/>
          <w:lang w:val="es-EC"/>
        </w:rPr>
        <w:tab/>
        <w:t xml:space="preserve">9 </w:t>
      </w:r>
    </w:p>
    <w:p w14:paraId="301287F0"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p>
    <w:p w14:paraId="51F5C16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b/>
          <w:i/>
          <w:iCs/>
          <w:color w:val="000000"/>
          <w:sz w:val="21"/>
          <w:szCs w:val="21"/>
          <w:u w:val="single"/>
          <w:lang w:val="es-EC"/>
        </w:rPr>
      </w:pPr>
      <w:r w:rsidRPr="0040015E">
        <w:rPr>
          <w:rFonts w:ascii="Verdana" w:hAnsi="Verdana" w:cs="Arial"/>
          <w:i/>
          <w:iCs/>
          <w:color w:val="000000"/>
          <w:sz w:val="21"/>
          <w:szCs w:val="21"/>
          <w:lang w:val="es-EC"/>
        </w:rPr>
        <w:t>Notas a los estados financieros:</w:t>
      </w:r>
      <w:r w:rsidRPr="0040015E">
        <w:rPr>
          <w:rFonts w:ascii="Verdana" w:hAnsi="Verdana" w:cs="Arial"/>
          <w:i/>
          <w:iCs/>
          <w:color w:val="000000"/>
          <w:sz w:val="21"/>
          <w:szCs w:val="21"/>
          <w:lang w:val="es-EC"/>
        </w:rPr>
        <w:tab/>
      </w:r>
    </w:p>
    <w:p w14:paraId="5C0A5820" w14:textId="77777777" w:rsidR="0040015E" w:rsidRPr="0040015E" w:rsidRDefault="0040015E" w:rsidP="0040015E">
      <w:pPr>
        <w:jc w:val="both"/>
        <w:rPr>
          <w:rFonts w:ascii="Verdana" w:hAnsi="Verdana" w:cs="Arial"/>
          <w:bCs/>
          <w:color w:val="000000"/>
          <w:sz w:val="21"/>
          <w:szCs w:val="21"/>
          <w:lang w:val="es-EC"/>
        </w:rPr>
      </w:pPr>
    </w:p>
    <w:p w14:paraId="13E3A230"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gen</w:t>
      </w:r>
      <w:r>
        <w:rPr>
          <w:rFonts w:ascii="Verdana" w:hAnsi="Verdana" w:cs="Arial"/>
          <w:bCs/>
          <w:color w:val="000000"/>
          <w:sz w:val="21"/>
          <w:szCs w:val="21"/>
          <w:lang w:val="es-EC"/>
        </w:rPr>
        <w:t>eral de la Compañía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10</w:t>
      </w:r>
    </w:p>
    <w:p w14:paraId="1ED1C7C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…Bases de preparación y presentación de lo</w:t>
      </w:r>
      <w:r>
        <w:rPr>
          <w:rFonts w:ascii="Verdana" w:hAnsi="Verdana" w:cs="Arial"/>
          <w:bCs/>
          <w:color w:val="000000"/>
          <w:sz w:val="21"/>
          <w:szCs w:val="21"/>
          <w:lang w:val="es-EC"/>
        </w:rPr>
        <w:t>s estados financieros</w:t>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11</w:t>
      </w:r>
    </w:p>
    <w:p w14:paraId="70E9196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…Resumen de políticas co</w:t>
      </w:r>
      <w:r>
        <w:rPr>
          <w:rFonts w:ascii="Verdana" w:hAnsi="Verdana" w:cs="Arial"/>
          <w:bCs/>
          <w:color w:val="000000"/>
          <w:sz w:val="21"/>
          <w:szCs w:val="21"/>
          <w:lang w:val="es-EC"/>
        </w:rPr>
        <w:t>ntables significativas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12-</w:t>
      </w:r>
      <w:r w:rsidRPr="0040015E">
        <w:rPr>
          <w:rFonts w:ascii="Verdana" w:hAnsi="Verdana" w:cs="Arial"/>
          <w:bCs/>
          <w:color w:val="000000"/>
          <w:sz w:val="21"/>
          <w:szCs w:val="21"/>
          <w:lang w:val="es-EC"/>
        </w:rPr>
        <w:t>17</w:t>
      </w:r>
    </w:p>
    <w:p w14:paraId="398103B3"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…Cambios en p</w:t>
      </w:r>
      <w:r>
        <w:rPr>
          <w:rFonts w:ascii="Verdana" w:hAnsi="Verdana" w:cs="Arial"/>
          <w:bCs/>
          <w:color w:val="000000"/>
          <w:sz w:val="21"/>
          <w:szCs w:val="21"/>
          <w:lang w:val="es-EC"/>
        </w:rPr>
        <w:t>olíticas contables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2577BE2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respecto de la incertidumbre e</w:t>
      </w:r>
      <w:r>
        <w:rPr>
          <w:rFonts w:ascii="Verdana" w:hAnsi="Verdana" w:cs="Arial"/>
          <w:bCs/>
          <w:color w:val="000000"/>
          <w:sz w:val="21"/>
          <w:szCs w:val="21"/>
          <w:lang w:val="es-EC"/>
        </w:rPr>
        <w:t>n juicios y estimaciones</w:t>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7DC7772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…Efectivo y equivalentes de efectiv</w:t>
      </w:r>
      <w:r>
        <w:rPr>
          <w:rFonts w:ascii="Verdana" w:hAnsi="Verdana" w:cs="Arial"/>
          <w:bCs/>
          <w:color w:val="000000"/>
          <w:sz w:val="21"/>
          <w:szCs w:val="21"/>
          <w:lang w:val="es-EC"/>
        </w:rPr>
        <w: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6832CC7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w:t>
      </w:r>
      <w:r>
        <w:rPr>
          <w:rFonts w:ascii="Verdana" w:hAnsi="Verdana" w:cs="Arial"/>
          <w:bCs/>
          <w:color w:val="000000"/>
          <w:sz w:val="21"/>
          <w:szCs w:val="21"/>
          <w:lang w:val="es-EC"/>
        </w:rPr>
        <w:t>uentas por cobrar</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7FDBAF99"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…Activo por im</w:t>
      </w:r>
      <w:r>
        <w:rPr>
          <w:rFonts w:ascii="Verdana" w:hAnsi="Verdana" w:cs="Arial"/>
          <w:bCs/>
          <w:color w:val="000000"/>
          <w:sz w:val="21"/>
          <w:szCs w:val="21"/>
          <w:lang w:val="es-EC"/>
        </w:rPr>
        <w:t>puestos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29EC78C5"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…Inventarios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6FE1DE8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…Propiedad</w:t>
      </w:r>
      <w:r>
        <w:rPr>
          <w:rFonts w:ascii="Verdana" w:hAnsi="Verdana" w:cs="Arial"/>
          <w:bCs/>
          <w:color w:val="000000"/>
          <w:sz w:val="21"/>
          <w:szCs w:val="21"/>
          <w:lang w:val="es-EC"/>
        </w:rPr>
        <w:t>es y equipos, neto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4722CD64"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w:t>
      </w:r>
      <w:r>
        <w:rPr>
          <w:rFonts w:ascii="Verdana" w:hAnsi="Verdana" w:cs="Arial"/>
          <w:bCs/>
          <w:color w:val="000000"/>
          <w:sz w:val="21"/>
          <w:szCs w:val="21"/>
          <w:lang w:val="es-EC"/>
        </w:rPr>
        <w:t>r pagar a terceros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D2E41F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por pagar, partes rel</w:t>
      </w:r>
      <w:r>
        <w:rPr>
          <w:rFonts w:ascii="Verdana" w:hAnsi="Verdana" w:cs="Arial"/>
          <w:bCs/>
          <w:color w:val="000000"/>
          <w:sz w:val="21"/>
          <w:szCs w:val="21"/>
          <w:lang w:val="es-EC"/>
        </w:rPr>
        <w:t>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2A60D0F"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…Otras oblig</w:t>
      </w:r>
      <w:r>
        <w:rPr>
          <w:rFonts w:ascii="Verdana" w:hAnsi="Verdana" w:cs="Arial"/>
          <w:bCs/>
          <w:color w:val="000000"/>
          <w:sz w:val="21"/>
          <w:szCs w:val="21"/>
          <w:lang w:val="es-EC"/>
        </w:rPr>
        <w:t>aciones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074FA7E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…Jubilación pa</w:t>
      </w:r>
      <w:r>
        <w:rPr>
          <w:rFonts w:ascii="Verdana" w:hAnsi="Verdana" w:cs="Arial"/>
          <w:bCs/>
          <w:color w:val="000000"/>
          <w:sz w:val="21"/>
          <w:szCs w:val="21"/>
          <w:lang w:val="es-EC"/>
        </w:rPr>
        <w:t>tronal y desahucio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15E83BC2"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…Capital social</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09492CDD"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…Ventas netas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574AD447"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…Costo de ventas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CBE984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…Gastos de administración y ventas</w:t>
      </w:r>
      <w:r w:rsidRPr="0040015E">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6E40E7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…Im</w:t>
      </w:r>
      <w:r>
        <w:rPr>
          <w:rFonts w:ascii="Verdana" w:hAnsi="Verdana" w:cs="Arial"/>
          <w:bCs/>
          <w:color w:val="000000"/>
          <w:sz w:val="21"/>
          <w:szCs w:val="21"/>
          <w:lang w:val="es-EC"/>
        </w:rPr>
        <w:t>puesto a la renta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560BDA0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…Saldos y transacciones co</w:t>
      </w:r>
      <w:r>
        <w:rPr>
          <w:rFonts w:ascii="Verdana" w:hAnsi="Verdana" w:cs="Arial"/>
          <w:bCs/>
          <w:color w:val="000000"/>
          <w:sz w:val="21"/>
          <w:szCs w:val="21"/>
          <w:lang w:val="es-EC"/>
        </w:rPr>
        <w:t>n partes relacionadas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FB8F101"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…Compr</w:t>
      </w:r>
      <w:r>
        <w:rPr>
          <w:rFonts w:ascii="Verdana" w:hAnsi="Verdana" w:cs="Arial"/>
          <w:bCs/>
          <w:color w:val="000000"/>
          <w:sz w:val="21"/>
          <w:szCs w:val="21"/>
          <w:lang w:val="es-EC"/>
        </w:rPr>
        <w:t>omisos y contratos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502636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…Ref</w:t>
      </w:r>
      <w:r>
        <w:rPr>
          <w:rFonts w:ascii="Verdana" w:hAnsi="Verdana" w:cs="Arial"/>
          <w:bCs/>
          <w:color w:val="000000"/>
          <w:sz w:val="21"/>
          <w:szCs w:val="21"/>
          <w:lang w:val="es-EC"/>
        </w:rPr>
        <w:t>ormas tributarias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25</w:t>
      </w:r>
    </w:p>
    <w:p w14:paraId="17ABDDB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financiera por s</w:t>
      </w:r>
      <w:r>
        <w:rPr>
          <w:rFonts w:ascii="Verdana" w:hAnsi="Verdana" w:cs="Arial"/>
          <w:bCs/>
          <w:color w:val="000000"/>
          <w:sz w:val="21"/>
          <w:szCs w:val="21"/>
          <w:lang w:val="es-EC"/>
        </w:rPr>
        <w:t>egmentos de operación</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3765FFB6"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…Eve</w:t>
      </w:r>
      <w:r>
        <w:rPr>
          <w:rFonts w:ascii="Verdana" w:hAnsi="Verdana" w:cs="Arial"/>
          <w:bCs/>
          <w:color w:val="000000"/>
          <w:sz w:val="21"/>
          <w:szCs w:val="21"/>
          <w:lang w:val="es-EC"/>
        </w:rPr>
        <w:t>ntos subsecuentes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5F0FCC78" w14:textId="77777777" w:rsidR="0040015E" w:rsidRPr="0040015E" w:rsidRDefault="0040015E" w:rsidP="0040015E">
      <w:pPr>
        <w:jc w:val="both"/>
        <w:rPr>
          <w:rFonts w:ascii="Verdana" w:hAnsi="Verdana" w:cs="Arial"/>
          <w:b/>
          <w:color w:val="000000"/>
          <w:sz w:val="21"/>
          <w:szCs w:val="21"/>
          <w:u w:val="single"/>
        </w:rPr>
      </w:pPr>
    </w:p>
    <w:p w14:paraId="7C24123F" w14:textId="77777777" w:rsidR="0040015E" w:rsidRPr="00F865CE" w:rsidRDefault="0040015E" w:rsidP="0040015E">
      <w:pPr>
        <w:jc w:val="both"/>
        <w:rPr>
          <w:rFonts w:ascii="Verdana" w:hAnsi="Verdana" w:cs="Arial"/>
          <w:b/>
          <w:color w:val="000000"/>
          <w:sz w:val="21"/>
          <w:szCs w:val="21"/>
          <w:lang w:val="es-EC"/>
        </w:rPr>
      </w:pPr>
      <w:r w:rsidRPr="00F865CE">
        <w:rPr>
          <w:rFonts w:ascii="Verdana" w:hAnsi="Verdana" w:cs="Arial"/>
          <w:b/>
          <w:color w:val="000000"/>
          <w:sz w:val="21"/>
          <w:szCs w:val="21"/>
          <w:lang w:val="es-EC"/>
        </w:rPr>
        <w:t>Abreviaturas usadas:</w:t>
      </w:r>
    </w:p>
    <w:p w14:paraId="0EDD085B"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p>
    <w:p w14:paraId="50963C23"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BTL</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xml:space="preserve">- </w:t>
      </w:r>
      <w:proofErr w:type="spellStart"/>
      <w:r w:rsidRPr="00F865CE">
        <w:rPr>
          <w:rFonts w:ascii="Verdana" w:hAnsi="Verdana" w:cs="Arial"/>
          <w:color w:val="000000"/>
          <w:sz w:val="21"/>
          <w:szCs w:val="21"/>
          <w:lang w:val="es-EC"/>
        </w:rPr>
        <w:t>Below</w:t>
      </w:r>
      <w:proofErr w:type="spellEnd"/>
      <w:r w:rsidRPr="00F865CE">
        <w:rPr>
          <w:rFonts w:ascii="Verdana" w:hAnsi="Verdana" w:cs="Arial"/>
          <w:color w:val="000000"/>
          <w:sz w:val="21"/>
          <w:szCs w:val="21"/>
          <w:lang w:val="es-EC"/>
        </w:rPr>
        <w:t xml:space="preserve"> </w:t>
      </w:r>
      <w:proofErr w:type="spellStart"/>
      <w:r w:rsidRPr="00F865CE">
        <w:rPr>
          <w:rFonts w:ascii="Verdana" w:hAnsi="Verdana" w:cs="Arial"/>
          <w:color w:val="000000"/>
          <w:sz w:val="21"/>
          <w:szCs w:val="21"/>
          <w:lang w:val="es-EC"/>
        </w:rPr>
        <w:t>the</w:t>
      </w:r>
      <w:proofErr w:type="spellEnd"/>
      <w:r w:rsidRPr="00F865CE">
        <w:rPr>
          <w:rFonts w:ascii="Verdana" w:hAnsi="Verdana" w:cs="Arial"/>
          <w:color w:val="000000"/>
          <w:sz w:val="21"/>
          <w:szCs w:val="21"/>
          <w:lang w:val="es-EC"/>
        </w:rPr>
        <w:t xml:space="preserve"> Line </w:t>
      </w:r>
    </w:p>
    <w:p w14:paraId="2E8DE395"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IASB</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International Accounting Standard Board</w:t>
      </w:r>
    </w:p>
    <w:p w14:paraId="14608EF1"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IESS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Instituto Ecuatoriano de Seguridad Social</w:t>
      </w:r>
    </w:p>
    <w:p w14:paraId="575875C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IR</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 la Renta</w:t>
      </w:r>
    </w:p>
    <w:p w14:paraId="77AB8FBC"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IVA</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al Valor Agregado</w:t>
      </w:r>
    </w:p>
    <w:p w14:paraId="0BB618D6" w14:textId="77777777" w:rsidR="0040015E" w:rsidRPr="0040015E" w:rsidRDefault="0040015E" w:rsidP="0040015E">
      <w:pPr>
        <w:tabs>
          <w:tab w:val="left" w:pos="1418"/>
        </w:tabs>
        <w:overflowPunct w:val="0"/>
        <w:autoSpaceDE w:val="0"/>
        <w:autoSpaceDN w:val="0"/>
        <w:adjustRightInd w:val="0"/>
        <w:ind w:left="2836" w:hanging="2836"/>
        <w:rPr>
          <w:rFonts w:ascii="Verdana" w:hAnsi="Verdana" w:cs="Arial"/>
          <w:color w:val="000000"/>
          <w:sz w:val="21"/>
          <w:szCs w:val="21"/>
          <w:lang w:val="es-EC"/>
        </w:rPr>
      </w:pPr>
      <w:r w:rsidRPr="0040015E">
        <w:rPr>
          <w:rFonts w:ascii="Verdana" w:hAnsi="Verdana" w:cs="Arial"/>
          <w:color w:val="000000"/>
          <w:sz w:val="21"/>
          <w:szCs w:val="21"/>
          <w:lang w:val="es-EC"/>
        </w:rPr>
        <w:t>NIIF Para PYMES</w:t>
      </w:r>
      <w:r w:rsidRPr="0040015E">
        <w:rPr>
          <w:rFonts w:ascii="Verdana" w:hAnsi="Verdana" w:cs="Arial"/>
          <w:color w:val="000000"/>
          <w:sz w:val="21"/>
          <w:szCs w:val="21"/>
          <w:lang w:val="es-EC"/>
        </w:rPr>
        <w:tab/>
        <w:t xml:space="preserve">- Normas Internacionales de Información Financiera para Pequeñas y Medianas empresas          </w:t>
      </w:r>
    </w:p>
    <w:p w14:paraId="63E36ED4"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PT</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Participación de Trabajadores en las utilidades</w:t>
      </w:r>
    </w:p>
    <w:p w14:paraId="271FB7D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SRI</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Servicio de Rentas Internas</w:t>
      </w:r>
    </w:p>
    <w:p w14:paraId="06DCCAD7"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US$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xml:space="preserve">- Dólares de los Estados </w:t>
      </w:r>
      <w:bookmarkEnd w:id="0"/>
      <w:r w:rsidRPr="0040015E">
        <w:rPr>
          <w:rFonts w:ascii="Verdana" w:hAnsi="Verdana" w:cs="Arial"/>
          <w:color w:val="000000"/>
          <w:sz w:val="21"/>
          <w:szCs w:val="21"/>
          <w:lang w:val="es-EC"/>
        </w:rPr>
        <w:t>Unidos de América (EE. UU)</w:t>
      </w:r>
    </w:p>
    <w:p w14:paraId="5F5E46C3" w14:textId="77777777" w:rsidR="0040015E" w:rsidRPr="0040015E" w:rsidRDefault="0040015E" w:rsidP="0040015E">
      <w:pPr>
        <w:pBdr>
          <w:bottom w:val="single" w:sz="4" w:space="1" w:color="auto"/>
        </w:pBdr>
        <w:jc w:val="both"/>
        <w:rPr>
          <w:rFonts w:ascii="Verdana" w:hAnsi="Verdana" w:cs="Arial"/>
          <w:color w:val="000000"/>
          <w:sz w:val="21"/>
          <w:szCs w:val="21"/>
          <w:lang w:val="es-EC"/>
        </w:rPr>
      </w:pPr>
    </w:p>
    <w:p w14:paraId="3ECD8A92" w14:textId="77777777" w:rsidR="0040015E" w:rsidRPr="0040015E" w:rsidRDefault="0040015E" w:rsidP="0040015E">
      <w:pPr>
        <w:jc w:val="both"/>
        <w:rPr>
          <w:rFonts w:ascii="Verdana" w:hAnsi="Verdana" w:cs="Arial"/>
          <w:b/>
          <w:color w:val="000000"/>
          <w:sz w:val="21"/>
          <w:szCs w:val="21"/>
          <w:u w:val="single"/>
        </w:rPr>
      </w:pP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7777777" w:rsidR="00D91861" w:rsidRDefault="00D91861"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77777777"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del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482319E4" w14:textId="77777777" w:rsidR="00D91861" w:rsidRDefault="00D91861" w:rsidP="00D91861">
      <w:pPr>
        <w:numPr>
          <w:ilvl w:val="0"/>
          <w:numId w:val="1"/>
        </w:numPr>
        <w:jc w:val="both"/>
        <w:rPr>
          <w:rFonts w:ascii="Verdana" w:hAnsi="Verdana"/>
          <w:sz w:val="21"/>
          <w:szCs w:val="21"/>
          <w:lang w:val="es-ES_tradnl"/>
        </w:rPr>
      </w:pPr>
      <w:r>
        <w:rPr>
          <w:rFonts w:ascii="Verdana" w:hAnsi="Verdana" w:cs="Arial"/>
          <w:sz w:val="21"/>
          <w:szCs w:val="21"/>
        </w:rPr>
        <w:t>Tal como se explica más ampliamente en las notas 1 c) y 5 a) los estados financieros adjuntos han sido preparados utilizando estimaciones contables y supuestos relacionados con la evaluación de los impactos y resolución de incertidumbres relacionadas con la evolución de la pandemia global del COVID-19; impactos que, en el futuro, pueden diferir de las evaluaciones y conclusiones a la fecha de aprobación de tales estados financieros.</w:t>
      </w:r>
    </w:p>
    <w:p w14:paraId="05A5104E" w14:textId="77777777" w:rsidR="00D91861" w:rsidRDefault="00D91861" w:rsidP="00D91861">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7FC8E72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En la preparación de los estados financieros, la Administración es responsable de evaluar la capacidad de la Compañía de continuar como negocio en marcha </w:t>
      </w:r>
      <w:r>
        <w:rPr>
          <w:rFonts w:ascii="Verdana" w:hAnsi="Verdana" w:cs="OpenSans-Light"/>
          <w:color w:val="000000"/>
          <w:sz w:val="21"/>
          <w:szCs w:val="21"/>
          <w:lang w:val="es-EC" w:eastAsia="es-EC"/>
        </w:rPr>
        <w:lastRenderedPageBreak/>
        <w:t>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Auditor en relación con la Auditoria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19185FD4" w14:textId="77777777" w:rsidR="00D91861" w:rsidRDefault="00D91861" w:rsidP="00D91861">
      <w:pPr>
        <w:jc w:val="both"/>
        <w:rPr>
          <w:rFonts w:ascii="Verdana" w:hAnsi="Verdana" w:cs="Arial"/>
          <w:b/>
          <w:color w:val="000000"/>
          <w:sz w:val="21"/>
          <w:szCs w:val="21"/>
        </w:rPr>
      </w:pPr>
    </w:p>
    <w:p w14:paraId="5721041B" w14:textId="77777777" w:rsidR="00D91861" w:rsidRDefault="00D91861" w:rsidP="00D91861">
      <w:pPr>
        <w:jc w:val="both"/>
        <w:rPr>
          <w:rFonts w:ascii="Verdana" w:hAnsi="Verdana" w:cs="Arial"/>
          <w:b/>
          <w:color w:val="000000"/>
          <w:sz w:val="21"/>
          <w:szCs w:val="21"/>
        </w:rPr>
      </w:pPr>
    </w:p>
    <w:p w14:paraId="28A77393" w14:textId="77777777" w:rsidR="00D91861" w:rsidRDefault="00D91861" w:rsidP="00D91861">
      <w:pPr>
        <w:jc w:val="both"/>
        <w:rPr>
          <w:rFonts w:ascii="Verdana" w:hAnsi="Verdana" w:cs="Arial"/>
          <w:b/>
          <w:color w:val="000000"/>
          <w:sz w:val="21"/>
          <w:szCs w:val="21"/>
        </w:rPr>
      </w:pPr>
    </w:p>
    <w:p w14:paraId="3B099A3B"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7A6E9C60" w14:textId="77777777" w:rsidR="00D91861" w:rsidRDefault="00D91861"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00721201"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77777777"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555B05DC" w14:textId="77777777" w:rsidR="0040015E" w:rsidRDefault="0040015E" w:rsidP="0040015E">
      <w:pPr>
        <w:jc w:val="center"/>
        <w:rPr>
          <w:rFonts w:ascii="Verdana" w:hAnsi="Verdana" w:cs="Arial"/>
          <w:color w:val="000000"/>
          <w:sz w:val="21"/>
          <w:szCs w:val="21"/>
        </w:rPr>
      </w:pPr>
    </w:p>
    <w:p w14:paraId="1FFCBCB0" w14:textId="77777777" w:rsidR="00D91861" w:rsidRDefault="00D91861">
      <w:pPr>
        <w:spacing w:after="160" w:line="259" w:lineRule="auto"/>
      </w:pPr>
      <w:r>
        <w:br w:type="page"/>
      </w:r>
    </w:p>
    <w:p w14:paraId="3DDF77C4" w14:textId="77777777" w:rsidR="00ED2C58" w:rsidRDefault="00ED2C58" w:rsidP="00ED2C58">
      <w:pPr>
        <w:jc w:val="right"/>
        <w:rPr>
          <w:rFonts w:ascii="Verdana" w:hAnsi="Verdana" w:cs="Calibri"/>
          <w:sz w:val="21"/>
          <w:szCs w:val="21"/>
          <w:lang w:val="es-EC"/>
        </w:rPr>
      </w:pPr>
      <w:r>
        <w:rPr>
          <w:rFonts w:ascii="Verdana" w:hAnsi="Verdana" w:cs="Calibri"/>
          <w:sz w:val="21"/>
          <w:szCs w:val="21"/>
          <w:lang w:val="es-EC"/>
        </w:rPr>
        <w:lastRenderedPageBreak/>
        <w:t>ANEXO</w:t>
      </w:r>
    </w:p>
    <w:p w14:paraId="41026D26" w14:textId="77777777" w:rsidR="00ED2C58" w:rsidRDefault="00ED2C58" w:rsidP="00ED2C58">
      <w:pPr>
        <w:rPr>
          <w:rFonts w:ascii="Verdana" w:hAnsi="Verdana"/>
          <w:sz w:val="21"/>
          <w:szCs w:val="21"/>
          <w:lang w:val="es-EC"/>
        </w:rPr>
      </w:pPr>
    </w:p>
    <w:p w14:paraId="15222792"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 como parte de nuestra auditoria: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footerReference w:type="default" r:id="rId8"/>
          <w:pgSz w:w="11907" w:h="16840"/>
          <w:pgMar w:top="1418" w:right="1418" w:bottom="1418" w:left="1418" w:header="1021" w:footer="1021" w:gutter="0"/>
          <w:cols w:space="720"/>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ESTADOS DE SITUACION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9"/>
        <w:gridCol w:w="5528"/>
        <w:gridCol w:w="1418"/>
        <w:gridCol w:w="1306"/>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1"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6</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7</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8</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77A984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9</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56A7EC9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31,618</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FB5C72">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FB5C72">
        <w:tc>
          <w:tcPr>
            <w:tcW w:w="959" w:type="dxa"/>
            <w:tcBorders>
              <w:top w:val="single" w:sz="4" w:space="0" w:color="auto"/>
              <w:left w:val="nil"/>
              <w:bottom w:val="single" w:sz="4" w:space="0" w:color="auto"/>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ACTIVOS CORRIENTES</w:t>
            </w:r>
          </w:p>
        </w:tc>
        <w:tc>
          <w:tcPr>
            <w:tcW w:w="1418" w:type="dxa"/>
            <w:tcBorders>
              <w:top w:val="single" w:sz="4" w:space="0" w:color="auto"/>
              <w:left w:val="nil"/>
              <w:bottom w:val="single" w:sz="4" w:space="0" w:color="auto"/>
              <w:right w:val="nil"/>
            </w:tcBorders>
            <w:hideMark/>
          </w:tcPr>
          <w:p w14:paraId="44B3103E" w14:textId="62392E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405,798</w:t>
            </w:r>
          </w:p>
        </w:tc>
        <w:tc>
          <w:tcPr>
            <w:tcW w:w="1306" w:type="dxa"/>
            <w:tcBorders>
              <w:top w:val="single" w:sz="4" w:space="0" w:color="auto"/>
              <w:left w:val="nil"/>
              <w:bottom w:val="single" w:sz="4" w:space="0" w:color="auto"/>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FB5C72">
        <w:tc>
          <w:tcPr>
            <w:tcW w:w="959" w:type="dxa"/>
            <w:tcBorders>
              <w:top w:val="single" w:sz="4" w:space="0" w:color="auto"/>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10</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ACTIVOS</w:t>
            </w:r>
          </w:p>
        </w:tc>
        <w:tc>
          <w:tcPr>
            <w:tcW w:w="1418" w:type="dxa"/>
            <w:tcBorders>
              <w:top w:val="nil"/>
              <w:left w:val="nil"/>
              <w:bottom w:val="double" w:sz="4" w:space="0" w:color="auto"/>
              <w:right w:val="nil"/>
            </w:tcBorders>
            <w:hideMark/>
          </w:tcPr>
          <w:p w14:paraId="68CBBFD6" w14:textId="2153FCF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11</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FB5C72">
        <w:tc>
          <w:tcPr>
            <w:tcW w:w="959" w:type="dxa"/>
            <w:tcBorders>
              <w:top w:val="nil"/>
              <w:left w:val="nil"/>
              <w:bottom w:val="single" w:sz="4" w:space="0" w:color="auto"/>
              <w:right w:val="nil"/>
            </w:tcBorders>
            <w:hideMark/>
          </w:tcPr>
          <w:p w14:paraId="199C618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13</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ABBD2F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12,985</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FB5C72">
        <w:tc>
          <w:tcPr>
            <w:tcW w:w="959" w:type="dxa"/>
            <w:tcBorders>
              <w:top w:val="single" w:sz="4" w:space="0" w:color="auto"/>
              <w:left w:val="nil"/>
              <w:bottom w:val="single" w:sz="4" w:space="0" w:color="auto"/>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CORRIENTES</w:t>
            </w:r>
          </w:p>
        </w:tc>
        <w:tc>
          <w:tcPr>
            <w:tcW w:w="1418" w:type="dxa"/>
            <w:tcBorders>
              <w:top w:val="single" w:sz="4" w:space="0" w:color="auto"/>
              <w:left w:val="nil"/>
              <w:bottom w:val="single" w:sz="4" w:space="0" w:color="auto"/>
              <w:right w:val="nil"/>
            </w:tcBorders>
            <w:hideMark/>
          </w:tcPr>
          <w:p w14:paraId="07218170" w14:textId="022C0B1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99,402</w:t>
            </w:r>
          </w:p>
        </w:tc>
        <w:tc>
          <w:tcPr>
            <w:tcW w:w="1306" w:type="dxa"/>
            <w:tcBorders>
              <w:top w:val="single" w:sz="4" w:space="0" w:color="auto"/>
              <w:left w:val="nil"/>
              <w:bottom w:val="single" w:sz="4" w:space="0" w:color="auto"/>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FB5C72">
        <w:tc>
          <w:tcPr>
            <w:tcW w:w="959" w:type="dxa"/>
            <w:tcBorders>
              <w:top w:val="single" w:sz="4" w:space="0" w:color="auto"/>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FB5C72">
        <w:tc>
          <w:tcPr>
            <w:tcW w:w="959" w:type="dxa"/>
            <w:tcBorders>
              <w:top w:val="nil"/>
              <w:left w:val="nil"/>
              <w:bottom w:val="single" w:sz="4" w:space="0" w:color="auto"/>
              <w:right w:val="nil"/>
            </w:tcBorders>
            <w:hideMark/>
          </w:tcPr>
          <w:p w14:paraId="1385866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14</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FB5C72">
        <w:tc>
          <w:tcPr>
            <w:tcW w:w="959" w:type="dxa"/>
            <w:tcBorders>
              <w:top w:val="single" w:sz="4" w:space="0" w:color="auto"/>
              <w:left w:val="nil"/>
              <w:bottom w:val="single" w:sz="4" w:space="0" w:color="auto"/>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NO CORRIENTES</w:t>
            </w:r>
          </w:p>
        </w:tc>
        <w:tc>
          <w:tcPr>
            <w:tcW w:w="1418" w:type="dxa"/>
            <w:tcBorders>
              <w:top w:val="single" w:sz="4" w:space="0" w:color="auto"/>
              <w:left w:val="nil"/>
              <w:bottom w:val="single" w:sz="4" w:space="0" w:color="auto"/>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single" w:sz="4" w:space="0" w:color="auto"/>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FB5C72">
        <w:tc>
          <w:tcPr>
            <w:tcW w:w="959" w:type="dxa"/>
            <w:tcBorders>
              <w:top w:val="single" w:sz="4" w:space="0" w:color="auto"/>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w:t>
            </w:r>
          </w:p>
        </w:tc>
        <w:tc>
          <w:tcPr>
            <w:tcW w:w="1418" w:type="dxa"/>
            <w:tcBorders>
              <w:top w:val="nil"/>
              <w:left w:val="nil"/>
              <w:bottom w:val="single" w:sz="4" w:space="0" w:color="auto"/>
              <w:right w:val="nil"/>
            </w:tcBorders>
            <w:hideMark/>
          </w:tcPr>
          <w:p w14:paraId="5DD59B7C" w14:textId="6BEBD68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257,425</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15</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0837A86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540,000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FB5C72">
        <w:tc>
          <w:tcPr>
            <w:tcW w:w="959" w:type="dxa"/>
            <w:tcBorders>
              <w:top w:val="nil"/>
              <w:left w:val="nil"/>
              <w:bottom w:val="single" w:sz="4" w:space="0" w:color="auto"/>
              <w:right w:val="nil"/>
            </w:tcBorders>
          </w:tcPr>
          <w:p w14:paraId="4A169E4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457CE8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(330,567)</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PATRIMONIO DE LOS ACCIONISTAS</w:t>
            </w:r>
          </w:p>
        </w:tc>
        <w:tc>
          <w:tcPr>
            <w:tcW w:w="1418" w:type="dxa"/>
            <w:tcBorders>
              <w:top w:val="single" w:sz="4" w:space="0" w:color="auto"/>
              <w:left w:val="nil"/>
              <w:bottom w:val="nil"/>
              <w:right w:val="nil"/>
            </w:tcBorders>
            <w:hideMark/>
          </w:tcPr>
          <w:p w14:paraId="6252C900" w14:textId="3B8F660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239,433</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22AA0C1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1"/>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2"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2"/>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5248"/>
        <w:gridCol w:w="1554"/>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16,23</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132843">
        <w:tc>
          <w:tcPr>
            <w:tcW w:w="956" w:type="dxa"/>
            <w:tcBorders>
              <w:top w:val="nil"/>
              <w:left w:val="nil"/>
              <w:bottom w:val="single" w:sz="4" w:space="0" w:color="auto"/>
              <w:right w:val="nil"/>
            </w:tcBorders>
            <w:hideMark/>
          </w:tcPr>
          <w:p w14:paraId="10A5927C"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17,23</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08D9F8D7"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1B41C6">
              <w:rPr>
                <w:rFonts w:ascii="Verdana" w:hAnsi="Verdana" w:cs="Arial"/>
                <w:bCs/>
                <w:color w:val="000000"/>
                <w:sz w:val="20"/>
                <w:szCs w:val="20"/>
              </w:rPr>
              <w:t>85,219)</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132843">
        <w:tc>
          <w:tcPr>
            <w:tcW w:w="956" w:type="dxa"/>
            <w:tcBorders>
              <w:top w:val="single" w:sz="4" w:space="0" w:color="auto"/>
              <w:left w:val="nil"/>
              <w:bottom w:val="single" w:sz="4" w:space="0" w:color="auto"/>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single" w:sz="4" w:space="0" w:color="auto"/>
              <w:right w:val="nil"/>
            </w:tcBorders>
            <w:hideMark/>
          </w:tcPr>
          <w:p w14:paraId="6A658E87" w14:textId="33F37262"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5,206</w:t>
            </w:r>
            <w:r>
              <w:rPr>
                <w:rFonts w:ascii="Verdana" w:hAnsi="Verdana" w:cs="Arial"/>
                <w:b/>
                <w:color w:val="000000"/>
                <w:sz w:val="20"/>
                <w:szCs w:val="20"/>
              </w:rPr>
              <w:t>)</w:t>
            </w:r>
          </w:p>
        </w:tc>
        <w:tc>
          <w:tcPr>
            <w:tcW w:w="1441" w:type="dxa"/>
            <w:tcBorders>
              <w:top w:val="single" w:sz="4" w:space="0" w:color="auto"/>
              <w:left w:val="nil"/>
              <w:bottom w:val="single" w:sz="4" w:space="0" w:color="auto"/>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132843">
        <w:tc>
          <w:tcPr>
            <w:tcW w:w="956" w:type="dxa"/>
            <w:tcBorders>
              <w:top w:val="single" w:sz="4" w:space="0" w:color="auto"/>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132843">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6F7EC8B2"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(157,364)</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132843">
        <w:tc>
          <w:tcPr>
            <w:tcW w:w="956" w:type="dxa"/>
            <w:tcBorders>
              <w:top w:val="single" w:sz="4" w:space="0" w:color="auto"/>
              <w:left w:val="nil"/>
              <w:bottom w:val="single" w:sz="4" w:space="0" w:color="auto"/>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0F30003"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OPERACIONAL</w:t>
            </w:r>
          </w:p>
        </w:tc>
        <w:tc>
          <w:tcPr>
            <w:tcW w:w="1554" w:type="dxa"/>
            <w:tcBorders>
              <w:top w:val="single" w:sz="4" w:space="0" w:color="auto"/>
              <w:left w:val="nil"/>
              <w:bottom w:val="single" w:sz="4" w:space="0" w:color="auto"/>
              <w:right w:val="nil"/>
            </w:tcBorders>
            <w:hideMark/>
          </w:tcPr>
          <w:p w14:paraId="65545E03" w14:textId="7FB3FA35"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72,570</w:t>
            </w:r>
            <w:r>
              <w:rPr>
                <w:rFonts w:ascii="Verdana" w:hAnsi="Verdana" w:cs="Arial"/>
                <w:b/>
                <w:color w:val="000000"/>
                <w:sz w:val="20"/>
                <w:szCs w:val="20"/>
              </w:rPr>
              <w:t>)</w:t>
            </w:r>
          </w:p>
        </w:tc>
        <w:tc>
          <w:tcPr>
            <w:tcW w:w="1441" w:type="dxa"/>
            <w:tcBorders>
              <w:top w:val="single" w:sz="4" w:space="0" w:color="auto"/>
              <w:left w:val="nil"/>
              <w:bottom w:val="single" w:sz="4" w:space="0" w:color="auto"/>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132843">
        <w:tc>
          <w:tcPr>
            <w:tcW w:w="956" w:type="dxa"/>
            <w:tcBorders>
              <w:top w:val="single" w:sz="4" w:space="0" w:color="auto"/>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132843">
        <w:tc>
          <w:tcPr>
            <w:tcW w:w="956" w:type="dxa"/>
            <w:tcBorders>
              <w:top w:val="single" w:sz="4" w:space="0" w:color="auto"/>
              <w:left w:val="nil"/>
              <w:bottom w:val="nil"/>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nil"/>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nil"/>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0AEE2C4D" w14:textId="77777777" w:rsidTr="00132843">
        <w:tc>
          <w:tcPr>
            <w:tcW w:w="956" w:type="dxa"/>
            <w:tcBorders>
              <w:top w:val="nil"/>
              <w:left w:val="nil"/>
              <w:bottom w:val="single" w:sz="4" w:space="0" w:color="auto"/>
              <w:right w:val="nil"/>
            </w:tcBorders>
          </w:tcPr>
          <w:p w14:paraId="0B302F4C"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tcPr>
          <w:p w14:paraId="52932F5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single" w:sz="4" w:space="0" w:color="auto"/>
              <w:right w:val="nil"/>
            </w:tcBorders>
          </w:tcPr>
          <w:p w14:paraId="738B969C"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tcPr>
          <w:p w14:paraId="4D1DCA7E"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3D44EE8" w14:textId="77777777" w:rsidTr="00132843">
        <w:tc>
          <w:tcPr>
            <w:tcW w:w="956" w:type="dxa"/>
            <w:tcBorders>
              <w:top w:val="single" w:sz="4" w:space="0" w:color="auto"/>
              <w:left w:val="nil"/>
              <w:bottom w:val="single" w:sz="4" w:space="0" w:color="auto"/>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4DB2C8B6" w14:textId="77777777"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UTILIDAD (P</w:t>
            </w:r>
            <w:r w:rsidRPr="00E65CC1">
              <w:rPr>
                <w:rFonts w:ascii="Verdana" w:hAnsi="Verdana" w:cs="Arial"/>
                <w:b/>
                <w:color w:val="000000"/>
                <w:sz w:val="20"/>
                <w:szCs w:val="20"/>
              </w:rPr>
              <w:t>É</w:t>
            </w:r>
            <w:r w:rsidRPr="00E65CC1">
              <w:rPr>
                <w:rFonts w:ascii="Verdana" w:hAnsi="Verdana" w:cs="Arial"/>
                <w:b/>
                <w:color w:val="000000"/>
                <w:sz w:val="18"/>
                <w:szCs w:val="18"/>
              </w:rPr>
              <w:t>RDIDA) ANTES DE PARTICIPACIÓN DE TRABAJADORES E IMPUESTO A LA RENTA</w:t>
            </w:r>
          </w:p>
        </w:tc>
        <w:tc>
          <w:tcPr>
            <w:tcW w:w="1554" w:type="dxa"/>
            <w:tcBorders>
              <w:top w:val="single" w:sz="4" w:space="0" w:color="auto"/>
              <w:left w:val="nil"/>
              <w:bottom w:val="single" w:sz="4" w:space="0" w:color="auto"/>
              <w:right w:val="nil"/>
            </w:tcBorders>
            <w:hideMark/>
          </w:tcPr>
          <w:p w14:paraId="5ECADF7B" w14:textId="382BBEFB"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(173,187)</w:t>
            </w:r>
          </w:p>
        </w:tc>
        <w:tc>
          <w:tcPr>
            <w:tcW w:w="1441" w:type="dxa"/>
            <w:tcBorders>
              <w:top w:val="single" w:sz="4" w:space="0" w:color="auto"/>
              <w:left w:val="nil"/>
              <w:bottom w:val="single" w:sz="4" w:space="0" w:color="auto"/>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132843">
        <w:tc>
          <w:tcPr>
            <w:tcW w:w="956" w:type="dxa"/>
            <w:tcBorders>
              <w:top w:val="single" w:sz="4" w:space="0" w:color="auto"/>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7ABE576E" w14:textId="77777777" w:rsidTr="00132843">
        <w:tc>
          <w:tcPr>
            <w:tcW w:w="956" w:type="dxa"/>
            <w:tcBorders>
              <w:top w:val="nil"/>
              <w:left w:val="nil"/>
              <w:bottom w:val="nil"/>
              <w:right w:val="nil"/>
            </w:tcBorders>
          </w:tcPr>
          <w:p w14:paraId="38B46A3A"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7C5C141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15% Participación de trabajadores</w:t>
            </w:r>
          </w:p>
        </w:tc>
        <w:tc>
          <w:tcPr>
            <w:tcW w:w="1554" w:type="dxa"/>
            <w:tcBorders>
              <w:top w:val="nil"/>
              <w:left w:val="nil"/>
              <w:bottom w:val="nil"/>
              <w:right w:val="nil"/>
            </w:tcBorders>
            <w:hideMark/>
          </w:tcPr>
          <w:p w14:paraId="737C0BE6" w14:textId="2D2BF45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nil"/>
              <w:right w:val="nil"/>
            </w:tcBorders>
            <w:hideMark/>
          </w:tcPr>
          <w:p w14:paraId="78E16A77" w14:textId="6DD4FBD8" w:rsidR="007C256A"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0</w:t>
            </w: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77777777" w:rsidR="007C256A" w:rsidRPr="00E65CC1" w:rsidRDefault="007C256A" w:rsidP="007C256A">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77777777"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NETA DEL EJERCICIO</w:t>
            </w:r>
          </w:p>
        </w:tc>
        <w:tc>
          <w:tcPr>
            <w:tcW w:w="1554" w:type="dxa"/>
            <w:tcBorders>
              <w:top w:val="single" w:sz="4" w:space="0" w:color="auto"/>
              <w:left w:val="nil"/>
              <w:bottom w:val="double" w:sz="4" w:space="0" w:color="auto"/>
              <w:right w:val="nil"/>
            </w:tcBorders>
            <w:hideMark/>
          </w:tcPr>
          <w:p w14:paraId="1EA71939" w14:textId="7C52A0D6"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(173,187)</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3"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3"/>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4"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4"/>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3"/>
        <w:gridCol w:w="1272"/>
        <w:gridCol w:w="236"/>
        <w:gridCol w:w="1150"/>
        <w:gridCol w:w="236"/>
        <w:gridCol w:w="1267"/>
        <w:gridCol w:w="244"/>
        <w:gridCol w:w="1534"/>
        <w:gridCol w:w="1289"/>
        <w:gridCol w:w="302"/>
        <w:gridCol w:w="1546"/>
        <w:gridCol w:w="283"/>
        <w:gridCol w:w="1156"/>
      </w:tblGrid>
      <w:tr w:rsidR="00212B06" w:rsidRPr="00212B06" w14:paraId="6CC460C9" w14:textId="77777777" w:rsidTr="008C3ECB">
        <w:trPr>
          <w:trHeight w:val="261"/>
        </w:trPr>
        <w:tc>
          <w:tcPr>
            <w:tcW w:w="3933"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6"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289"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2"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3"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8C3ECB">
        <w:trPr>
          <w:trHeight w:val="279"/>
        </w:trPr>
        <w:tc>
          <w:tcPr>
            <w:tcW w:w="3933"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hideMark/>
          </w:tcPr>
          <w:p w14:paraId="5E3E63EC"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15)</w:t>
            </w:r>
          </w:p>
        </w:tc>
        <w:tc>
          <w:tcPr>
            <w:tcW w:w="236"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hideMark/>
          </w:tcPr>
          <w:p w14:paraId="64ECF7EB"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tcBorders>
              <w:top w:val="nil"/>
              <w:left w:val="nil"/>
              <w:bottom w:val="nil"/>
              <w:right w:val="nil"/>
            </w:tcBorders>
          </w:tcPr>
          <w:p w14:paraId="71EFE934"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hideMark/>
          </w:tcPr>
          <w:p w14:paraId="739BD50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4)</w:t>
            </w:r>
          </w:p>
        </w:tc>
        <w:tc>
          <w:tcPr>
            <w:tcW w:w="283"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8C3ECB">
        <w:trPr>
          <w:trHeight w:val="279"/>
        </w:trPr>
        <w:tc>
          <w:tcPr>
            <w:tcW w:w="3933"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289"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8C3ECB">
        <w:trPr>
          <w:trHeight w:val="279"/>
        </w:trPr>
        <w:tc>
          <w:tcPr>
            <w:tcW w:w="3933"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2"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vAlign w:val="bottom"/>
            <w:hideMark/>
          </w:tcPr>
          <w:p w14:paraId="29A938D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89" w:type="dxa"/>
            <w:tcBorders>
              <w:top w:val="nil"/>
              <w:left w:val="nil"/>
              <w:bottom w:val="single" w:sz="4" w:space="0" w:color="auto"/>
              <w:right w:val="nil"/>
            </w:tcBorders>
            <w:hideMark/>
          </w:tcPr>
          <w:p w14:paraId="3C342ED2"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4,322</w:t>
            </w:r>
          </w:p>
        </w:tc>
        <w:tc>
          <w:tcPr>
            <w:tcW w:w="302"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8C3ECB">
        <w:trPr>
          <w:trHeight w:val="261"/>
        </w:trPr>
        <w:tc>
          <w:tcPr>
            <w:tcW w:w="3933"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8C3ECB">
        <w:trPr>
          <w:trHeight w:val="279"/>
        </w:trPr>
        <w:tc>
          <w:tcPr>
            <w:tcW w:w="3933"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2"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89"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8C3ECB">
        <w:trPr>
          <w:trHeight w:val="261"/>
        </w:trPr>
        <w:tc>
          <w:tcPr>
            <w:tcW w:w="3933" w:type="dxa"/>
            <w:tcBorders>
              <w:top w:val="nil"/>
              <w:left w:val="nil"/>
              <w:bottom w:val="nil"/>
              <w:right w:val="nil"/>
            </w:tcBorders>
          </w:tcPr>
          <w:p w14:paraId="664A898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vehículos (Nota 4)</w:t>
            </w:r>
          </w:p>
        </w:tc>
        <w:tc>
          <w:tcPr>
            <w:tcW w:w="1272"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00C61435"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r>
      <w:tr w:rsidR="00212B06" w:rsidRPr="00212B06" w14:paraId="7F5BFD6B" w14:textId="77777777" w:rsidTr="008C3ECB">
        <w:trPr>
          <w:trHeight w:val="279"/>
        </w:trPr>
        <w:tc>
          <w:tcPr>
            <w:tcW w:w="3933"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2"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tcBorders>
              <w:top w:val="nil"/>
              <w:left w:val="nil"/>
              <w:bottom w:val="single" w:sz="4" w:space="0" w:color="auto"/>
              <w:right w:val="nil"/>
            </w:tcBorders>
            <w:hideMark/>
          </w:tcPr>
          <w:p w14:paraId="0BBB0F18" w14:textId="77777777" w:rsid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single" w:sz="4" w:space="0" w:color="auto"/>
              <w:right w:val="nil"/>
            </w:tcBorders>
            <w:hideMark/>
          </w:tcPr>
          <w:p w14:paraId="355FD947" w14:textId="77777777" w:rsid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8C3ECB">
        <w:trPr>
          <w:trHeight w:val="261"/>
        </w:trPr>
        <w:tc>
          <w:tcPr>
            <w:tcW w:w="3933" w:type="dxa"/>
            <w:tcBorders>
              <w:top w:val="single" w:sz="4" w:space="0" w:color="auto"/>
              <w:left w:val="nil"/>
              <w:bottom w:val="single" w:sz="4" w:space="0" w:color="auto"/>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2" w:type="dxa"/>
            <w:tcBorders>
              <w:top w:val="single" w:sz="4" w:space="0" w:color="auto"/>
              <w:left w:val="nil"/>
              <w:bottom w:val="single" w:sz="4" w:space="0" w:color="auto"/>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single" w:sz="4" w:space="0" w:color="auto"/>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single" w:sz="4" w:space="0" w:color="auto"/>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single" w:sz="4" w:space="0" w:color="auto"/>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single" w:sz="4" w:space="0" w:color="auto"/>
              <w:right w:val="nil"/>
            </w:tcBorders>
            <w:vAlign w:val="bottom"/>
            <w:hideMark/>
          </w:tcPr>
          <w:p w14:paraId="1DB3F945"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single" w:sz="4" w:space="0" w:color="auto"/>
              <w:left w:val="nil"/>
              <w:bottom w:val="single" w:sz="4" w:space="0" w:color="auto"/>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single" w:sz="4" w:space="0" w:color="auto"/>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89" w:type="dxa"/>
            <w:tcBorders>
              <w:top w:val="single" w:sz="4" w:space="0" w:color="auto"/>
              <w:left w:val="nil"/>
              <w:bottom w:val="single" w:sz="4" w:space="0" w:color="auto"/>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2" w:type="dxa"/>
            <w:tcBorders>
              <w:top w:val="single" w:sz="4" w:space="0" w:color="auto"/>
              <w:left w:val="nil"/>
              <w:bottom w:val="single" w:sz="4" w:space="0" w:color="auto"/>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single" w:sz="4" w:space="0" w:color="auto"/>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single" w:sz="4" w:space="0" w:color="auto"/>
              <w:left w:val="nil"/>
              <w:bottom w:val="single" w:sz="4" w:space="0" w:color="auto"/>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single" w:sz="4" w:space="0" w:color="auto"/>
              <w:right w:val="nil"/>
            </w:tcBorders>
            <w:vAlign w:val="bottom"/>
            <w:hideMark/>
          </w:tcPr>
          <w:p w14:paraId="0971A4D2" w14:textId="77777777" w:rsidR="00212B06" w:rsidRPr="00212B06" w:rsidRDefault="00031A5A" w:rsidP="00031A5A">
            <w:pPr>
              <w:tabs>
                <w:tab w:val="left" w:pos="3960"/>
              </w:tabs>
              <w:jc w:val="right"/>
              <w:rPr>
                <w:rFonts w:ascii="Verdana" w:hAnsi="Verdana" w:cs="Arial"/>
                <w:color w:val="000000"/>
                <w:sz w:val="18"/>
                <w:szCs w:val="18"/>
              </w:rPr>
            </w:pPr>
            <w:r>
              <w:rPr>
                <w:rFonts w:ascii="Verdana" w:hAnsi="Verdana" w:cs="Arial"/>
                <w:color w:val="000000"/>
                <w:sz w:val="18"/>
                <w:szCs w:val="18"/>
              </w:rPr>
              <w:t xml:space="preserve">   412,620</w:t>
            </w:r>
          </w:p>
        </w:tc>
      </w:tr>
      <w:tr w:rsidR="00212B06" w:rsidRPr="00212B06" w14:paraId="21ECAD89" w14:textId="77777777" w:rsidTr="008C3ECB">
        <w:trPr>
          <w:trHeight w:val="261"/>
        </w:trPr>
        <w:tc>
          <w:tcPr>
            <w:tcW w:w="3933" w:type="dxa"/>
            <w:tcBorders>
              <w:top w:val="single" w:sz="4" w:space="0" w:color="auto"/>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8C3ECB">
        <w:trPr>
          <w:trHeight w:val="261"/>
        </w:trPr>
        <w:tc>
          <w:tcPr>
            <w:tcW w:w="3933" w:type="dxa"/>
            <w:tcBorders>
              <w:top w:val="nil"/>
              <w:left w:val="nil"/>
              <w:bottom w:val="nil"/>
              <w:right w:val="nil"/>
            </w:tcBorders>
            <w:hideMark/>
          </w:tcPr>
          <w:p w14:paraId="0FCA1BE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2"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vAlign w:val="bottom"/>
            <w:hideMark/>
          </w:tcPr>
          <w:p w14:paraId="0EC897A0" w14:textId="137D75DC" w:rsidR="00212B06" w:rsidRPr="00212B06" w:rsidRDefault="008962DB" w:rsidP="008962DB">
            <w:pPr>
              <w:tabs>
                <w:tab w:val="left" w:pos="3960"/>
              </w:tabs>
              <w:rPr>
                <w:rFonts w:ascii="Verdana" w:hAnsi="Verdana" w:cs="Arial"/>
                <w:color w:val="000000"/>
                <w:sz w:val="18"/>
                <w:szCs w:val="18"/>
              </w:rPr>
            </w:pPr>
            <w:r>
              <w:rPr>
                <w:rFonts w:ascii="Verdana" w:hAnsi="Verdana" w:cs="Arial"/>
                <w:color w:val="000000"/>
                <w:sz w:val="18"/>
                <w:szCs w:val="18"/>
              </w:rPr>
              <w:t>(173,187)</w:t>
            </w:r>
          </w:p>
        </w:tc>
        <w:tc>
          <w:tcPr>
            <w:tcW w:w="1289"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vAlign w:val="bottom"/>
            <w:hideMark/>
          </w:tcPr>
          <w:p w14:paraId="45CBDAA1" w14:textId="12F23E97"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(173,187)</w:t>
            </w:r>
          </w:p>
        </w:tc>
      </w:tr>
      <w:tr w:rsidR="00212B06" w:rsidRPr="00212B06" w14:paraId="1850EBE3" w14:textId="77777777" w:rsidTr="008C3ECB">
        <w:trPr>
          <w:trHeight w:val="261"/>
        </w:trPr>
        <w:tc>
          <w:tcPr>
            <w:tcW w:w="3933" w:type="dxa"/>
            <w:tcBorders>
              <w:top w:val="nil"/>
              <w:left w:val="nil"/>
              <w:bottom w:val="nil"/>
              <w:right w:val="nil"/>
            </w:tcBorders>
            <w:hideMark/>
          </w:tcPr>
          <w:p w14:paraId="30A07353" w14:textId="50AEFC3C" w:rsidR="00132843" w:rsidRDefault="00132843" w:rsidP="00212B06">
            <w:pPr>
              <w:tabs>
                <w:tab w:val="left" w:pos="3960"/>
              </w:tabs>
              <w:jc w:val="both"/>
              <w:rPr>
                <w:rFonts w:ascii="Verdana" w:hAnsi="Verdana" w:cs="Arial"/>
                <w:color w:val="000000"/>
                <w:sz w:val="18"/>
                <w:szCs w:val="18"/>
              </w:rPr>
            </w:pPr>
            <w:r>
              <w:rPr>
                <w:rFonts w:ascii="Verdana" w:hAnsi="Verdana" w:cs="Arial"/>
                <w:color w:val="000000"/>
                <w:sz w:val="18"/>
                <w:szCs w:val="18"/>
              </w:rPr>
              <w:t>Otro resultado integral</w:t>
            </w:r>
          </w:p>
          <w:p w14:paraId="65638162" w14:textId="11421EB3"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Otros</w:t>
            </w:r>
          </w:p>
        </w:tc>
        <w:tc>
          <w:tcPr>
            <w:tcW w:w="1272" w:type="dxa"/>
            <w:tcBorders>
              <w:top w:val="nil"/>
              <w:left w:val="nil"/>
              <w:bottom w:val="nil"/>
              <w:right w:val="nil"/>
            </w:tcBorders>
            <w:vAlign w:val="bottom"/>
          </w:tcPr>
          <w:p w14:paraId="35678AB5"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60411021"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14:paraId="3B149BA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20A525F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14:paraId="7AAD96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70754655"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vAlign w:val="bottom"/>
          </w:tcPr>
          <w:p w14:paraId="5E182430"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nil"/>
              <w:right w:val="nil"/>
            </w:tcBorders>
            <w:hideMark/>
          </w:tcPr>
          <w:p w14:paraId="5F31224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7AFCB34A" w14:textId="77777777" w:rsidR="00212B06" w:rsidRPr="00212B06" w:rsidRDefault="00212B06" w:rsidP="00212B06">
            <w:pPr>
              <w:tabs>
                <w:tab w:val="left" w:pos="3960"/>
              </w:tabs>
              <w:rPr>
                <w:rFonts w:ascii="Verdana" w:hAnsi="Verdana" w:cs="Arial"/>
                <w:color w:val="000000"/>
                <w:sz w:val="18"/>
                <w:szCs w:val="18"/>
              </w:rPr>
            </w:pPr>
          </w:p>
        </w:tc>
        <w:tc>
          <w:tcPr>
            <w:tcW w:w="1546" w:type="dxa"/>
            <w:tcBorders>
              <w:top w:val="nil"/>
              <w:left w:val="nil"/>
              <w:bottom w:val="nil"/>
              <w:right w:val="nil"/>
            </w:tcBorders>
            <w:vAlign w:val="bottom"/>
          </w:tcPr>
          <w:p w14:paraId="4B77123F"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3203D82C"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vAlign w:val="bottom"/>
            <w:hideMark/>
          </w:tcPr>
          <w:p w14:paraId="5888EF4B"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4AC264EC" w14:textId="77777777" w:rsidTr="008C3ECB">
        <w:trPr>
          <w:trHeight w:val="261"/>
        </w:trPr>
        <w:tc>
          <w:tcPr>
            <w:tcW w:w="3933"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8C3ECB">
        <w:trPr>
          <w:trHeight w:val="261"/>
        </w:trPr>
        <w:tc>
          <w:tcPr>
            <w:tcW w:w="3933"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2"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6"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6"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double" w:sz="4" w:space="0" w:color="auto"/>
              <w:right w:val="nil"/>
            </w:tcBorders>
            <w:vAlign w:val="bottom"/>
            <w:hideMark/>
          </w:tcPr>
          <w:p w14:paraId="09E570EA" w14:textId="6BA9BCB6"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540,000</w:t>
            </w:r>
          </w:p>
        </w:tc>
        <w:tc>
          <w:tcPr>
            <w:tcW w:w="244"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double" w:sz="4" w:space="0" w:color="auto"/>
              <w:right w:val="nil"/>
            </w:tcBorders>
            <w:vAlign w:val="bottom"/>
            <w:hideMark/>
          </w:tcPr>
          <w:p w14:paraId="4CB6DB96" w14:textId="3655A75D"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(370,141)</w:t>
            </w:r>
          </w:p>
        </w:tc>
        <w:tc>
          <w:tcPr>
            <w:tcW w:w="1289" w:type="dxa"/>
            <w:tcBorders>
              <w:top w:val="nil"/>
              <w:left w:val="nil"/>
              <w:bottom w:val="double" w:sz="4" w:space="0" w:color="auto"/>
              <w:right w:val="nil"/>
            </w:tcBorders>
            <w:hideMark/>
          </w:tcPr>
          <w:p w14:paraId="1E12F371" w14:textId="3DC76F6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2"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double" w:sz="4" w:space="0" w:color="auto"/>
              <w:right w:val="nil"/>
            </w:tcBorders>
            <w:vAlign w:val="bottom"/>
            <w:hideMark/>
          </w:tcPr>
          <w:p w14:paraId="656BFA6D" w14:textId="7B2019F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239,433</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77777777" w:rsidR="00212B06" w:rsidRPr="00212B06" w:rsidRDefault="00212B06" w:rsidP="00212B06">
      <w:pPr>
        <w:spacing w:line="256" w:lineRule="auto"/>
        <w:jc w:val="center"/>
        <w:rPr>
          <w:rFonts w:ascii="Calibri" w:eastAsia="Calibri" w:hAnsi="Calibri"/>
          <w:sz w:val="22"/>
          <w:szCs w:val="22"/>
          <w:lang w:val="es-EC" w:eastAsia="en-US"/>
        </w:rPr>
      </w:pPr>
    </w:p>
    <w:p w14:paraId="00163E68" w14:textId="77777777" w:rsidR="00AB71CC" w:rsidRDefault="00AB71CC" w:rsidP="00AB71CC">
      <w:pPr>
        <w:pBdr>
          <w:bottom w:val="single" w:sz="4" w:space="1" w:color="auto"/>
        </w:pBdr>
        <w:tabs>
          <w:tab w:val="left" w:pos="3960"/>
        </w:tabs>
        <w:jc w:val="both"/>
        <w:rPr>
          <w:rFonts w:ascii="Verdana" w:hAnsi="Verdana" w:cs="Arial"/>
          <w:color w:val="000000"/>
          <w:sz w:val="18"/>
          <w:szCs w:val="18"/>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5"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9796" w:type="dxa"/>
        <w:tblInd w:w="-635"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763"/>
        <w:gridCol w:w="1701"/>
        <w:gridCol w:w="1466"/>
      </w:tblGrid>
      <w:tr w:rsidR="00B72D3E" w:rsidRPr="008962DB" w14:paraId="271924C1" w14:textId="77777777" w:rsidTr="00B72D3E">
        <w:tc>
          <w:tcPr>
            <w:tcW w:w="866" w:type="dxa"/>
            <w:tcBorders>
              <w:top w:val="nil"/>
              <w:left w:val="nil"/>
              <w:bottom w:val="nil"/>
              <w:right w:val="nil"/>
            </w:tcBorders>
            <w:hideMark/>
          </w:tcPr>
          <w:bookmarkEnd w:id="5"/>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763"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701"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66"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B72D3E">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763"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66"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B72D3E">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701"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66"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B72D3E">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701" w:type="dxa"/>
            <w:tcBorders>
              <w:top w:val="nil"/>
              <w:left w:val="nil"/>
              <w:bottom w:val="nil"/>
              <w:right w:val="nil"/>
            </w:tcBorders>
          </w:tcPr>
          <w:p w14:paraId="0429CDD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B72D3E">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0B1D979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p>
        </w:tc>
        <w:tc>
          <w:tcPr>
            <w:tcW w:w="1701" w:type="dxa"/>
            <w:tcBorders>
              <w:top w:val="nil"/>
              <w:left w:val="nil"/>
              <w:bottom w:val="nil"/>
              <w:right w:val="nil"/>
            </w:tcBorders>
            <w:hideMark/>
          </w:tcPr>
          <w:p w14:paraId="094D7EF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D0D381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(1,061,851)</w:t>
            </w:r>
          </w:p>
        </w:tc>
      </w:tr>
      <w:tr w:rsidR="00B72D3E" w14:paraId="6B361C22" w14:textId="77777777" w:rsidTr="00B72D3E">
        <w:tc>
          <w:tcPr>
            <w:tcW w:w="866" w:type="dxa"/>
            <w:tcBorders>
              <w:top w:val="nil"/>
              <w:left w:val="nil"/>
              <w:bottom w:val="nil"/>
              <w:right w:val="nil"/>
            </w:tcBorders>
          </w:tcPr>
          <w:p w14:paraId="029997C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59616F6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trabajadores</w:t>
            </w:r>
          </w:p>
        </w:tc>
        <w:tc>
          <w:tcPr>
            <w:tcW w:w="1701" w:type="dxa"/>
            <w:tcBorders>
              <w:top w:val="nil"/>
              <w:left w:val="nil"/>
              <w:bottom w:val="nil"/>
              <w:right w:val="nil"/>
            </w:tcBorders>
            <w:hideMark/>
          </w:tcPr>
          <w:p w14:paraId="09FBE41F"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1F6B1CA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(186,099)</w:t>
            </w:r>
          </w:p>
        </w:tc>
      </w:tr>
      <w:tr w:rsidR="00B72D3E" w14:paraId="540035E7" w14:textId="77777777" w:rsidTr="00B72D3E">
        <w:tc>
          <w:tcPr>
            <w:tcW w:w="866" w:type="dxa"/>
            <w:tcBorders>
              <w:top w:val="nil"/>
              <w:left w:val="nil"/>
              <w:bottom w:val="single" w:sz="4" w:space="0" w:color="auto"/>
              <w:right w:val="nil"/>
            </w:tcBorders>
            <w:hideMark/>
          </w:tcPr>
          <w:p w14:paraId="15E247C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22</w:t>
            </w:r>
          </w:p>
        </w:tc>
        <w:tc>
          <w:tcPr>
            <w:tcW w:w="5763"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701" w:type="dxa"/>
            <w:tcBorders>
              <w:top w:val="nil"/>
              <w:left w:val="nil"/>
              <w:bottom w:val="single" w:sz="4" w:space="0" w:color="auto"/>
              <w:right w:val="nil"/>
            </w:tcBorders>
            <w:hideMark/>
          </w:tcPr>
          <w:p w14:paraId="02E4BF69"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B72D3E">
        <w:tc>
          <w:tcPr>
            <w:tcW w:w="866" w:type="dxa"/>
            <w:tcBorders>
              <w:top w:val="single" w:sz="4" w:space="0" w:color="auto"/>
              <w:left w:val="nil"/>
              <w:bottom w:val="single" w:sz="4" w:space="0" w:color="auto"/>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701" w:type="dxa"/>
            <w:tcBorders>
              <w:top w:val="single" w:sz="4" w:space="0" w:color="auto"/>
              <w:left w:val="nil"/>
              <w:bottom w:val="single" w:sz="4" w:space="0" w:color="auto"/>
              <w:right w:val="nil"/>
            </w:tcBorders>
            <w:hideMark/>
          </w:tcPr>
          <w:p w14:paraId="4DE4277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44CBD3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43,100</w:t>
            </w:r>
          </w:p>
        </w:tc>
      </w:tr>
      <w:tr w:rsidR="00B72D3E" w14:paraId="7999F591" w14:textId="77777777" w:rsidTr="00B72D3E">
        <w:tc>
          <w:tcPr>
            <w:tcW w:w="866" w:type="dxa"/>
            <w:tcBorders>
              <w:top w:val="single" w:sz="4" w:space="0" w:color="auto"/>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B72D3E">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701"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B72D3E">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763"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701"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B72D3E">
        <w:tc>
          <w:tcPr>
            <w:tcW w:w="866" w:type="dxa"/>
            <w:tcBorders>
              <w:top w:val="single" w:sz="4" w:space="0" w:color="auto"/>
              <w:left w:val="nil"/>
              <w:bottom w:val="single" w:sz="4" w:space="0" w:color="auto"/>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701" w:type="dxa"/>
            <w:tcBorders>
              <w:top w:val="single" w:sz="4" w:space="0" w:color="auto"/>
              <w:left w:val="nil"/>
              <w:bottom w:val="single" w:sz="4" w:space="0" w:color="auto"/>
              <w:right w:val="nil"/>
            </w:tcBorders>
            <w:hideMark/>
          </w:tcPr>
          <w:p w14:paraId="120C46D4"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B72D3E">
        <w:tc>
          <w:tcPr>
            <w:tcW w:w="866" w:type="dxa"/>
            <w:tcBorders>
              <w:top w:val="single" w:sz="4" w:space="0" w:color="auto"/>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B72D3E">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701"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B72D3E">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701"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B72D3E">
        <w:tc>
          <w:tcPr>
            <w:tcW w:w="866" w:type="dxa"/>
            <w:tcBorders>
              <w:top w:val="nil"/>
              <w:left w:val="nil"/>
              <w:bottom w:val="nil"/>
              <w:right w:val="nil"/>
            </w:tcBorders>
            <w:hideMark/>
          </w:tcPr>
          <w:p w14:paraId="0E6654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701" w:type="dxa"/>
            <w:tcBorders>
              <w:top w:val="nil"/>
              <w:left w:val="nil"/>
              <w:bottom w:val="nil"/>
              <w:right w:val="nil"/>
            </w:tcBorders>
            <w:hideMark/>
          </w:tcPr>
          <w:p w14:paraId="0005DD62"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B72D3E">
        <w:tc>
          <w:tcPr>
            <w:tcW w:w="866" w:type="dxa"/>
            <w:tcBorders>
              <w:top w:val="nil"/>
              <w:left w:val="nil"/>
              <w:bottom w:val="single" w:sz="4" w:space="0" w:color="auto"/>
              <w:right w:val="nil"/>
            </w:tcBorders>
            <w:hideMark/>
          </w:tcPr>
          <w:p w14:paraId="07676D9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single" w:sz="4" w:space="0" w:color="auto"/>
              <w:right w:val="nil"/>
            </w:tcBorders>
            <w:hideMark/>
          </w:tcPr>
          <w:p w14:paraId="25E5042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p>
        </w:tc>
        <w:tc>
          <w:tcPr>
            <w:tcW w:w="1701" w:type="dxa"/>
            <w:tcBorders>
              <w:top w:val="nil"/>
              <w:left w:val="nil"/>
              <w:bottom w:val="single" w:sz="4" w:space="0" w:color="auto"/>
              <w:right w:val="nil"/>
            </w:tcBorders>
            <w:hideMark/>
          </w:tcPr>
          <w:p w14:paraId="5DDCA654"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B72D3E">
        <w:tc>
          <w:tcPr>
            <w:tcW w:w="866" w:type="dxa"/>
            <w:tcBorders>
              <w:top w:val="single" w:sz="4" w:space="0" w:color="auto"/>
              <w:left w:val="nil"/>
              <w:bottom w:val="single" w:sz="4" w:space="0" w:color="auto"/>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0ED4777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LAS ACTIVIDADES DE FINANCIAMIENTO</w:t>
            </w:r>
          </w:p>
        </w:tc>
        <w:tc>
          <w:tcPr>
            <w:tcW w:w="1701" w:type="dxa"/>
            <w:tcBorders>
              <w:top w:val="single" w:sz="4" w:space="0" w:color="auto"/>
              <w:left w:val="nil"/>
              <w:bottom w:val="single" w:sz="4" w:space="0" w:color="auto"/>
              <w:right w:val="nil"/>
            </w:tcBorders>
            <w:hideMark/>
          </w:tcPr>
          <w:p w14:paraId="07F6AE2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B72D3E">
        <w:tc>
          <w:tcPr>
            <w:tcW w:w="866" w:type="dxa"/>
            <w:tcBorders>
              <w:top w:val="single" w:sz="4" w:space="0" w:color="auto"/>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B72D3E">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579CDB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 neto del efectivo</w:t>
            </w:r>
          </w:p>
        </w:tc>
        <w:tc>
          <w:tcPr>
            <w:tcW w:w="1701" w:type="dxa"/>
            <w:tcBorders>
              <w:top w:val="nil"/>
              <w:left w:val="nil"/>
              <w:bottom w:val="nil"/>
              <w:right w:val="nil"/>
            </w:tcBorders>
            <w:hideMark/>
          </w:tcPr>
          <w:p w14:paraId="378F907A" w14:textId="77777777" w:rsidR="00B72D3E" w:rsidRDefault="00B72D3E">
            <w:pPr>
              <w:rPr>
                <w:rFonts w:ascii="Verdana" w:hAnsi="Verdana" w:cs="Arial"/>
                <w:b/>
                <w:bCs/>
                <w:color w:val="000000"/>
                <w:sz w:val="20"/>
                <w:szCs w:val="20"/>
                <w:lang w:val="es-ES_tradnl"/>
              </w:rPr>
            </w:pPr>
          </w:p>
        </w:tc>
        <w:tc>
          <w:tcPr>
            <w:tcW w:w="1466"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B72D3E" w14:paraId="61D81BA1" w14:textId="77777777" w:rsidTr="00B72D3E">
        <w:tc>
          <w:tcPr>
            <w:tcW w:w="866" w:type="dxa"/>
            <w:tcBorders>
              <w:top w:val="nil"/>
              <w:left w:val="nil"/>
              <w:bottom w:val="nil"/>
              <w:right w:val="nil"/>
            </w:tcBorders>
            <w:hideMark/>
          </w:tcPr>
          <w:p w14:paraId="711BF2E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18</w:t>
            </w:r>
          </w:p>
        </w:tc>
        <w:tc>
          <w:tcPr>
            <w:tcW w:w="5763" w:type="dxa"/>
            <w:tcBorders>
              <w:top w:val="nil"/>
              <w:left w:val="nil"/>
              <w:bottom w:val="nil"/>
              <w:right w:val="nil"/>
            </w:tcBorders>
            <w:hideMark/>
          </w:tcPr>
          <w:p w14:paraId="58431DF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Caja y bancos al inicio del año </w:t>
            </w:r>
          </w:p>
        </w:tc>
        <w:tc>
          <w:tcPr>
            <w:tcW w:w="1701" w:type="dxa"/>
            <w:tcBorders>
              <w:top w:val="nil"/>
              <w:left w:val="nil"/>
              <w:bottom w:val="nil"/>
              <w:right w:val="nil"/>
            </w:tcBorders>
            <w:hideMark/>
          </w:tcPr>
          <w:p w14:paraId="21E1DC5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B72D3E">
        <w:tc>
          <w:tcPr>
            <w:tcW w:w="866" w:type="dxa"/>
            <w:tcBorders>
              <w:top w:val="single" w:sz="4" w:space="0" w:color="auto"/>
              <w:left w:val="nil"/>
              <w:bottom w:val="double" w:sz="4" w:space="0" w:color="auto"/>
              <w:right w:val="nil"/>
            </w:tcBorders>
            <w:hideMark/>
          </w:tcPr>
          <w:p w14:paraId="13393D3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18</w:t>
            </w:r>
          </w:p>
        </w:tc>
        <w:tc>
          <w:tcPr>
            <w:tcW w:w="5763" w:type="dxa"/>
            <w:tcBorders>
              <w:top w:val="single" w:sz="4" w:space="0" w:color="auto"/>
              <w:left w:val="nil"/>
              <w:bottom w:val="double" w:sz="4" w:space="0" w:color="auto"/>
              <w:right w:val="nil"/>
            </w:tcBorders>
            <w:hideMark/>
          </w:tcPr>
          <w:p w14:paraId="15EEC5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Caja y bancos al final del año </w:t>
            </w:r>
          </w:p>
        </w:tc>
        <w:tc>
          <w:tcPr>
            <w:tcW w:w="1701" w:type="dxa"/>
            <w:tcBorders>
              <w:top w:val="single" w:sz="4" w:space="0" w:color="auto"/>
              <w:left w:val="nil"/>
              <w:bottom w:val="double" w:sz="4" w:space="0" w:color="auto"/>
              <w:right w:val="nil"/>
            </w:tcBorders>
            <w:hideMark/>
          </w:tcPr>
          <w:p w14:paraId="042204AC" w14:textId="77777777" w:rsidR="00B72D3E" w:rsidRDefault="00B72D3E">
            <w:pPr>
              <w:rPr>
                <w:rFonts w:ascii="Verdana" w:hAnsi="Verdana" w:cs="Arial"/>
                <w:b/>
                <w:bCs/>
                <w:color w:val="000000"/>
                <w:sz w:val="20"/>
                <w:szCs w:val="20"/>
                <w:lang w:val="es-ES_tradnl"/>
              </w:rPr>
            </w:pPr>
          </w:p>
        </w:tc>
        <w:tc>
          <w:tcPr>
            <w:tcW w:w="1466"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3F04726E"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28A6C1C0" w14:textId="3261DF78"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77777777" w:rsidR="008962DB" w:rsidRPr="00AB71CC" w:rsidRDefault="008962DB" w:rsidP="00A61C8B">
      <w:pPr>
        <w:pBdr>
          <w:bottom w:val="single" w:sz="12" w:space="1" w:color="auto"/>
        </w:pBdr>
        <w:jc w:val="both"/>
        <w:rPr>
          <w:rFonts w:ascii="Verdana" w:hAnsi="Verdana" w:cs="Arial"/>
          <w:color w:val="000000"/>
          <w:sz w:val="18"/>
          <w:szCs w:val="18"/>
          <w:lang w:val="es-ES_tradnl"/>
        </w:rPr>
      </w:pP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77777777" w:rsidR="00B72D3E" w:rsidRDefault="00B72D3E" w:rsidP="00B72D3E">
      <w:pPr>
        <w:pStyle w:val="Prrafodelista"/>
        <w:numPr>
          <w:ilvl w:val="0"/>
          <w:numId w:val="4"/>
        </w:numPr>
        <w:jc w:val="both"/>
        <w:rPr>
          <w:rFonts w:ascii="Verdana" w:hAnsi="Verdana" w:cs="Calibri"/>
          <w:color w:val="000000"/>
          <w:sz w:val="21"/>
          <w:szCs w:val="21"/>
        </w:rPr>
      </w:pPr>
      <w:bookmarkStart w:id="6" w:name="_Hlk30064446"/>
      <w:r>
        <w:rPr>
          <w:rFonts w:ascii="Verdana" w:hAnsi="Verdana" w:cs="Calibri"/>
          <w:b/>
          <w:color w:val="000000"/>
          <w:sz w:val="21"/>
          <w:szCs w:val="21"/>
        </w:rPr>
        <w:t>INFORMACION GENERAL DE LA COMPAÑÍA</w:t>
      </w:r>
    </w:p>
    <w:bookmarkEnd w:id="6"/>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77EFBA0C" w14:textId="0D8F9F64" w:rsidR="00B72D3E" w:rsidRPr="00451AAD"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 mediante escritura inscrita en el Registro Mercantil el 15 de enero del 2004. </w:t>
      </w:r>
      <w:r w:rsidRPr="00451AAD">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sidRPr="00451AAD">
        <w:rPr>
          <w:rFonts w:ascii="Verdana" w:hAnsi="Verdana" w:cs="Calibri"/>
          <w:bCs/>
          <w:color w:val="000000"/>
          <w:sz w:val="21"/>
          <w:szCs w:val="21"/>
        </w:rPr>
        <w:t>Below</w:t>
      </w:r>
      <w:proofErr w:type="spellEnd"/>
      <w:r w:rsidRPr="00451AAD">
        <w:rPr>
          <w:rFonts w:ascii="Verdana" w:hAnsi="Verdana" w:cs="Calibri"/>
          <w:bCs/>
          <w:color w:val="000000"/>
          <w:sz w:val="21"/>
          <w:szCs w:val="21"/>
        </w:rPr>
        <w:t xml:space="preserve"> </w:t>
      </w:r>
      <w:proofErr w:type="spellStart"/>
      <w:r w:rsidRPr="00451AAD">
        <w:rPr>
          <w:rFonts w:ascii="Verdana" w:hAnsi="Verdana" w:cs="Calibri"/>
          <w:bCs/>
          <w:color w:val="000000"/>
          <w:sz w:val="21"/>
          <w:szCs w:val="21"/>
        </w:rPr>
        <w:t>the</w:t>
      </w:r>
      <w:proofErr w:type="spellEnd"/>
      <w:r w:rsidRPr="00451AAD">
        <w:rPr>
          <w:rFonts w:ascii="Verdana" w:hAnsi="Verdana" w:cs="Calibri"/>
          <w:bCs/>
          <w:color w:val="000000"/>
          <w:sz w:val="21"/>
          <w:szCs w:val="21"/>
        </w:rPr>
        <w:t xml:space="preserve"> Line), servicios de publicidad en actividades, promociones y campañas de mercadeo y prestación de servicios de impulso.</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48D8A066" w14:textId="42A98331" w:rsidR="005F1284" w:rsidRDefault="00B72D3E" w:rsidP="005F1284">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7"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r w:rsidR="00451AAD">
        <w:rPr>
          <w:rFonts w:ascii="Verdana" w:hAnsi="Verdana" w:cs="Calibri"/>
          <w:bCs/>
          <w:color w:val="000000"/>
          <w:sz w:val="21"/>
          <w:szCs w:val="21"/>
        </w:rPr>
        <w:t>; s</w:t>
      </w:r>
      <w:r w:rsidR="005F1284">
        <w:rPr>
          <w:rFonts w:ascii="Verdana" w:hAnsi="Verdana" w:cs="Calibri"/>
          <w:bCs/>
          <w:color w:val="000000"/>
          <w:sz w:val="21"/>
          <w:szCs w:val="21"/>
        </w:rPr>
        <w:t>i bien las vacunas siguen siendo eficaces para reducir el riesgo de padecer una forma grave de la enfermedad y muerte, no eliminan por completo el riesgo de transmisión del virus.</w:t>
      </w:r>
    </w:p>
    <w:p w14:paraId="6D535FEC" w14:textId="77777777" w:rsidR="005F1284" w:rsidRDefault="005F1284" w:rsidP="005F1284">
      <w:pPr>
        <w:pStyle w:val="Prrafodelista"/>
        <w:tabs>
          <w:tab w:val="left" w:pos="284"/>
          <w:tab w:val="left" w:pos="426"/>
          <w:tab w:val="left" w:pos="851"/>
        </w:tabs>
        <w:ind w:left="454"/>
        <w:jc w:val="both"/>
        <w:rPr>
          <w:rFonts w:ascii="Verdana" w:hAnsi="Verdana" w:cs="Calibri"/>
          <w:b/>
          <w:i/>
          <w:iCs/>
          <w:color w:val="000000"/>
          <w:sz w:val="21"/>
          <w:szCs w:val="21"/>
        </w:rPr>
      </w:pPr>
    </w:p>
    <w:bookmarkEnd w:id="7"/>
    <w:p w14:paraId="6E444E97" w14:textId="2974A2BE"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r>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6E0AA20D"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lo que se refleja en disminución de las ventas en 79% y pérdidas operacionales de US$-172 mil, resultando en una pérdida neta de US$173,187 al 31 de diciembre del 2021 (US$3,664 en el 2020). Al 31 de diciembre del 2021 y 2020 la empresa opera con 10 y 5 empleados, respectivamente</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4C82FEAA" w:rsidR="00B72D3E" w:rsidRDefault="00451AAD"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Pr>
          <w:rFonts w:ascii="Verdana" w:hAnsi="Verdana" w:cs="Calibri"/>
          <w:bCs/>
          <w:color w:val="000000"/>
          <w:sz w:val="21"/>
          <w:szCs w:val="21"/>
        </w:rPr>
        <w:tab/>
      </w:r>
      <w:r>
        <w:rPr>
          <w:rFonts w:ascii="Verdana" w:hAnsi="Verdana" w:cs="Calibri"/>
          <w:bCs/>
          <w:color w:val="000000"/>
          <w:sz w:val="21"/>
          <w:szCs w:val="21"/>
        </w:rPr>
        <w:tab/>
        <w:t>Para reducir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0B4DC7B7" w14:textId="77777777" w:rsidR="00B72D3E" w:rsidRDefault="00B72D3E" w:rsidP="00B72D3E">
      <w:pPr>
        <w:pStyle w:val="Prrafodelista"/>
        <w:ind w:left="454"/>
        <w:jc w:val="both"/>
        <w:rPr>
          <w:rFonts w:ascii="Verdana" w:hAnsi="Verdana" w:cs="Calibri"/>
          <w:b/>
          <w:color w:val="000000"/>
          <w:sz w:val="21"/>
          <w:szCs w:val="21"/>
          <w:u w:val="single"/>
        </w:rPr>
      </w:pPr>
    </w:p>
    <w:p w14:paraId="41F3682F" w14:textId="743CC32E" w:rsidR="00B72D3E" w:rsidRDefault="00451AAD" w:rsidP="00B72D3E">
      <w:pPr>
        <w:pStyle w:val="Prrafodelista"/>
        <w:tabs>
          <w:tab w:val="left" w:pos="851"/>
        </w:tabs>
        <w:ind w:left="420" w:hanging="420"/>
        <w:jc w:val="both"/>
        <w:rPr>
          <w:rFonts w:ascii="Verdana" w:hAnsi="Verdana" w:cs="Calibri"/>
          <w:b/>
          <w:color w:val="000000"/>
          <w:sz w:val="21"/>
          <w:szCs w:val="21"/>
          <w:u w:val="single"/>
        </w:rPr>
      </w:pPr>
      <w:r>
        <w:rPr>
          <w:rFonts w:ascii="Verdana" w:hAnsi="Verdana" w:cs="Calibri"/>
          <w:b/>
          <w:color w:val="000000"/>
          <w:sz w:val="21"/>
          <w:szCs w:val="21"/>
        </w:rPr>
        <w:t>c</w:t>
      </w:r>
      <w:r w:rsidR="00B72D3E">
        <w:rPr>
          <w:rFonts w:ascii="Verdana" w:hAnsi="Verdana" w:cs="Calibri"/>
          <w:b/>
          <w:color w:val="000000"/>
          <w:sz w:val="21"/>
          <w:szCs w:val="21"/>
        </w:rPr>
        <w:t>)</w:t>
      </w:r>
      <w:r w:rsidR="00B72D3E">
        <w:rPr>
          <w:rFonts w:ascii="Verdana" w:hAnsi="Verdana" w:cs="Calibri"/>
          <w:b/>
          <w:i/>
          <w:iCs/>
          <w:color w:val="000000"/>
          <w:sz w:val="21"/>
          <w:szCs w:val="21"/>
        </w:rPr>
        <w:t xml:space="preserve"> </w:t>
      </w:r>
      <w:r w:rsidR="00885D10">
        <w:rPr>
          <w:rFonts w:ascii="Verdana" w:hAnsi="Verdana" w:cs="Calibri"/>
          <w:b/>
          <w:i/>
          <w:iCs/>
          <w:color w:val="000000"/>
          <w:sz w:val="21"/>
          <w:szCs w:val="21"/>
        </w:rPr>
        <w:t xml:space="preserve"> </w:t>
      </w:r>
      <w:r w:rsidR="00B72D3E">
        <w:rPr>
          <w:rFonts w:ascii="Verdana" w:hAnsi="Verdana" w:cs="Calibri"/>
          <w:b/>
          <w:i/>
          <w:iCs/>
          <w:color w:val="000000"/>
          <w:sz w:val="21"/>
          <w:szCs w:val="21"/>
        </w:rPr>
        <w:t xml:space="preserve">Situación Económica del País </w:t>
      </w:r>
      <w:r w:rsidR="00C32B62">
        <w:rPr>
          <w:rFonts w:ascii="Verdana" w:hAnsi="Verdana" w:cs="Calibri"/>
          <w:b/>
          <w:i/>
          <w:iCs/>
          <w:color w:val="000000"/>
          <w:sz w:val="21"/>
          <w:szCs w:val="21"/>
        </w:rPr>
        <w:t>–</w:t>
      </w:r>
      <w:r w:rsidR="00B72D3E">
        <w:rPr>
          <w:rFonts w:ascii="Verdana" w:hAnsi="Verdana" w:cs="Calibri"/>
          <w:b/>
          <w:i/>
          <w:iCs/>
          <w:color w:val="000000"/>
          <w:sz w:val="21"/>
          <w:szCs w:val="21"/>
        </w:rPr>
        <w:t xml:space="preserve"> </w:t>
      </w:r>
      <w:r w:rsidR="00885D10">
        <w:rPr>
          <w:rFonts w:ascii="Verdana" w:hAnsi="Verdana" w:cs="Calibri"/>
          <w:bCs/>
          <w:color w:val="000000"/>
          <w:sz w:val="21"/>
          <w:szCs w:val="21"/>
        </w:rPr>
        <w:t xml:space="preserve">En el año 2021 el PIB creció en </w:t>
      </w:r>
      <w:r w:rsidR="00885D10" w:rsidRPr="00451AAD">
        <w:rPr>
          <w:rFonts w:ascii="Verdana" w:hAnsi="Verdana" w:cs="Calibri"/>
          <w:bCs/>
          <w:color w:val="000000"/>
          <w:sz w:val="21"/>
          <w:szCs w:val="21"/>
        </w:rPr>
        <w:t>3.5%</w:t>
      </w:r>
      <w:r w:rsidR="00885D10">
        <w:rPr>
          <w:rFonts w:ascii="Verdana" w:hAnsi="Verdana" w:cs="Calibri"/>
          <w:bCs/>
          <w:color w:val="000000"/>
          <w:sz w:val="21"/>
          <w:szCs w:val="21"/>
        </w:rPr>
        <w:t xml:space="preserve"> y se proyecta un crecimiento de 2.5% para el año 2022; l</w:t>
      </w:r>
      <w:r w:rsidR="00C32B62">
        <w:rPr>
          <w:rFonts w:ascii="Verdana" w:hAnsi="Verdana" w:cs="Calibri"/>
          <w:bCs/>
          <w:color w:val="000000"/>
          <w:sz w:val="21"/>
          <w:szCs w:val="21"/>
        </w:rPr>
        <w:t>uego de una</w:t>
      </w:r>
      <w:r w:rsidR="00B72D3E">
        <w:rPr>
          <w:rFonts w:ascii="Verdana" w:hAnsi="Verdana" w:cs="Calibri"/>
          <w:bCs/>
          <w:color w:val="000000"/>
          <w:sz w:val="21"/>
          <w:szCs w:val="21"/>
        </w:rPr>
        <w:t xml:space="preserve"> caída económica </w:t>
      </w:r>
      <w:r w:rsidR="00C32B62">
        <w:rPr>
          <w:rFonts w:ascii="Verdana" w:hAnsi="Verdana" w:cs="Calibri"/>
          <w:bCs/>
          <w:color w:val="000000"/>
          <w:sz w:val="21"/>
          <w:szCs w:val="21"/>
        </w:rPr>
        <w:t>de</w:t>
      </w:r>
      <w:r w:rsidR="00B72D3E">
        <w:rPr>
          <w:rFonts w:ascii="Verdana" w:hAnsi="Verdana" w:cs="Calibri"/>
          <w:bCs/>
          <w:color w:val="000000"/>
          <w:sz w:val="21"/>
          <w:szCs w:val="21"/>
        </w:rPr>
        <w:t xml:space="preserve"> 11%</w:t>
      </w:r>
      <w:r w:rsidR="003A439E">
        <w:rPr>
          <w:rFonts w:ascii="Verdana" w:hAnsi="Verdana" w:cs="Calibri"/>
          <w:bCs/>
          <w:color w:val="000000"/>
          <w:sz w:val="21"/>
          <w:szCs w:val="21"/>
        </w:rPr>
        <w:t xml:space="preserve"> al cierre del 2021</w:t>
      </w:r>
      <w:r w:rsidR="00B72D3E">
        <w:rPr>
          <w:rFonts w:ascii="Verdana" w:hAnsi="Verdana" w:cs="Calibri"/>
          <w:bCs/>
          <w:color w:val="000000"/>
          <w:sz w:val="21"/>
          <w:szCs w:val="21"/>
        </w:rPr>
        <w:t xml:space="preserve"> </w:t>
      </w:r>
      <w:r w:rsidR="00C32B62">
        <w:rPr>
          <w:rFonts w:ascii="Verdana" w:hAnsi="Verdana" w:cs="Calibri"/>
          <w:bCs/>
          <w:color w:val="000000"/>
          <w:sz w:val="21"/>
          <w:szCs w:val="21"/>
        </w:rPr>
        <w:t>debido a las complicaciones causadas por el covid-19</w:t>
      </w:r>
      <w:r w:rsidR="00B72D3E">
        <w:rPr>
          <w:rFonts w:ascii="Verdana" w:hAnsi="Verdana" w:cs="Calibri"/>
          <w:bCs/>
          <w:color w:val="000000"/>
          <w:sz w:val="21"/>
          <w:szCs w:val="21"/>
        </w:rPr>
        <w:t xml:space="preserve">. </w:t>
      </w:r>
    </w:p>
    <w:p w14:paraId="31F0AF76" w14:textId="77777777" w:rsidR="00B72D3E" w:rsidRDefault="00B72D3E" w:rsidP="00B72D3E">
      <w:pPr>
        <w:pStyle w:val="Prrafodelista"/>
        <w:ind w:left="454"/>
        <w:jc w:val="both"/>
        <w:rPr>
          <w:rFonts w:ascii="Verdana" w:hAnsi="Verdana" w:cs="Calibri"/>
          <w:b/>
          <w:color w:val="000000"/>
          <w:sz w:val="21"/>
          <w:szCs w:val="21"/>
          <w:u w:val="single"/>
        </w:rPr>
      </w:pPr>
    </w:p>
    <w:p w14:paraId="358FA2C5" w14:textId="5DB5DD8C" w:rsidR="00885D10" w:rsidRDefault="007C2200"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Las medidas tomadas por el</w:t>
      </w:r>
      <w:r w:rsidR="00885D10">
        <w:rPr>
          <w:rFonts w:ascii="Verdana" w:hAnsi="Verdana" w:cs="Calibri"/>
          <w:bCs/>
          <w:color w:val="000000"/>
          <w:sz w:val="21"/>
          <w:szCs w:val="21"/>
        </w:rPr>
        <w:t xml:space="preserve"> nuevo gobierno posesionado en mayo del 2021</w:t>
      </w:r>
      <w:r>
        <w:rPr>
          <w:rFonts w:ascii="Verdana" w:hAnsi="Verdana" w:cs="Calibri"/>
          <w:bCs/>
          <w:color w:val="000000"/>
          <w:sz w:val="21"/>
          <w:szCs w:val="21"/>
        </w:rPr>
        <w:t xml:space="preserve"> para enfrentar la crisis de la pandemia se basan principalmente en un </w:t>
      </w:r>
      <w:r>
        <w:rPr>
          <w:rFonts w:ascii="Verdana" w:hAnsi="Verdana" w:cs="Calibri"/>
          <w:bCs/>
          <w:color w:val="000000"/>
          <w:sz w:val="21"/>
          <w:szCs w:val="21"/>
        </w:rPr>
        <w:lastRenderedPageBreak/>
        <w:t>amplio y rápido plan de vacunación a la población, reforma tributaria para cubrir el déficit fiscal, incremento en los precios de los combustibles, renegociación de la deuda pública y obtención de nuevos recursos mediante préstamos a organismos multilaterales.</w:t>
      </w: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PREPARACION Y PRESENTACION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30B84A71" w14:textId="77777777" w:rsidR="00027B06" w:rsidRDefault="00027B06" w:rsidP="00027B06">
      <w:pPr>
        <w:pStyle w:val="Prrafodelista"/>
        <w:tabs>
          <w:tab w:val="left" w:pos="567"/>
        </w:tabs>
        <w:ind w:left="680"/>
        <w:jc w:val="both"/>
        <w:rPr>
          <w:rFonts w:ascii="Verdana" w:hAnsi="Verdana" w:cs="Calibri"/>
          <w:b/>
          <w:color w:val="000000"/>
          <w:sz w:val="21"/>
          <w:szCs w:val="21"/>
        </w:rPr>
      </w:pPr>
    </w:p>
    <w:p w14:paraId="290CB18F" w14:textId="4F6CF65B"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periodo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444C1C2A"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8"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C55E5FC"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004D06FC">
        <w:rPr>
          <w:rFonts w:ascii="Verdana" w:hAnsi="Verdana" w:cs="Calibri"/>
          <w:sz w:val="21"/>
          <w:szCs w:val="21"/>
          <w:highlight w:val="yellow"/>
          <w:lang w:val="es-ES_tradnl"/>
        </w:rPr>
        <w:t>xx</w:t>
      </w:r>
      <w:proofErr w:type="spellEnd"/>
      <w:r w:rsidRPr="005D47B6">
        <w:rPr>
          <w:rFonts w:ascii="Verdana" w:hAnsi="Verdana" w:cs="Calibri"/>
          <w:sz w:val="21"/>
          <w:szCs w:val="21"/>
          <w:highlight w:val="yellow"/>
          <w:lang w:val="es-ES_tradnl"/>
        </w:rPr>
        <w:t xml:space="preserve"> de </w:t>
      </w:r>
      <w:proofErr w:type="spellStart"/>
      <w:r w:rsidR="004D06FC">
        <w:rPr>
          <w:rFonts w:ascii="Verdana" w:hAnsi="Verdana" w:cs="Calibri"/>
          <w:sz w:val="21"/>
          <w:szCs w:val="21"/>
          <w:highlight w:val="yellow"/>
          <w:lang w:val="es-ES_tradnl"/>
        </w:rPr>
        <w:t>xxx</w:t>
      </w:r>
      <w:proofErr w:type="spellEnd"/>
      <w:r w:rsidRPr="005D47B6">
        <w:rPr>
          <w:rFonts w:ascii="Verdana" w:hAnsi="Verdana" w:cs="Calibri"/>
          <w:sz w:val="21"/>
          <w:szCs w:val="21"/>
          <w:highlight w:val="yellow"/>
          <w:lang w:val="es-ES_tradnl"/>
        </w:rPr>
        <w:t xml:space="preserve"> del 2022</w:t>
      </w:r>
      <w:r>
        <w:rPr>
          <w:rFonts w:ascii="Verdana" w:hAnsi="Verdana" w:cs="Calibri"/>
          <w:sz w:val="21"/>
          <w:szCs w:val="21"/>
          <w:lang w:val="es-ES_tradnl"/>
        </w:rPr>
        <w:t xml:space="preserve"> y en su opinión serán aprobados por la Junta General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8"/>
    <w:p w14:paraId="4D45BFF9"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 xml:space="preserve">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w:t>
      </w:r>
      <w:r w:rsidRPr="00E16FAA">
        <w:rPr>
          <w:rFonts w:ascii="Verdana" w:hAnsi="Verdana" w:cs="Calibri"/>
          <w:color w:val="000000"/>
          <w:sz w:val="21"/>
          <w:szCs w:val="21"/>
        </w:rPr>
        <w:lastRenderedPageBreak/>
        <w:t>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9"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2D02E7EB"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9"/>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periodo promedio de cobro es de </w:t>
      </w:r>
      <w:proofErr w:type="spellStart"/>
      <w:r w:rsidR="004D06FC">
        <w:rPr>
          <w:rFonts w:ascii="Verdana" w:hAnsi="Verdana" w:cs="Calibri"/>
          <w:color w:val="000000"/>
          <w:sz w:val="21"/>
          <w:szCs w:val="21"/>
        </w:rPr>
        <w:t>xx</w:t>
      </w:r>
      <w:proofErr w:type="spellEnd"/>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Son obligaciones comerciales principalmente con terceros no relacionados que se originan al momento 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77777777"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periodo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10" w:name="_Hlk30584932"/>
      <w:bookmarkStart w:id="11"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10"/>
      <w:r w:rsidRPr="00E16FAA">
        <w:rPr>
          <w:rFonts w:ascii="Verdana" w:hAnsi="Verdana" w:cs="Calibri"/>
          <w:color w:val="000000"/>
          <w:sz w:val="21"/>
          <w:szCs w:val="21"/>
          <w:lang w:val="es-EC"/>
        </w:rPr>
        <w:t xml:space="preserve">inicialmente por su costo, el mismo que comprende su precio de adquisición </w:t>
      </w:r>
      <w:bookmarkEnd w:id="11"/>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 xml:space="preserve">El valor en libros de los activos y la depreciación acumulada de los elementos vendidos o retirados se descargan de las cuentas </w:t>
      </w:r>
      <w:r w:rsidRPr="00E16FAA">
        <w:rPr>
          <w:rFonts w:ascii="Verdana" w:hAnsi="Verdana" w:cs="Calibri"/>
          <w:color w:val="000000"/>
          <w:sz w:val="21"/>
          <w:szCs w:val="21"/>
          <w:lang w:val="es-EC"/>
        </w:rPr>
        <w:lastRenderedPageBreak/>
        <w:t>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544A4B8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periodo,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4DCF2AE5"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Estos activos son depreciados de acuerdo con el método de línea recta y su vida útil estimada, valor residual y método de depreciación son revisados periódicamente para asegurar que el método y el periodo de la depreciación sean consistentes con el patrón previsto de beneficios económicos futuros. El efecto de cualquier cambio significativo en estas estimaciones, si lo hubiera, es registrado sobre una base prospectiva.</w:t>
      </w:r>
    </w:p>
    <w:p w14:paraId="1FAD6AA3" w14:textId="77777777" w:rsidR="00E16FAA" w:rsidRPr="00E16FAA" w:rsidRDefault="00E16FAA" w:rsidP="00E16FAA">
      <w:pPr>
        <w:ind w:left="680" w:right="-2"/>
        <w:jc w:val="both"/>
        <w:rPr>
          <w:rFonts w:ascii="Verdana" w:hAnsi="Verdana" w:cs="Calibri"/>
          <w:color w:val="000000"/>
          <w:sz w:val="21"/>
          <w:szCs w:val="21"/>
          <w:lang w:val="es-EC"/>
        </w:rPr>
      </w:pPr>
    </w:p>
    <w:p w14:paraId="5AE0A1B7"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2"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2"/>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6ECA5CDB" w:rsidR="00E16FAA" w:rsidRPr="00E16FAA" w:rsidRDefault="00E16FAA" w:rsidP="00E16FAA">
      <w:pPr>
        <w:ind w:left="645" w:right="-2" w:hanging="645"/>
        <w:jc w:val="both"/>
        <w:rPr>
          <w:rFonts w:ascii="Verdana" w:hAnsi="Verdana" w:cs="Calibri"/>
          <w:color w:val="000000"/>
          <w:sz w:val="21"/>
          <w:szCs w:val="21"/>
          <w:lang w:val="es-EC"/>
        </w:rPr>
      </w:pPr>
      <w:bookmarkStart w:id="13"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activos para determinar si existen indicios de que </w:t>
      </w:r>
      <w:bookmarkEnd w:id="13"/>
      <w:r w:rsidRPr="00E16FAA">
        <w:rPr>
          <w:rFonts w:ascii="Verdana" w:hAnsi="Verdana" w:cs="Calibri"/>
          <w:color w:val="000000"/>
          <w:sz w:val="21"/>
          <w:szCs w:val="21"/>
          <w:lang w:val="es-EC"/>
        </w:rPr>
        <w:t>los activos 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02C76A33" w:rsidR="001B0C01" w:rsidRDefault="001B0C01" w:rsidP="001B0C01">
      <w:pPr>
        <w:ind w:left="567" w:right="-2" w:hanging="567"/>
        <w:jc w:val="both"/>
        <w:rPr>
          <w:rFonts w:ascii="Verdana" w:hAnsi="Verdana" w:cs="Calibri"/>
          <w:sz w:val="21"/>
          <w:szCs w:val="21"/>
          <w:lang w:val="es-EC"/>
        </w:rPr>
      </w:pPr>
      <w:bookmarkStart w:id="14"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4"/>
      <w:r>
        <w:rPr>
          <w:rFonts w:ascii="Verdana" w:hAnsi="Verdana" w:cs="Calibri"/>
          <w:sz w:val="21"/>
          <w:szCs w:val="21"/>
          <w:lang w:val="es-EC"/>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lastRenderedPageBreak/>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3A4C9FD7"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lastRenderedPageBreak/>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05F6E7E6"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1DF6549E"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5"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5"/>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w:t>
      </w:r>
      <w:r>
        <w:rPr>
          <w:rFonts w:ascii="Verdana" w:hAnsi="Verdana" w:cs="Calibri"/>
          <w:color w:val="000000"/>
          <w:sz w:val="21"/>
          <w:szCs w:val="21"/>
          <w:lang w:val="es-EC"/>
        </w:rPr>
        <w:lastRenderedPageBreak/>
        <w:t xml:space="preserve">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3AEF302A"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6" w:name="_Hlk31021995"/>
      <w:bookmarkStart w:id="17"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6"/>
      <w:r>
        <w:rPr>
          <w:rFonts w:ascii="Verdana" w:hAnsi="Verdana" w:cs="Arial"/>
          <w:sz w:val="21"/>
          <w:szCs w:val="21"/>
          <w:lang w:val="es-EC" w:eastAsia="es-EC"/>
        </w:rPr>
        <w:t xml:space="preserve">que represente por lo menos el 50% del capital pagado. Esta reserva puede </w:t>
      </w:r>
      <w:bookmarkEnd w:id="17"/>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8"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8"/>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382462">
        <w:rPr>
          <w:rFonts w:ascii="Verdana" w:hAnsi="Verdana" w:cs="Arial"/>
          <w:sz w:val="21"/>
          <w:szCs w:val="21"/>
          <w:highlight w:val="yellow"/>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29F094A9"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lastRenderedPageBreak/>
        <w:t xml:space="preserve">3.17. </w:t>
      </w:r>
      <w:r>
        <w:rPr>
          <w:rFonts w:ascii="Verdana" w:hAnsi="Verdana" w:cs="Calibri"/>
          <w:b/>
          <w:bCs/>
          <w:i/>
          <w:iCs/>
          <w:color w:val="000000"/>
          <w:sz w:val="21"/>
          <w:szCs w:val="21"/>
          <w:lang w:val="es-EC"/>
        </w:rPr>
        <w:t xml:space="preserve">Superávit de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evalorización –</w:t>
      </w:r>
      <w:r>
        <w:rPr>
          <w:rFonts w:ascii="Verdana" w:hAnsi="Verdana" w:cs="Calibri"/>
          <w:b/>
          <w:bCs/>
          <w:color w:val="000000"/>
          <w:sz w:val="21"/>
          <w:szCs w:val="21"/>
          <w:lang w:val="es-EC"/>
        </w:rPr>
        <w:t xml:space="preserve"> </w:t>
      </w:r>
      <w:r>
        <w:rPr>
          <w:rFonts w:ascii="Verdana" w:hAnsi="Verdana" w:cs="Calibri"/>
          <w:color w:val="000000"/>
          <w:sz w:val="21"/>
          <w:szCs w:val="21"/>
          <w:lang w:val="es-EC"/>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14:paraId="5BC3A9F6" w14:textId="77777777" w:rsidR="000A6E2B" w:rsidRDefault="000A6E2B" w:rsidP="000A6E2B">
      <w:pPr>
        <w:jc w:val="both"/>
        <w:rPr>
          <w:rFonts w:ascii="Verdana" w:hAnsi="Verdana" w:cs="Calibri"/>
          <w:color w:val="000000"/>
          <w:sz w:val="21"/>
          <w:szCs w:val="21"/>
          <w:lang w:val="es-EC"/>
        </w:rPr>
      </w:pPr>
    </w:p>
    <w:p w14:paraId="5E26CE61" w14:textId="77777777" w:rsidR="00E64997" w:rsidRDefault="00E64997" w:rsidP="00E64997">
      <w:pPr>
        <w:numPr>
          <w:ilvl w:val="0"/>
          <w:numId w:val="6"/>
        </w:numPr>
        <w:jc w:val="both"/>
        <w:rPr>
          <w:rFonts w:ascii="Verdana" w:hAnsi="Verdana" w:cs="Calibri"/>
          <w:color w:val="000000"/>
          <w:sz w:val="21"/>
          <w:szCs w:val="21"/>
          <w:lang w:val="es-EC"/>
        </w:rPr>
      </w:pPr>
      <w:r>
        <w:rPr>
          <w:rFonts w:ascii="Verdana" w:hAnsi="Verdana" w:cs="Calibri"/>
          <w:b/>
          <w:color w:val="000000"/>
          <w:sz w:val="21"/>
          <w:szCs w:val="21"/>
          <w:lang w:val="es-EC"/>
        </w:rPr>
        <w:t>INFORMACION RESPECTO DE LA INCERTIDUMBRE EN JUICIOS Y ESTIMACIONES</w:t>
      </w:r>
    </w:p>
    <w:p w14:paraId="11C83F13" w14:textId="77777777" w:rsidR="00E64997" w:rsidRDefault="00E64997" w:rsidP="00E64997">
      <w:pPr>
        <w:ind w:left="360"/>
        <w:jc w:val="both"/>
        <w:rPr>
          <w:rFonts w:ascii="Verdana" w:hAnsi="Verdana" w:cs="Calibri"/>
          <w:color w:val="000000"/>
          <w:sz w:val="21"/>
          <w:szCs w:val="21"/>
          <w:lang w:val="es-EC"/>
        </w:rPr>
      </w:pPr>
    </w:p>
    <w:p w14:paraId="4A287B97" w14:textId="77777777" w:rsidR="00E64997" w:rsidRDefault="00E64997" w:rsidP="00E64997">
      <w:pPr>
        <w:ind w:left="360"/>
        <w:jc w:val="both"/>
        <w:rPr>
          <w:rFonts w:ascii="Verdana" w:hAnsi="Verdana" w:cs="Calibri"/>
          <w:sz w:val="21"/>
          <w:szCs w:val="21"/>
          <w:lang w:val="es-ES_tradnl"/>
        </w:rPr>
      </w:pPr>
      <w:r>
        <w:rPr>
          <w:rFonts w:ascii="Verdana" w:hAnsi="Verdana" w:cs="Calibri"/>
          <w:sz w:val="21"/>
          <w:szCs w:val="21"/>
          <w:lang w:val="es-ES_tradnl"/>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0E1A38D5" w14:textId="77777777" w:rsidR="00E64997" w:rsidRDefault="00E64997" w:rsidP="00E64997">
      <w:pPr>
        <w:ind w:left="720"/>
        <w:jc w:val="both"/>
        <w:rPr>
          <w:rFonts w:ascii="Verdana" w:hAnsi="Verdana" w:cs="Calibri"/>
          <w:color w:val="000000"/>
          <w:sz w:val="21"/>
          <w:szCs w:val="21"/>
          <w:lang w:val="es-ES_tradnl"/>
        </w:rPr>
      </w:pPr>
    </w:p>
    <w:p w14:paraId="1F030937"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a) Incertidumbres: </w:t>
      </w:r>
      <w:r>
        <w:rPr>
          <w:rFonts w:ascii="Verdana" w:hAnsi="Verdana" w:cs="Calibri"/>
          <w:bCs/>
          <w:iCs/>
          <w:color w:val="000000"/>
          <w:sz w:val="21"/>
          <w:szCs w:val="21"/>
          <w:lang w:val="es-ES_tradnl"/>
        </w:rPr>
        <w:t>Las principales incertidumbres tienen relación con: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2A51F97A" w14:textId="77777777" w:rsidR="00E64997" w:rsidRDefault="00E64997" w:rsidP="00E64997">
      <w:pPr>
        <w:ind w:firstLine="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p>
    <w:p w14:paraId="25DC80AF" w14:textId="77777777" w:rsidR="00E64997" w:rsidRDefault="00E64997" w:rsidP="00E64997">
      <w:pPr>
        <w:ind w:left="360" w:firstLine="348"/>
        <w:jc w:val="both"/>
        <w:rPr>
          <w:rFonts w:ascii="Verdana" w:hAnsi="Verdana" w:cs="Calibri"/>
          <w:color w:val="000000"/>
          <w:sz w:val="21"/>
          <w:szCs w:val="21"/>
          <w:lang w:val="es-ES_tradnl"/>
        </w:rPr>
      </w:pPr>
    </w:p>
    <w:p w14:paraId="1741785E" w14:textId="229E611E" w:rsidR="00E64997" w:rsidRDefault="00637C98"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 xml:space="preserve">Tasa de descuento: </w:t>
      </w:r>
      <w:proofErr w:type="spellStart"/>
      <w:r w:rsidR="00477B51">
        <w:rPr>
          <w:rFonts w:ascii="Verdana" w:hAnsi="Verdana" w:cs="Calibri"/>
          <w:color w:val="000000"/>
          <w:sz w:val="21"/>
          <w:szCs w:val="21"/>
          <w:lang w:val="es-ES_tradnl"/>
        </w:rPr>
        <w:t>xx</w:t>
      </w:r>
      <w:proofErr w:type="spellEnd"/>
      <w:r>
        <w:rPr>
          <w:rFonts w:ascii="Verdana" w:hAnsi="Verdana" w:cs="Calibri"/>
          <w:color w:val="000000"/>
          <w:sz w:val="21"/>
          <w:szCs w:val="21"/>
          <w:lang w:val="es-ES_tradnl"/>
        </w:rPr>
        <w:t>% en 2021 y 8.</w:t>
      </w:r>
      <w:r w:rsidR="00477B51">
        <w:rPr>
          <w:rFonts w:ascii="Verdana" w:hAnsi="Verdana" w:cs="Calibri"/>
          <w:color w:val="000000"/>
          <w:sz w:val="21"/>
          <w:szCs w:val="21"/>
          <w:lang w:val="es-ES_tradnl"/>
        </w:rPr>
        <w:t>3</w:t>
      </w:r>
      <w:r>
        <w:rPr>
          <w:rFonts w:ascii="Verdana" w:hAnsi="Verdana" w:cs="Calibri"/>
          <w:color w:val="000000"/>
          <w:sz w:val="21"/>
          <w:szCs w:val="21"/>
          <w:lang w:val="es-ES_tradnl"/>
        </w:rPr>
        <w:t>1% en 2020</w:t>
      </w:r>
    </w:p>
    <w:p w14:paraId="45B369DE" w14:textId="7BB907A7"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lastRenderedPageBreak/>
        <w:t>Tasa esperada de</w:t>
      </w:r>
      <w:r w:rsidR="00637C98">
        <w:rPr>
          <w:rFonts w:ascii="Verdana" w:hAnsi="Verdana" w:cs="Calibri"/>
          <w:color w:val="000000"/>
          <w:sz w:val="21"/>
          <w:szCs w:val="21"/>
          <w:lang w:val="es-ES_tradnl"/>
        </w:rPr>
        <w:t xml:space="preserve"> incremento salarial: </w:t>
      </w:r>
      <w:proofErr w:type="spellStart"/>
      <w:r w:rsidR="00477B51">
        <w:rPr>
          <w:rFonts w:ascii="Verdana" w:hAnsi="Verdana" w:cs="Calibri"/>
          <w:color w:val="000000"/>
          <w:sz w:val="21"/>
          <w:szCs w:val="21"/>
          <w:lang w:val="es-ES_tradnl"/>
        </w:rPr>
        <w:t>xx</w:t>
      </w:r>
      <w:proofErr w:type="spellEnd"/>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 xml:space="preserve">3% en </w:t>
      </w:r>
      <w:r w:rsidR="00637C98">
        <w:rPr>
          <w:rFonts w:ascii="Verdana" w:hAnsi="Verdana" w:cs="Calibri"/>
          <w:color w:val="000000"/>
          <w:sz w:val="21"/>
          <w:szCs w:val="21"/>
          <w:lang w:val="es-ES_tradnl"/>
        </w:rPr>
        <w:t>2020</w:t>
      </w:r>
    </w:p>
    <w:p w14:paraId="0EF13A93" w14:textId="075D5BB2"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 xml:space="preserve">ción de personal: </w:t>
      </w:r>
      <w:proofErr w:type="spellStart"/>
      <w:r w:rsidR="00477B51">
        <w:rPr>
          <w:rFonts w:ascii="Verdana" w:hAnsi="Verdana" w:cs="Calibri"/>
          <w:color w:val="000000"/>
          <w:sz w:val="21"/>
          <w:szCs w:val="21"/>
          <w:lang w:val="es-ES_tradnl"/>
        </w:rPr>
        <w:t>xx</w:t>
      </w:r>
      <w:proofErr w:type="spellEnd"/>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 en 2020</w:t>
      </w:r>
    </w:p>
    <w:p w14:paraId="5760D378" w14:textId="77777777" w:rsidR="00E64997" w:rsidRDefault="00E64997" w:rsidP="00E64997">
      <w:pPr>
        <w:ind w:left="1068"/>
        <w:jc w:val="both"/>
        <w:rPr>
          <w:rFonts w:ascii="Verdana" w:hAnsi="Verdana" w:cs="Calibri"/>
          <w:color w:val="000000"/>
          <w:sz w:val="21"/>
          <w:szCs w:val="21"/>
          <w:lang w:val="es-ES_tradnl"/>
        </w:rPr>
      </w:pPr>
    </w:p>
    <w:p w14:paraId="389D9A08" w14:textId="2C343F6D"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b) Juicios en la </w:t>
      </w:r>
      <w:r w:rsidR="00477B51">
        <w:rPr>
          <w:rFonts w:ascii="Verdana" w:hAnsi="Verdana" w:cs="Calibri"/>
          <w:b/>
          <w:i/>
          <w:color w:val="000000"/>
          <w:sz w:val="21"/>
          <w:szCs w:val="21"/>
          <w:lang w:val="es-ES_tradnl"/>
        </w:rPr>
        <w:t>a</w:t>
      </w:r>
      <w:r>
        <w:rPr>
          <w:rFonts w:ascii="Verdana" w:hAnsi="Verdana" w:cs="Calibri"/>
          <w:b/>
          <w:i/>
          <w:color w:val="000000"/>
          <w:sz w:val="21"/>
          <w:szCs w:val="21"/>
          <w:lang w:val="es-ES_tradnl"/>
        </w:rPr>
        <w:t xml:space="preserve">plicación de las </w:t>
      </w:r>
      <w:r w:rsidR="00477B51">
        <w:rPr>
          <w:rFonts w:ascii="Verdana" w:hAnsi="Verdana" w:cs="Calibri"/>
          <w:b/>
          <w:i/>
          <w:color w:val="000000"/>
          <w:sz w:val="21"/>
          <w:szCs w:val="21"/>
          <w:lang w:val="es-ES_tradnl"/>
        </w:rPr>
        <w:t>p</w:t>
      </w:r>
      <w:r>
        <w:rPr>
          <w:rFonts w:ascii="Verdana" w:hAnsi="Verdana" w:cs="Calibri"/>
          <w:b/>
          <w:i/>
          <w:color w:val="000000"/>
          <w:sz w:val="21"/>
          <w:szCs w:val="21"/>
          <w:lang w:val="es-ES_tradnl"/>
        </w:rPr>
        <w:t xml:space="preserve">olíticas </w:t>
      </w:r>
      <w:r w:rsidR="00477B51">
        <w:rPr>
          <w:rFonts w:ascii="Verdana" w:hAnsi="Verdana" w:cs="Calibri"/>
          <w:b/>
          <w:i/>
          <w:color w:val="000000"/>
          <w:sz w:val="21"/>
          <w:szCs w:val="21"/>
          <w:lang w:val="es-ES_tradnl"/>
        </w:rPr>
        <w:t>c</w:t>
      </w:r>
      <w:r>
        <w:rPr>
          <w:rFonts w:ascii="Verdana" w:hAnsi="Verdana" w:cs="Calibri"/>
          <w:b/>
          <w:i/>
          <w:color w:val="000000"/>
          <w:sz w:val="21"/>
          <w:szCs w:val="21"/>
          <w:lang w:val="es-ES_tradnl"/>
        </w:rPr>
        <w:t xml:space="preserve">ontables: </w:t>
      </w:r>
      <w:r>
        <w:rPr>
          <w:rFonts w:ascii="Verdana" w:hAnsi="Verdana" w:cs="Calibri"/>
          <w:bCs/>
          <w:iCs/>
          <w:color w:val="000000"/>
          <w:sz w:val="21"/>
          <w:szCs w:val="21"/>
          <w:lang w:val="es-ES_tradnl"/>
        </w:rPr>
        <w:t>Las principales estimaciones y aplicación de juicio profesional tienen relación con:</w:t>
      </w:r>
    </w:p>
    <w:p w14:paraId="112AECEA" w14:textId="77777777" w:rsidR="00E64997" w:rsidRDefault="00E64997" w:rsidP="00E64997">
      <w:pPr>
        <w:ind w:left="360"/>
        <w:jc w:val="both"/>
        <w:rPr>
          <w:rFonts w:ascii="Verdana" w:hAnsi="Verdana" w:cs="Calibri"/>
          <w:b/>
          <w:i/>
          <w:color w:val="000000"/>
          <w:sz w:val="21"/>
          <w:szCs w:val="21"/>
          <w:lang w:val="es-ES_tradnl"/>
        </w:rPr>
      </w:pPr>
    </w:p>
    <w:p w14:paraId="36CF95D7"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54B421DC" w14:textId="77777777" w:rsidR="00E64997" w:rsidRDefault="00E64997" w:rsidP="00E64997">
      <w:pPr>
        <w:ind w:left="360"/>
        <w:jc w:val="both"/>
        <w:rPr>
          <w:rFonts w:ascii="Verdana" w:hAnsi="Verdana" w:cs="Calibri"/>
          <w:i/>
          <w:iCs/>
          <w:color w:val="000000"/>
          <w:sz w:val="21"/>
          <w:szCs w:val="21"/>
          <w:u w:val="single"/>
          <w:lang w:val="es-ES_tradnl"/>
        </w:rPr>
      </w:pPr>
    </w:p>
    <w:p w14:paraId="1D83DD13" w14:textId="77777777" w:rsidR="00E64997" w:rsidRDefault="00E64997" w:rsidP="00E64997">
      <w:pPr>
        <w:ind w:left="360"/>
        <w:jc w:val="both"/>
        <w:rPr>
          <w:rFonts w:ascii="Verdana" w:hAnsi="Verdana" w:cs="Calibri"/>
          <w:bCs/>
          <w:sz w:val="21"/>
          <w:szCs w:val="21"/>
        </w:rPr>
      </w:pPr>
      <w:r>
        <w:rPr>
          <w:rFonts w:ascii="Verdana" w:hAnsi="Verdana" w:cs="Calibri"/>
          <w:i/>
          <w:iCs/>
          <w:color w:val="000000"/>
          <w:sz w:val="21"/>
          <w:szCs w:val="21"/>
          <w:u w:val="single"/>
          <w:lang w:val="es-ES_tradnl"/>
        </w:rPr>
        <w:t>Deterioro de cuentas por cobrar</w:t>
      </w:r>
      <w:r>
        <w:rPr>
          <w:rFonts w:ascii="Verdana" w:hAnsi="Verdana" w:cs="Calibri"/>
          <w:color w:val="000000"/>
          <w:sz w:val="21"/>
          <w:szCs w:val="21"/>
          <w:lang w:val="es-ES_tradnl"/>
        </w:rPr>
        <w:t xml:space="preserve"> – </w:t>
      </w:r>
      <w:r>
        <w:rPr>
          <w:rFonts w:ascii="Verdana" w:hAnsi="Verdana" w:cs="Calibri"/>
          <w:color w:val="000000"/>
          <w:sz w:val="21"/>
          <w:szCs w:val="21"/>
        </w:rPr>
        <w:t>Al final de cada periodo que se informa, los importes en libros de los deudores comerciales y otras cuentas por cobrar se revisan de manera individual, o por grupos de clientes de características similares de riesgo, para determinar si existe alguna evidencia objetiva de que no vayan a ser recuperables; si es así, se establece una provisión para cuentas incobrables que reduce su valor al de probable realización</w:t>
      </w:r>
      <w:r>
        <w:rPr>
          <w:rFonts w:ascii="Verdana" w:hAnsi="Verdana" w:cs="Calibri"/>
          <w:bCs/>
          <w:sz w:val="21"/>
          <w:szCs w:val="21"/>
        </w:rPr>
        <w:t>. El castigo de las cuentas por cobrar a clientes, si hubiera, es registrado con débito a la provisión y, la diferencia no cubierta por la provisión es contabilizada directamente en los resultados del período.</w:t>
      </w:r>
    </w:p>
    <w:p w14:paraId="66C4E7CF" w14:textId="77777777" w:rsidR="00637C98" w:rsidRDefault="00637C98" w:rsidP="00E64997">
      <w:pPr>
        <w:ind w:left="360"/>
        <w:jc w:val="both"/>
        <w:rPr>
          <w:rFonts w:ascii="Verdana" w:hAnsi="Verdana" w:cs="Calibri"/>
          <w:color w:val="000000"/>
          <w:sz w:val="21"/>
          <w:szCs w:val="21"/>
          <w:lang w:val="es-ES_tradnl"/>
        </w:rPr>
      </w:pPr>
    </w:p>
    <w:p w14:paraId="2AFDDC19" w14:textId="2E1A413B" w:rsidR="00F865CE" w:rsidRPr="00477B51" w:rsidRDefault="00F865CE" w:rsidP="00F865CE">
      <w:pPr>
        <w:numPr>
          <w:ilvl w:val="0"/>
          <w:numId w:val="6"/>
        </w:numPr>
        <w:jc w:val="both"/>
        <w:rPr>
          <w:rFonts w:ascii="Verdana" w:hAnsi="Verdana" w:cs="Calibri"/>
          <w:color w:val="000000"/>
          <w:sz w:val="21"/>
          <w:szCs w:val="21"/>
          <w:lang w:val="es-ES_tradnl"/>
        </w:rPr>
      </w:pPr>
      <w:r>
        <w:rPr>
          <w:rFonts w:ascii="Verdana" w:hAnsi="Verdana" w:cs="Calibri"/>
          <w:b/>
          <w:color w:val="000000"/>
          <w:sz w:val="21"/>
          <w:szCs w:val="21"/>
          <w:lang w:val="es-EC"/>
        </w:rPr>
        <w:t>EFECTIVO Y EQUIVALENTES DE EFECTIVO</w:t>
      </w:r>
    </w:p>
    <w:p w14:paraId="4045407C" w14:textId="77777777" w:rsidR="00477B51" w:rsidRDefault="00477B51" w:rsidP="00477B51">
      <w:pPr>
        <w:ind w:left="360"/>
        <w:jc w:val="both"/>
        <w:rPr>
          <w:rFonts w:ascii="Verdana" w:hAnsi="Verdana" w:cs="Calibri"/>
          <w:color w:val="000000"/>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637C98" w:rsidRPr="00B77661" w14:paraId="607EC872" w14:textId="77777777" w:rsidTr="00B77661">
        <w:tc>
          <w:tcPr>
            <w:tcW w:w="3686" w:type="dxa"/>
          </w:tcPr>
          <w:p w14:paraId="0C0F7EAA" w14:textId="77777777" w:rsidR="00637C98" w:rsidRPr="00B77661" w:rsidRDefault="00637C98" w:rsidP="00A61C8B">
            <w:pPr>
              <w:rPr>
                <w:rFonts w:ascii="Verdana" w:hAnsi="Verdana" w:cs="Arial"/>
                <w:sz w:val="21"/>
                <w:szCs w:val="21"/>
              </w:rPr>
            </w:pPr>
          </w:p>
        </w:tc>
        <w:tc>
          <w:tcPr>
            <w:tcW w:w="2551" w:type="dxa"/>
          </w:tcPr>
          <w:p w14:paraId="497B06CA"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2021</w:t>
            </w:r>
          </w:p>
        </w:tc>
        <w:tc>
          <w:tcPr>
            <w:tcW w:w="2257" w:type="dxa"/>
          </w:tcPr>
          <w:p w14:paraId="0FC054B8"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2020</w:t>
            </w:r>
          </w:p>
        </w:tc>
      </w:tr>
      <w:tr w:rsidR="00637C98" w:rsidRPr="00B77661" w14:paraId="68C9717E" w14:textId="77777777" w:rsidTr="00B77661">
        <w:tc>
          <w:tcPr>
            <w:tcW w:w="3686" w:type="dxa"/>
          </w:tcPr>
          <w:p w14:paraId="7ADCA0B1" w14:textId="77777777" w:rsidR="00637C98" w:rsidRPr="00B77661" w:rsidRDefault="00637C98" w:rsidP="00A61C8B">
            <w:pPr>
              <w:rPr>
                <w:rFonts w:ascii="Verdana" w:hAnsi="Verdana" w:cs="Arial"/>
                <w:sz w:val="21"/>
                <w:szCs w:val="21"/>
              </w:rPr>
            </w:pPr>
          </w:p>
        </w:tc>
        <w:tc>
          <w:tcPr>
            <w:tcW w:w="2551" w:type="dxa"/>
          </w:tcPr>
          <w:p w14:paraId="7D0D99FD" w14:textId="77777777" w:rsidR="00637C98" w:rsidRPr="00B77661" w:rsidRDefault="00637C98" w:rsidP="00637C98">
            <w:pPr>
              <w:jc w:val="right"/>
              <w:rPr>
                <w:rFonts w:ascii="Verdana" w:hAnsi="Verdana" w:cs="Arial"/>
                <w:sz w:val="21"/>
                <w:szCs w:val="21"/>
              </w:rPr>
            </w:pPr>
          </w:p>
        </w:tc>
        <w:tc>
          <w:tcPr>
            <w:tcW w:w="2257"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B77661">
        <w:tc>
          <w:tcPr>
            <w:tcW w:w="368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51" w:type="dxa"/>
          </w:tcPr>
          <w:p w14:paraId="7A711048" w14:textId="16483281" w:rsidR="00637C98" w:rsidRPr="00B77661" w:rsidRDefault="0034007B" w:rsidP="00637C98">
            <w:pPr>
              <w:jc w:val="right"/>
              <w:rPr>
                <w:rFonts w:ascii="Verdana" w:hAnsi="Verdana" w:cs="Arial"/>
                <w:sz w:val="21"/>
                <w:szCs w:val="21"/>
              </w:rPr>
            </w:pPr>
            <w:r>
              <w:rPr>
                <w:rFonts w:ascii="Verdana" w:hAnsi="Verdana" w:cs="Arial"/>
                <w:sz w:val="21"/>
                <w:szCs w:val="21"/>
              </w:rPr>
              <w:t>62,640</w:t>
            </w:r>
          </w:p>
        </w:tc>
        <w:tc>
          <w:tcPr>
            <w:tcW w:w="2257"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477B51">
        <w:tc>
          <w:tcPr>
            <w:tcW w:w="368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51" w:type="dxa"/>
          </w:tcPr>
          <w:p w14:paraId="30712B79" w14:textId="3EDB68F5" w:rsidR="00637C98" w:rsidRPr="00B77661" w:rsidRDefault="0034007B" w:rsidP="00637C98">
            <w:pPr>
              <w:jc w:val="right"/>
              <w:rPr>
                <w:rFonts w:ascii="Verdana" w:hAnsi="Verdana" w:cs="Arial"/>
                <w:sz w:val="21"/>
                <w:szCs w:val="21"/>
              </w:rPr>
            </w:pPr>
            <w:r>
              <w:rPr>
                <w:rFonts w:ascii="Verdana" w:hAnsi="Verdana" w:cs="Arial"/>
                <w:sz w:val="21"/>
                <w:szCs w:val="21"/>
              </w:rPr>
              <w:t>125,599</w:t>
            </w:r>
          </w:p>
        </w:tc>
        <w:tc>
          <w:tcPr>
            <w:tcW w:w="2257"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B77661" w14:paraId="4367CD63" w14:textId="77777777" w:rsidTr="00B77661">
        <w:tc>
          <w:tcPr>
            <w:tcW w:w="3686" w:type="dxa"/>
          </w:tcPr>
          <w:p w14:paraId="2713F2AC" w14:textId="77777777" w:rsidR="00637C98" w:rsidRPr="00B77661" w:rsidRDefault="00B77661" w:rsidP="00A61C8B">
            <w:pPr>
              <w:rPr>
                <w:rFonts w:ascii="Verdana" w:hAnsi="Verdana" w:cs="Arial"/>
                <w:sz w:val="21"/>
                <w:szCs w:val="21"/>
              </w:rPr>
            </w:pPr>
            <w:r w:rsidRPr="00B77661">
              <w:rPr>
                <w:rFonts w:ascii="Verdana" w:hAnsi="Verdana" w:cs="Arial"/>
                <w:sz w:val="21"/>
                <w:szCs w:val="21"/>
              </w:rPr>
              <w:t>Caja</w:t>
            </w:r>
          </w:p>
        </w:tc>
        <w:tc>
          <w:tcPr>
            <w:tcW w:w="2551" w:type="dxa"/>
          </w:tcPr>
          <w:p w14:paraId="43516EAD" w14:textId="0E659609" w:rsidR="00637C98"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172</w:t>
            </w:r>
          </w:p>
        </w:tc>
        <w:tc>
          <w:tcPr>
            <w:tcW w:w="2257" w:type="dxa"/>
            <w:tcBorders>
              <w:left w:val="nil"/>
            </w:tcBorders>
          </w:tcPr>
          <w:p w14:paraId="260FB38C" w14:textId="1F533B84" w:rsidR="00637C98" w:rsidRPr="004D158E" w:rsidRDefault="00477B51" w:rsidP="00477B51">
            <w:pPr>
              <w:rPr>
                <w:rFonts w:ascii="Verdana" w:hAnsi="Verdana" w:cs="Arial"/>
                <w:sz w:val="21"/>
                <w:szCs w:val="21"/>
                <w:u w:val="single"/>
              </w:rPr>
            </w:pPr>
            <w:r w:rsidRPr="00477B51">
              <w:rPr>
                <w:rFonts w:ascii="Verdana" w:hAnsi="Verdana" w:cs="Arial"/>
                <w:sz w:val="21"/>
                <w:szCs w:val="21"/>
              </w:rPr>
              <w:t xml:space="preserve">                </w:t>
            </w:r>
            <w:r>
              <w:rPr>
                <w:rFonts w:ascii="Verdana" w:hAnsi="Verdana" w:cs="Arial"/>
                <w:sz w:val="21"/>
                <w:szCs w:val="21"/>
                <w:u w:val="single"/>
              </w:rPr>
              <w:t xml:space="preserve">      </w:t>
            </w:r>
            <w:r w:rsidR="00B77661" w:rsidRPr="004D158E">
              <w:rPr>
                <w:rFonts w:ascii="Verdana" w:hAnsi="Verdana" w:cs="Arial"/>
                <w:sz w:val="21"/>
                <w:szCs w:val="21"/>
                <w:u w:val="single"/>
              </w:rPr>
              <w:t>160</w:t>
            </w:r>
          </w:p>
        </w:tc>
      </w:tr>
      <w:tr w:rsidR="00637C98" w:rsidRPr="00B77661" w14:paraId="660A1921" w14:textId="77777777" w:rsidTr="00B77661">
        <w:tc>
          <w:tcPr>
            <w:tcW w:w="3686" w:type="dxa"/>
          </w:tcPr>
          <w:p w14:paraId="003F2C68" w14:textId="77777777" w:rsidR="00637C98" w:rsidRPr="00B77661" w:rsidRDefault="00637C98" w:rsidP="00A61C8B">
            <w:pPr>
              <w:rPr>
                <w:rFonts w:ascii="Verdana" w:hAnsi="Verdana" w:cs="Arial"/>
                <w:sz w:val="21"/>
                <w:szCs w:val="21"/>
              </w:rPr>
            </w:pPr>
          </w:p>
          <w:p w14:paraId="1297324E" w14:textId="77777777" w:rsidR="00B77661" w:rsidRPr="00B77661" w:rsidRDefault="00B77661" w:rsidP="00A61C8B">
            <w:pPr>
              <w:rPr>
                <w:rFonts w:ascii="Verdana" w:hAnsi="Verdana" w:cs="Arial"/>
                <w:sz w:val="21"/>
                <w:szCs w:val="21"/>
              </w:rPr>
            </w:pPr>
            <w:r w:rsidRPr="00B77661">
              <w:rPr>
                <w:rFonts w:ascii="Verdana" w:hAnsi="Verdana" w:cs="Arial"/>
                <w:sz w:val="21"/>
                <w:szCs w:val="21"/>
              </w:rPr>
              <w:t>Total</w:t>
            </w:r>
          </w:p>
        </w:tc>
        <w:tc>
          <w:tcPr>
            <w:tcW w:w="2551" w:type="dxa"/>
          </w:tcPr>
          <w:p w14:paraId="4D71875E" w14:textId="77777777" w:rsidR="00637C98" w:rsidRPr="00B77661" w:rsidRDefault="00637C98" w:rsidP="00637C98">
            <w:pPr>
              <w:jc w:val="right"/>
              <w:rPr>
                <w:rFonts w:ascii="Verdana" w:hAnsi="Verdana" w:cs="Arial"/>
                <w:sz w:val="21"/>
                <w:szCs w:val="21"/>
              </w:rPr>
            </w:pPr>
          </w:p>
          <w:p w14:paraId="17630FBA" w14:textId="46A42ECB" w:rsidR="00B77661" w:rsidRPr="00B77661" w:rsidRDefault="0034007B" w:rsidP="00637C98">
            <w:pPr>
              <w:jc w:val="right"/>
              <w:rPr>
                <w:rFonts w:ascii="Verdana" w:hAnsi="Verdana" w:cs="Arial"/>
                <w:sz w:val="21"/>
                <w:szCs w:val="21"/>
                <w:u w:val="single"/>
              </w:rPr>
            </w:pPr>
            <w:r>
              <w:rPr>
                <w:rFonts w:ascii="Verdana" w:hAnsi="Verdana" w:cs="Arial"/>
                <w:sz w:val="21"/>
                <w:szCs w:val="21"/>
                <w:u w:val="single"/>
              </w:rPr>
              <w:t>188,411</w:t>
            </w:r>
          </w:p>
        </w:tc>
        <w:tc>
          <w:tcPr>
            <w:tcW w:w="2257" w:type="dxa"/>
          </w:tcPr>
          <w:p w14:paraId="4E5F11CF" w14:textId="77777777" w:rsidR="00637C98" w:rsidRPr="00B77661" w:rsidRDefault="00637C98" w:rsidP="00637C98">
            <w:pPr>
              <w:jc w:val="right"/>
              <w:rPr>
                <w:rFonts w:ascii="Verdana" w:hAnsi="Verdana" w:cs="Arial"/>
                <w:sz w:val="21"/>
                <w:szCs w:val="21"/>
              </w:rPr>
            </w:pPr>
          </w:p>
          <w:p w14:paraId="303B17BA" w14:textId="77777777" w:rsidR="00B77661" w:rsidRPr="004D158E" w:rsidRDefault="00B77661" w:rsidP="00637C98">
            <w:pPr>
              <w:jc w:val="right"/>
              <w:rPr>
                <w:rFonts w:ascii="Verdana" w:hAnsi="Verdana" w:cs="Arial"/>
                <w:sz w:val="21"/>
                <w:szCs w:val="21"/>
                <w:u w:val="double"/>
              </w:rPr>
            </w:pPr>
            <w:r w:rsidRPr="004D158E">
              <w:rPr>
                <w:rFonts w:ascii="Verdana" w:hAnsi="Verdana" w:cs="Arial"/>
                <w:sz w:val="21"/>
                <w:szCs w:val="21"/>
                <w:u w:val="double"/>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3ACF35AC" w14:textId="77777777" w:rsidR="00FA523C" w:rsidRDefault="00FA523C" w:rsidP="00272CED">
      <w:pPr>
        <w:jc w:val="both"/>
        <w:rPr>
          <w:rFonts w:ascii="Verdana" w:hAnsi="Verdana" w:cs="Calibri"/>
          <w:b/>
          <w:color w:val="000000"/>
          <w:sz w:val="21"/>
          <w:szCs w:val="21"/>
          <w:lang w:val="es-EC"/>
        </w:rPr>
      </w:pPr>
    </w:p>
    <w:p w14:paraId="42A4666D" w14:textId="79DF6C00" w:rsidR="00272CED" w:rsidRPr="00FA523C" w:rsidRDefault="00FA523C" w:rsidP="00FA523C">
      <w:pPr>
        <w:pStyle w:val="Prrafodelista"/>
        <w:numPr>
          <w:ilvl w:val="0"/>
          <w:numId w:val="6"/>
        </w:numPr>
        <w:jc w:val="both"/>
        <w:rPr>
          <w:rFonts w:ascii="Verdana" w:hAnsi="Verdana" w:cs="Calibri"/>
          <w:b/>
          <w:color w:val="000000"/>
          <w:sz w:val="21"/>
          <w:szCs w:val="21"/>
          <w:lang w:val="es-EC"/>
        </w:rPr>
      </w:pPr>
      <w:r w:rsidRPr="00FA523C">
        <w:rPr>
          <w:rFonts w:ascii="Verdana" w:hAnsi="Verdana" w:cs="Calibri"/>
          <w:b/>
          <w:color w:val="000000"/>
          <w:sz w:val="21"/>
          <w:szCs w:val="21"/>
          <w:lang w:val="es-EC"/>
        </w:rPr>
        <w:t>C</w:t>
      </w:r>
      <w:r w:rsidR="00272CED" w:rsidRPr="00FA523C">
        <w:rPr>
          <w:rFonts w:ascii="Verdana" w:hAnsi="Verdana" w:cs="Calibri"/>
          <w:b/>
          <w:color w:val="00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272CED" w14:paraId="69F7BFB8" w14:textId="77777777" w:rsidTr="004D158E">
        <w:tc>
          <w:tcPr>
            <w:tcW w:w="3686" w:type="dxa"/>
          </w:tcPr>
          <w:p w14:paraId="15366D52" w14:textId="77777777" w:rsidR="00272CED" w:rsidRDefault="00272CED">
            <w:pPr>
              <w:rPr>
                <w:rFonts w:ascii="Verdana" w:hAnsi="Verdana" w:cs="Arial"/>
                <w:sz w:val="21"/>
                <w:szCs w:val="21"/>
              </w:rPr>
            </w:pPr>
          </w:p>
        </w:tc>
        <w:tc>
          <w:tcPr>
            <w:tcW w:w="2551" w:type="dxa"/>
            <w:hideMark/>
          </w:tcPr>
          <w:p w14:paraId="640CA03A" w14:textId="77777777" w:rsidR="00272CED" w:rsidRDefault="00272CED">
            <w:pPr>
              <w:jc w:val="right"/>
              <w:rPr>
                <w:rFonts w:ascii="Verdana" w:hAnsi="Verdana" w:cs="Arial"/>
                <w:sz w:val="21"/>
                <w:szCs w:val="21"/>
                <w:u w:val="single"/>
              </w:rPr>
            </w:pPr>
            <w:r>
              <w:rPr>
                <w:rFonts w:ascii="Verdana" w:hAnsi="Verdana" w:cs="Arial"/>
                <w:sz w:val="21"/>
                <w:szCs w:val="21"/>
                <w:u w:val="single"/>
              </w:rPr>
              <w:t>2021</w:t>
            </w:r>
          </w:p>
        </w:tc>
        <w:tc>
          <w:tcPr>
            <w:tcW w:w="2257" w:type="dxa"/>
            <w:hideMark/>
          </w:tcPr>
          <w:p w14:paraId="536BCF2C" w14:textId="77777777" w:rsidR="00272CED" w:rsidRDefault="00272CED">
            <w:pPr>
              <w:jc w:val="right"/>
              <w:rPr>
                <w:rFonts w:ascii="Verdana" w:hAnsi="Verdana" w:cs="Arial"/>
                <w:sz w:val="21"/>
                <w:szCs w:val="21"/>
                <w:u w:val="single"/>
              </w:rPr>
            </w:pPr>
            <w:r>
              <w:rPr>
                <w:rFonts w:ascii="Verdana" w:hAnsi="Verdana" w:cs="Arial"/>
                <w:sz w:val="21"/>
                <w:szCs w:val="21"/>
                <w:u w:val="single"/>
              </w:rPr>
              <w:t>2020</w:t>
            </w:r>
          </w:p>
        </w:tc>
      </w:tr>
      <w:tr w:rsidR="00272CED" w14:paraId="5E40C96D" w14:textId="77777777" w:rsidTr="004D158E">
        <w:tc>
          <w:tcPr>
            <w:tcW w:w="3686" w:type="dxa"/>
          </w:tcPr>
          <w:p w14:paraId="6082F5E5" w14:textId="77777777" w:rsidR="00272CED" w:rsidRDefault="00272CED">
            <w:pPr>
              <w:rPr>
                <w:rFonts w:ascii="Verdana" w:hAnsi="Verdana" w:cs="Arial"/>
                <w:sz w:val="21"/>
                <w:szCs w:val="21"/>
              </w:rPr>
            </w:pPr>
          </w:p>
        </w:tc>
        <w:tc>
          <w:tcPr>
            <w:tcW w:w="2551" w:type="dxa"/>
          </w:tcPr>
          <w:p w14:paraId="1B203C4B" w14:textId="77777777" w:rsidR="00272CED" w:rsidRDefault="00272CED">
            <w:pPr>
              <w:jc w:val="right"/>
              <w:rPr>
                <w:rFonts w:ascii="Verdana" w:hAnsi="Verdana" w:cs="Arial"/>
                <w:sz w:val="21"/>
                <w:szCs w:val="21"/>
              </w:rPr>
            </w:pPr>
          </w:p>
        </w:tc>
        <w:tc>
          <w:tcPr>
            <w:tcW w:w="2257" w:type="dxa"/>
          </w:tcPr>
          <w:p w14:paraId="3EB5C484" w14:textId="77777777" w:rsidR="00272CED" w:rsidRDefault="00272CED">
            <w:pPr>
              <w:jc w:val="right"/>
              <w:rPr>
                <w:rFonts w:ascii="Verdana" w:hAnsi="Verdana" w:cs="Arial"/>
                <w:sz w:val="21"/>
                <w:szCs w:val="21"/>
              </w:rPr>
            </w:pPr>
          </w:p>
        </w:tc>
      </w:tr>
      <w:tr w:rsidR="00272CED" w14:paraId="0A7CB68C" w14:textId="77777777" w:rsidTr="004D158E">
        <w:tc>
          <w:tcPr>
            <w:tcW w:w="3686" w:type="dxa"/>
            <w:hideMark/>
          </w:tcPr>
          <w:p w14:paraId="767C53C1" w14:textId="77777777" w:rsidR="00272CED" w:rsidRDefault="0032697C">
            <w:pPr>
              <w:rPr>
                <w:rFonts w:ascii="Verdana" w:hAnsi="Verdana" w:cs="Arial"/>
                <w:sz w:val="21"/>
                <w:szCs w:val="21"/>
              </w:rPr>
            </w:pPr>
            <w:r>
              <w:rPr>
                <w:rFonts w:ascii="Verdana" w:hAnsi="Verdana" w:cs="Arial"/>
                <w:sz w:val="21"/>
                <w:szCs w:val="21"/>
              </w:rPr>
              <w:t>Comerciales</w:t>
            </w:r>
          </w:p>
        </w:tc>
        <w:tc>
          <w:tcPr>
            <w:tcW w:w="2551" w:type="dxa"/>
          </w:tcPr>
          <w:p w14:paraId="1AA6084E" w14:textId="13522017" w:rsidR="00272CED" w:rsidRDefault="0034007B">
            <w:pPr>
              <w:jc w:val="right"/>
              <w:rPr>
                <w:rFonts w:ascii="Verdana" w:hAnsi="Verdana" w:cs="Arial"/>
                <w:sz w:val="21"/>
                <w:szCs w:val="21"/>
              </w:rPr>
            </w:pPr>
            <w:r>
              <w:rPr>
                <w:rFonts w:ascii="Verdana" w:hAnsi="Verdana" w:cs="Arial"/>
                <w:sz w:val="21"/>
                <w:szCs w:val="21"/>
              </w:rPr>
              <w:t>27,285</w:t>
            </w:r>
          </w:p>
        </w:tc>
        <w:tc>
          <w:tcPr>
            <w:tcW w:w="2257" w:type="dxa"/>
            <w:hideMark/>
          </w:tcPr>
          <w:p w14:paraId="6E994F1B" w14:textId="77777777" w:rsidR="00272CED" w:rsidRDefault="004D158E">
            <w:pPr>
              <w:jc w:val="right"/>
              <w:rPr>
                <w:rFonts w:ascii="Verdana" w:hAnsi="Verdana" w:cs="Arial"/>
                <w:sz w:val="21"/>
                <w:szCs w:val="21"/>
              </w:rPr>
            </w:pPr>
            <w:r>
              <w:rPr>
                <w:rFonts w:ascii="Verdana" w:hAnsi="Verdana" w:cs="Arial"/>
                <w:sz w:val="21"/>
                <w:szCs w:val="21"/>
              </w:rPr>
              <w:t>93,870</w:t>
            </w:r>
          </w:p>
        </w:tc>
      </w:tr>
      <w:tr w:rsidR="00272CED" w14:paraId="79377E4B" w14:textId="77777777" w:rsidTr="004D158E">
        <w:tc>
          <w:tcPr>
            <w:tcW w:w="3686" w:type="dxa"/>
            <w:hideMark/>
          </w:tcPr>
          <w:p w14:paraId="3AD3F906" w14:textId="77777777" w:rsidR="00272CED" w:rsidRDefault="0032697C">
            <w:pPr>
              <w:rPr>
                <w:rFonts w:ascii="Verdana" w:hAnsi="Verdana" w:cs="Arial"/>
                <w:sz w:val="21"/>
                <w:szCs w:val="21"/>
              </w:rPr>
            </w:pPr>
            <w:r>
              <w:rPr>
                <w:rFonts w:ascii="Verdana" w:hAnsi="Verdana" w:cs="Arial"/>
                <w:sz w:val="21"/>
                <w:szCs w:val="21"/>
              </w:rPr>
              <w:t>Otras cuentas por cobrar</w:t>
            </w:r>
          </w:p>
        </w:tc>
        <w:tc>
          <w:tcPr>
            <w:tcW w:w="2551" w:type="dxa"/>
          </w:tcPr>
          <w:p w14:paraId="7105340B" w14:textId="1DAF413C" w:rsidR="00272CED"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8,368</w:t>
            </w:r>
          </w:p>
        </w:tc>
        <w:tc>
          <w:tcPr>
            <w:tcW w:w="2257" w:type="dxa"/>
            <w:hideMark/>
          </w:tcPr>
          <w:p w14:paraId="6FAA742B" w14:textId="3F19020E" w:rsidR="00272CED" w:rsidRPr="004D158E" w:rsidRDefault="00477B51" w:rsidP="00477B51">
            <w:pPr>
              <w:jc w:val="center"/>
              <w:rPr>
                <w:rFonts w:ascii="Verdana" w:hAnsi="Verdana" w:cs="Arial"/>
                <w:sz w:val="21"/>
                <w:szCs w:val="21"/>
                <w:u w:val="single"/>
              </w:rPr>
            </w:pPr>
            <w:r w:rsidRPr="00FA523C">
              <w:rPr>
                <w:rFonts w:ascii="Verdana" w:hAnsi="Verdana" w:cs="Arial"/>
                <w:sz w:val="21"/>
                <w:szCs w:val="21"/>
              </w:rPr>
              <w:t xml:space="preserve">                </w:t>
            </w:r>
            <w:r>
              <w:rPr>
                <w:rFonts w:ascii="Verdana" w:hAnsi="Verdana" w:cs="Arial"/>
                <w:sz w:val="21"/>
                <w:szCs w:val="21"/>
                <w:u w:val="single"/>
              </w:rPr>
              <w:t xml:space="preserve"> </w:t>
            </w:r>
            <w:r w:rsidR="004D158E" w:rsidRPr="004D158E">
              <w:rPr>
                <w:rFonts w:ascii="Verdana" w:hAnsi="Verdana" w:cs="Arial"/>
                <w:sz w:val="21"/>
                <w:szCs w:val="21"/>
                <w:u w:val="single"/>
              </w:rPr>
              <w:t>14,164</w:t>
            </w:r>
          </w:p>
        </w:tc>
      </w:tr>
      <w:tr w:rsidR="00272CED" w14:paraId="597C7DEB" w14:textId="77777777" w:rsidTr="004D158E">
        <w:tc>
          <w:tcPr>
            <w:tcW w:w="3686" w:type="dxa"/>
          </w:tcPr>
          <w:p w14:paraId="60F4FA01" w14:textId="77777777" w:rsidR="00272CED" w:rsidRDefault="00272CED">
            <w:pPr>
              <w:rPr>
                <w:rFonts w:ascii="Verdana" w:hAnsi="Verdana" w:cs="Arial"/>
                <w:sz w:val="21"/>
                <w:szCs w:val="21"/>
              </w:rPr>
            </w:pPr>
          </w:p>
          <w:p w14:paraId="3127F4D2" w14:textId="77777777" w:rsidR="00272CED" w:rsidRDefault="00272CED">
            <w:pPr>
              <w:rPr>
                <w:rFonts w:ascii="Verdana" w:hAnsi="Verdana" w:cs="Arial"/>
                <w:sz w:val="21"/>
                <w:szCs w:val="21"/>
              </w:rPr>
            </w:pPr>
            <w:r>
              <w:rPr>
                <w:rFonts w:ascii="Verdana" w:hAnsi="Verdana" w:cs="Arial"/>
                <w:sz w:val="21"/>
                <w:szCs w:val="21"/>
              </w:rPr>
              <w:t>Total</w:t>
            </w:r>
          </w:p>
        </w:tc>
        <w:tc>
          <w:tcPr>
            <w:tcW w:w="2551" w:type="dxa"/>
          </w:tcPr>
          <w:p w14:paraId="64E7EAD0" w14:textId="77777777" w:rsidR="00272CED" w:rsidRDefault="00272CED">
            <w:pPr>
              <w:jc w:val="right"/>
              <w:rPr>
                <w:rFonts w:ascii="Verdana" w:hAnsi="Verdana" w:cs="Arial"/>
                <w:sz w:val="21"/>
                <w:szCs w:val="21"/>
              </w:rPr>
            </w:pPr>
          </w:p>
          <w:p w14:paraId="30281531" w14:textId="78C12BF1" w:rsidR="00272CED" w:rsidRDefault="0034007B">
            <w:pPr>
              <w:jc w:val="right"/>
              <w:rPr>
                <w:rFonts w:ascii="Verdana" w:hAnsi="Verdana" w:cs="Arial"/>
                <w:sz w:val="21"/>
                <w:szCs w:val="21"/>
                <w:u w:val="single"/>
              </w:rPr>
            </w:pPr>
            <w:r>
              <w:rPr>
                <w:rFonts w:ascii="Verdana" w:hAnsi="Verdana" w:cs="Arial"/>
                <w:sz w:val="21"/>
                <w:szCs w:val="21"/>
                <w:u w:val="single"/>
              </w:rPr>
              <w:t>35,653</w:t>
            </w:r>
          </w:p>
        </w:tc>
        <w:tc>
          <w:tcPr>
            <w:tcW w:w="2257" w:type="dxa"/>
          </w:tcPr>
          <w:p w14:paraId="0CC1B44C" w14:textId="77777777" w:rsidR="00272CED" w:rsidRDefault="00272CED">
            <w:pPr>
              <w:jc w:val="right"/>
              <w:rPr>
                <w:rFonts w:ascii="Verdana" w:hAnsi="Verdana" w:cs="Arial"/>
                <w:sz w:val="21"/>
                <w:szCs w:val="21"/>
              </w:rPr>
            </w:pPr>
          </w:p>
          <w:p w14:paraId="7E2E83A0" w14:textId="77777777" w:rsidR="00272CED" w:rsidRPr="004D158E" w:rsidRDefault="004D158E">
            <w:pPr>
              <w:jc w:val="right"/>
              <w:rPr>
                <w:rFonts w:ascii="Verdana" w:hAnsi="Verdana" w:cs="Arial"/>
                <w:sz w:val="21"/>
                <w:szCs w:val="21"/>
                <w:u w:val="double"/>
              </w:rPr>
            </w:pPr>
            <w:r>
              <w:rPr>
                <w:rFonts w:ascii="Verdana" w:hAnsi="Verdana" w:cs="Arial"/>
                <w:sz w:val="21"/>
                <w:szCs w:val="21"/>
                <w:u w:val="double"/>
              </w:rPr>
              <w:t>108,034</w:t>
            </w:r>
          </w:p>
        </w:tc>
      </w:tr>
    </w:tbl>
    <w:p w14:paraId="17F796B0" w14:textId="77777777" w:rsidR="00272CED" w:rsidRDefault="00272CED" w:rsidP="00272CED">
      <w:pPr>
        <w:rPr>
          <w:rFonts w:ascii="Verdana" w:hAnsi="Verdana" w:cs="Arial"/>
          <w:sz w:val="18"/>
          <w:szCs w:val="18"/>
        </w:rPr>
      </w:pPr>
    </w:p>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3CAC932F" w:rsidR="00A43559" w:rsidRDefault="00A43559"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14:paraId="4D45DBB5" w14:textId="6766692B" w:rsidR="00A43559" w:rsidRDefault="00A43559"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5EDD96AC" w14:textId="75EA2E94"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3409EBC3" w14:textId="7BA66563"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398C8718" w14:textId="5F276E92"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6C9C27D" w14:textId="77777777" w:rsidR="0034007B" w:rsidRDefault="0034007B"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Default="005C4603" w:rsidP="00272CED">
      <w:pPr>
        <w:rPr>
          <w:rFonts w:ascii="Verdana" w:hAnsi="Verdana" w:cs="Arial"/>
          <w:sz w:val="18"/>
          <w:szCs w:val="18"/>
        </w:rPr>
      </w:pPr>
      <w:r>
        <w:rPr>
          <w:rFonts w:ascii="Verdana" w:hAnsi="Verdana" w:cs="Arial"/>
          <w:b/>
          <w:bCs/>
          <w:color w:val="000000"/>
          <w:sz w:val="21"/>
          <w:szCs w:val="21"/>
        </w:rPr>
        <w:lastRenderedPageBreak/>
        <w:t>7</w:t>
      </w:r>
      <w:r w:rsidR="00A43559">
        <w:rPr>
          <w:rFonts w:ascii="Verdana" w:hAnsi="Verdana" w:cs="Arial"/>
          <w:b/>
          <w:bCs/>
          <w:color w:val="00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127"/>
        <w:gridCol w:w="1842"/>
      </w:tblGrid>
      <w:tr w:rsidR="00A43559" w14:paraId="7B9A95B2" w14:textId="77777777" w:rsidTr="00FA523C">
        <w:tc>
          <w:tcPr>
            <w:tcW w:w="4644" w:type="dxa"/>
          </w:tcPr>
          <w:p w14:paraId="4F251236" w14:textId="77777777" w:rsidR="00A43559" w:rsidRDefault="00A43559">
            <w:pPr>
              <w:rPr>
                <w:rFonts w:ascii="Verdana" w:hAnsi="Verdana" w:cs="Arial"/>
                <w:sz w:val="21"/>
                <w:szCs w:val="21"/>
              </w:rPr>
            </w:pPr>
            <w:bookmarkStart w:id="19" w:name="_Hlk96417824"/>
          </w:p>
        </w:tc>
        <w:tc>
          <w:tcPr>
            <w:tcW w:w="2127" w:type="dxa"/>
            <w:hideMark/>
          </w:tcPr>
          <w:p w14:paraId="5C388C9D" w14:textId="77777777" w:rsidR="00A43559" w:rsidRDefault="00A43559">
            <w:pPr>
              <w:jc w:val="right"/>
              <w:rPr>
                <w:rFonts w:ascii="Verdana" w:hAnsi="Verdana" w:cs="Arial"/>
                <w:sz w:val="21"/>
                <w:szCs w:val="21"/>
                <w:u w:val="single"/>
              </w:rPr>
            </w:pPr>
            <w:r>
              <w:rPr>
                <w:rFonts w:ascii="Verdana" w:hAnsi="Verdana" w:cs="Arial"/>
                <w:sz w:val="21"/>
                <w:szCs w:val="21"/>
                <w:u w:val="single"/>
              </w:rPr>
              <w:t>2021</w:t>
            </w:r>
          </w:p>
        </w:tc>
        <w:tc>
          <w:tcPr>
            <w:tcW w:w="1842" w:type="dxa"/>
            <w:hideMark/>
          </w:tcPr>
          <w:p w14:paraId="00774B90" w14:textId="77777777" w:rsidR="00A43559" w:rsidRDefault="00A43559">
            <w:pPr>
              <w:jc w:val="right"/>
              <w:rPr>
                <w:rFonts w:ascii="Verdana" w:hAnsi="Verdana" w:cs="Arial"/>
                <w:sz w:val="21"/>
                <w:szCs w:val="21"/>
                <w:u w:val="single"/>
              </w:rPr>
            </w:pPr>
            <w:r>
              <w:rPr>
                <w:rFonts w:ascii="Verdana" w:hAnsi="Verdana" w:cs="Arial"/>
                <w:sz w:val="21"/>
                <w:szCs w:val="21"/>
                <w:u w:val="single"/>
              </w:rPr>
              <w:t>2020</w:t>
            </w:r>
          </w:p>
        </w:tc>
      </w:tr>
      <w:bookmarkEnd w:id="19"/>
      <w:tr w:rsidR="00A43559" w14:paraId="4FA406F7" w14:textId="77777777" w:rsidTr="00FA523C">
        <w:tc>
          <w:tcPr>
            <w:tcW w:w="4644" w:type="dxa"/>
          </w:tcPr>
          <w:p w14:paraId="746DCB51" w14:textId="77777777" w:rsidR="00A43559" w:rsidRDefault="00A43559">
            <w:pPr>
              <w:rPr>
                <w:rFonts w:ascii="Verdana" w:hAnsi="Verdana" w:cs="Arial"/>
                <w:sz w:val="21"/>
                <w:szCs w:val="21"/>
              </w:rPr>
            </w:pPr>
          </w:p>
        </w:tc>
        <w:tc>
          <w:tcPr>
            <w:tcW w:w="2127" w:type="dxa"/>
          </w:tcPr>
          <w:p w14:paraId="331DDF55" w14:textId="77777777" w:rsidR="00A43559" w:rsidRDefault="00A43559">
            <w:pPr>
              <w:jc w:val="right"/>
              <w:rPr>
                <w:rFonts w:ascii="Verdana" w:hAnsi="Verdana" w:cs="Arial"/>
                <w:sz w:val="21"/>
                <w:szCs w:val="21"/>
              </w:rPr>
            </w:pPr>
          </w:p>
        </w:tc>
        <w:tc>
          <w:tcPr>
            <w:tcW w:w="1842" w:type="dxa"/>
          </w:tcPr>
          <w:p w14:paraId="1C0D91EE" w14:textId="77777777" w:rsidR="00A43559" w:rsidRDefault="00A43559">
            <w:pPr>
              <w:jc w:val="right"/>
              <w:rPr>
                <w:rFonts w:ascii="Verdana" w:hAnsi="Verdana" w:cs="Arial"/>
                <w:sz w:val="21"/>
                <w:szCs w:val="21"/>
              </w:rPr>
            </w:pPr>
          </w:p>
        </w:tc>
      </w:tr>
      <w:tr w:rsidR="00A43559" w14:paraId="1C5B3628" w14:textId="77777777" w:rsidTr="00FA523C">
        <w:tc>
          <w:tcPr>
            <w:tcW w:w="4644" w:type="dxa"/>
            <w:hideMark/>
          </w:tcPr>
          <w:p w14:paraId="62AC11B6" w14:textId="77777777" w:rsidR="00A43559" w:rsidRDefault="00A43559">
            <w:pPr>
              <w:rPr>
                <w:rFonts w:ascii="Verdana" w:hAnsi="Verdana" w:cs="Arial"/>
                <w:sz w:val="21"/>
                <w:szCs w:val="21"/>
              </w:rPr>
            </w:pPr>
            <w:r>
              <w:rPr>
                <w:rFonts w:ascii="Verdana" w:hAnsi="Verdana" w:cs="Arial"/>
                <w:sz w:val="21"/>
                <w:szCs w:val="21"/>
              </w:rPr>
              <w:t>Crédito tributario por IVA</w:t>
            </w:r>
          </w:p>
        </w:tc>
        <w:tc>
          <w:tcPr>
            <w:tcW w:w="2127" w:type="dxa"/>
          </w:tcPr>
          <w:p w14:paraId="7E30671A" w14:textId="622D8284" w:rsidR="00A43559" w:rsidRDefault="0034007B">
            <w:pPr>
              <w:jc w:val="right"/>
              <w:rPr>
                <w:rFonts w:ascii="Verdana" w:hAnsi="Verdana" w:cs="Arial"/>
                <w:sz w:val="21"/>
                <w:szCs w:val="21"/>
              </w:rPr>
            </w:pPr>
            <w:r>
              <w:rPr>
                <w:rFonts w:ascii="Verdana" w:hAnsi="Verdana" w:cs="Arial"/>
                <w:sz w:val="21"/>
                <w:szCs w:val="21"/>
              </w:rPr>
              <w:t>81,368</w:t>
            </w:r>
          </w:p>
        </w:tc>
        <w:tc>
          <w:tcPr>
            <w:tcW w:w="1842" w:type="dxa"/>
            <w:hideMark/>
          </w:tcPr>
          <w:p w14:paraId="21F0578B" w14:textId="77777777" w:rsidR="00A43559" w:rsidRDefault="00A43559">
            <w:pPr>
              <w:jc w:val="right"/>
              <w:rPr>
                <w:rFonts w:ascii="Verdana" w:hAnsi="Verdana" w:cs="Arial"/>
                <w:sz w:val="21"/>
                <w:szCs w:val="21"/>
              </w:rPr>
            </w:pPr>
            <w:r>
              <w:rPr>
                <w:rFonts w:ascii="Verdana" w:hAnsi="Verdana" w:cs="Arial"/>
                <w:sz w:val="21"/>
                <w:szCs w:val="21"/>
              </w:rPr>
              <w:t>123,594</w:t>
            </w:r>
          </w:p>
        </w:tc>
      </w:tr>
      <w:tr w:rsidR="00A43559" w14:paraId="46484951" w14:textId="77777777" w:rsidTr="00FA523C">
        <w:tc>
          <w:tcPr>
            <w:tcW w:w="4644" w:type="dxa"/>
            <w:hideMark/>
          </w:tcPr>
          <w:p w14:paraId="72395B05" w14:textId="77777777" w:rsidR="00A43559" w:rsidRDefault="00A43559">
            <w:pPr>
              <w:rPr>
                <w:rFonts w:ascii="Verdana" w:hAnsi="Verdana" w:cs="Arial"/>
                <w:sz w:val="21"/>
                <w:szCs w:val="21"/>
              </w:rPr>
            </w:pPr>
            <w:r>
              <w:rPr>
                <w:rFonts w:ascii="Verdana" w:hAnsi="Verdana" w:cs="Arial"/>
                <w:sz w:val="21"/>
                <w:szCs w:val="21"/>
              </w:rPr>
              <w:t>Crédito tributario por impuesto a la renta</w:t>
            </w:r>
          </w:p>
        </w:tc>
        <w:tc>
          <w:tcPr>
            <w:tcW w:w="2127" w:type="dxa"/>
          </w:tcPr>
          <w:p w14:paraId="1D65BB64" w14:textId="36BE1432" w:rsidR="00A43559" w:rsidRPr="0034007B" w:rsidRDefault="0034007B" w:rsidP="0034007B">
            <w:pPr>
              <w:jc w:val="center"/>
              <w:rPr>
                <w:rFonts w:ascii="Verdana" w:hAnsi="Verdana" w:cs="Arial"/>
                <w:sz w:val="21"/>
                <w:szCs w:val="21"/>
                <w:u w:val="single"/>
              </w:rPr>
            </w:pPr>
            <w:r>
              <w:rPr>
                <w:rFonts w:ascii="Verdana" w:hAnsi="Verdana" w:cs="Arial"/>
                <w:sz w:val="21"/>
                <w:szCs w:val="21"/>
              </w:rPr>
              <w:t xml:space="preserve">             </w:t>
            </w:r>
            <w:r w:rsidRPr="0034007B">
              <w:rPr>
                <w:rFonts w:ascii="Verdana" w:hAnsi="Verdana" w:cs="Arial"/>
                <w:sz w:val="21"/>
                <w:szCs w:val="21"/>
                <w:u w:val="single"/>
              </w:rPr>
              <w:t xml:space="preserve">  58,727</w:t>
            </w:r>
          </w:p>
        </w:tc>
        <w:tc>
          <w:tcPr>
            <w:tcW w:w="1842" w:type="dxa"/>
            <w:hideMark/>
          </w:tcPr>
          <w:p w14:paraId="62D2A672" w14:textId="0EA39898" w:rsidR="00A43559" w:rsidRPr="00A43559" w:rsidRDefault="00FA523C" w:rsidP="00FA523C">
            <w:pPr>
              <w:jc w:val="center"/>
              <w:rPr>
                <w:rFonts w:ascii="Verdana" w:hAnsi="Verdana" w:cs="Arial"/>
                <w:sz w:val="21"/>
                <w:szCs w:val="21"/>
                <w:u w:val="single"/>
              </w:rPr>
            </w:pPr>
            <w:r w:rsidRPr="00FA523C">
              <w:rPr>
                <w:rFonts w:ascii="Verdana" w:hAnsi="Verdana" w:cs="Arial"/>
                <w:sz w:val="21"/>
                <w:szCs w:val="21"/>
              </w:rPr>
              <w:t xml:space="preserve">          </w:t>
            </w:r>
            <w:r w:rsidR="00213A44">
              <w:rPr>
                <w:rFonts w:ascii="Verdana" w:hAnsi="Verdana" w:cs="Arial"/>
                <w:sz w:val="21"/>
                <w:szCs w:val="21"/>
              </w:rPr>
              <w:t xml:space="preserve"> </w:t>
            </w:r>
            <w:r w:rsidR="00A43559" w:rsidRPr="00A43559">
              <w:rPr>
                <w:rFonts w:ascii="Verdana" w:hAnsi="Verdana" w:cs="Arial"/>
                <w:sz w:val="21"/>
                <w:szCs w:val="21"/>
                <w:u w:val="single"/>
              </w:rPr>
              <w:t>53,156</w:t>
            </w:r>
          </w:p>
        </w:tc>
      </w:tr>
      <w:tr w:rsidR="00A43559" w14:paraId="652DD4F9" w14:textId="77777777" w:rsidTr="00FA523C">
        <w:tc>
          <w:tcPr>
            <w:tcW w:w="4644" w:type="dxa"/>
          </w:tcPr>
          <w:p w14:paraId="26B67A1F" w14:textId="77777777" w:rsidR="00A43559" w:rsidRDefault="00A43559">
            <w:pPr>
              <w:rPr>
                <w:rFonts w:ascii="Verdana" w:hAnsi="Verdana" w:cs="Arial"/>
                <w:sz w:val="21"/>
                <w:szCs w:val="21"/>
              </w:rPr>
            </w:pPr>
          </w:p>
          <w:p w14:paraId="4177AC76" w14:textId="77777777" w:rsidR="00A43559" w:rsidRDefault="00A43559">
            <w:pPr>
              <w:rPr>
                <w:rFonts w:ascii="Verdana" w:hAnsi="Verdana" w:cs="Arial"/>
                <w:sz w:val="21"/>
                <w:szCs w:val="21"/>
              </w:rPr>
            </w:pPr>
            <w:r>
              <w:rPr>
                <w:rFonts w:ascii="Verdana" w:hAnsi="Verdana" w:cs="Arial"/>
                <w:sz w:val="21"/>
                <w:szCs w:val="21"/>
              </w:rPr>
              <w:t>Total</w:t>
            </w:r>
          </w:p>
        </w:tc>
        <w:tc>
          <w:tcPr>
            <w:tcW w:w="2127" w:type="dxa"/>
          </w:tcPr>
          <w:p w14:paraId="2720035C" w14:textId="77777777" w:rsidR="00A43559" w:rsidRDefault="00A43559">
            <w:pPr>
              <w:jc w:val="right"/>
              <w:rPr>
                <w:rFonts w:ascii="Verdana" w:hAnsi="Verdana" w:cs="Arial"/>
                <w:sz w:val="21"/>
                <w:szCs w:val="21"/>
              </w:rPr>
            </w:pPr>
          </w:p>
          <w:p w14:paraId="122DA7C2" w14:textId="606D6224" w:rsidR="00A43559" w:rsidRPr="0034007B" w:rsidRDefault="0034007B">
            <w:pPr>
              <w:jc w:val="right"/>
              <w:rPr>
                <w:rFonts w:ascii="Verdana" w:hAnsi="Verdana" w:cs="Arial"/>
                <w:sz w:val="21"/>
                <w:szCs w:val="21"/>
                <w:u w:val="double"/>
              </w:rPr>
            </w:pPr>
            <w:r w:rsidRPr="0034007B">
              <w:rPr>
                <w:rFonts w:ascii="Verdana" w:hAnsi="Verdana" w:cs="Arial"/>
                <w:sz w:val="21"/>
                <w:szCs w:val="21"/>
                <w:u w:val="double"/>
              </w:rPr>
              <w:t>140,094</w:t>
            </w:r>
          </w:p>
        </w:tc>
        <w:tc>
          <w:tcPr>
            <w:tcW w:w="1842" w:type="dxa"/>
          </w:tcPr>
          <w:p w14:paraId="7C896DF4" w14:textId="77777777" w:rsidR="00A43559" w:rsidRDefault="00A43559">
            <w:pPr>
              <w:jc w:val="right"/>
              <w:rPr>
                <w:rFonts w:ascii="Verdana" w:hAnsi="Verdana" w:cs="Arial"/>
                <w:sz w:val="21"/>
                <w:szCs w:val="21"/>
              </w:rPr>
            </w:pPr>
          </w:p>
          <w:p w14:paraId="3F4C177C" w14:textId="77777777" w:rsidR="00A43559" w:rsidRDefault="00A43559">
            <w:pPr>
              <w:jc w:val="right"/>
              <w:rPr>
                <w:rFonts w:ascii="Verdana" w:hAnsi="Verdana" w:cs="Arial"/>
                <w:sz w:val="21"/>
                <w:szCs w:val="21"/>
                <w:u w:val="double"/>
              </w:rPr>
            </w:pPr>
            <w:r>
              <w:rPr>
                <w:rFonts w:ascii="Verdana" w:hAnsi="Verdana" w:cs="Arial"/>
                <w:sz w:val="21"/>
                <w:szCs w:val="21"/>
                <w:u w:val="double"/>
              </w:rPr>
              <w:t>176,750</w:t>
            </w:r>
          </w:p>
        </w:tc>
      </w:tr>
    </w:tbl>
    <w:p w14:paraId="2A504800" w14:textId="77777777" w:rsidR="00A43559" w:rsidRDefault="00A43559" w:rsidP="00A43559">
      <w:pPr>
        <w:rPr>
          <w:rFonts w:ascii="Verdana" w:hAnsi="Verdana" w:cs="Arial"/>
          <w:sz w:val="18"/>
          <w:szCs w:val="18"/>
        </w:rPr>
      </w:pPr>
    </w:p>
    <w:p w14:paraId="64E6DEEC" w14:textId="77777777" w:rsidR="00A43559" w:rsidRDefault="00A43559" w:rsidP="00A43559">
      <w:pPr>
        <w:rPr>
          <w:rFonts w:ascii="Verdana" w:hAnsi="Verdana" w:cs="Arial"/>
          <w:sz w:val="18"/>
          <w:szCs w:val="18"/>
        </w:rPr>
      </w:pPr>
    </w:p>
    <w:p w14:paraId="0802E30C" w14:textId="7777777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periodos contables. </w:t>
      </w:r>
    </w:p>
    <w:p w14:paraId="71CCF8A1" w14:textId="77777777" w:rsidR="00A43559" w:rsidRDefault="00A43559" w:rsidP="00A43559">
      <w:pPr>
        <w:ind w:left="567"/>
        <w:jc w:val="both"/>
        <w:outlineLvl w:val="5"/>
        <w:rPr>
          <w:rFonts w:ascii="Verdana" w:hAnsi="Verdana" w:cs="Arial"/>
          <w:color w:val="000000"/>
          <w:sz w:val="21"/>
          <w:szCs w:val="21"/>
        </w:rPr>
      </w:pPr>
    </w:p>
    <w:p w14:paraId="5F6B3E4F" w14:textId="77CCEC8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Este crédito tributario puede ser utilizado hasta en cinco años y, al 31 de diciembre del 2021, su saldo se origina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en el 2021,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mil en el año 2020 y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mil en el año 2019.</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8</w:t>
      </w:r>
      <w:r w:rsidR="00067512">
        <w:rPr>
          <w:rFonts w:ascii="Verdana" w:hAnsi="Verdana" w:cs="Arial"/>
          <w:b/>
          <w:bCs/>
          <w:color w:val="000000"/>
          <w:sz w:val="21"/>
          <w:szCs w:val="21"/>
        </w:rPr>
        <w:t>.     INVENTARIOS</w:t>
      </w:r>
    </w:p>
    <w:tbl>
      <w:tblPr>
        <w:tblStyle w:val="Tablaconcuadrcula"/>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828"/>
        <w:gridCol w:w="299"/>
        <w:gridCol w:w="1031"/>
        <w:gridCol w:w="811"/>
        <w:gridCol w:w="404"/>
      </w:tblGrid>
      <w:tr w:rsidR="0034007B" w14:paraId="5F5FFADC" w14:textId="77777777" w:rsidTr="0034007B">
        <w:trPr>
          <w:gridAfter w:val="1"/>
          <w:wAfter w:w="404" w:type="dxa"/>
        </w:trPr>
        <w:tc>
          <w:tcPr>
            <w:tcW w:w="4644" w:type="dxa"/>
          </w:tcPr>
          <w:p w14:paraId="427D44D3" w14:textId="77777777" w:rsidR="0034007B" w:rsidRDefault="0034007B" w:rsidP="0019326C">
            <w:pPr>
              <w:rPr>
                <w:rFonts w:ascii="Verdana" w:hAnsi="Verdana" w:cs="Arial"/>
                <w:sz w:val="21"/>
                <w:szCs w:val="21"/>
              </w:rPr>
            </w:pPr>
          </w:p>
        </w:tc>
        <w:tc>
          <w:tcPr>
            <w:tcW w:w="2127" w:type="dxa"/>
            <w:gridSpan w:val="2"/>
            <w:hideMark/>
          </w:tcPr>
          <w:p w14:paraId="5AC620CD" w14:textId="781A0BC1" w:rsidR="0034007B" w:rsidRDefault="0034007B" w:rsidP="0019326C">
            <w:pPr>
              <w:jc w:val="right"/>
              <w:rPr>
                <w:rFonts w:ascii="Verdana" w:hAnsi="Verdana" w:cs="Arial"/>
                <w:sz w:val="21"/>
                <w:szCs w:val="21"/>
                <w:u w:val="single"/>
              </w:rPr>
            </w:pPr>
            <w:r>
              <w:rPr>
                <w:rFonts w:ascii="Verdana" w:hAnsi="Verdana" w:cs="Arial"/>
                <w:sz w:val="21"/>
                <w:szCs w:val="21"/>
                <w:u w:val="single"/>
              </w:rPr>
              <w:t>2021</w:t>
            </w:r>
          </w:p>
        </w:tc>
        <w:tc>
          <w:tcPr>
            <w:tcW w:w="1842" w:type="dxa"/>
            <w:gridSpan w:val="2"/>
            <w:hideMark/>
          </w:tcPr>
          <w:p w14:paraId="7DE5439E" w14:textId="77777777" w:rsidR="0034007B" w:rsidRDefault="0034007B" w:rsidP="0019326C">
            <w:pPr>
              <w:jc w:val="right"/>
              <w:rPr>
                <w:rFonts w:ascii="Verdana" w:hAnsi="Verdana" w:cs="Arial"/>
                <w:sz w:val="21"/>
                <w:szCs w:val="21"/>
                <w:u w:val="single"/>
              </w:rPr>
            </w:pPr>
            <w:r>
              <w:rPr>
                <w:rFonts w:ascii="Verdana" w:hAnsi="Verdana" w:cs="Arial"/>
                <w:sz w:val="21"/>
                <w:szCs w:val="21"/>
                <w:u w:val="single"/>
              </w:rPr>
              <w:t>2020</w:t>
            </w:r>
          </w:p>
        </w:tc>
      </w:tr>
      <w:tr w:rsidR="008E513A" w14:paraId="17502C10" w14:textId="77777777" w:rsidTr="0034007B">
        <w:trPr>
          <w:trHeight w:val="280"/>
        </w:trPr>
        <w:tc>
          <w:tcPr>
            <w:tcW w:w="6472" w:type="dxa"/>
            <w:gridSpan w:val="2"/>
          </w:tcPr>
          <w:p w14:paraId="13C5CBE4" w14:textId="77777777" w:rsidR="008E513A" w:rsidRDefault="008E513A" w:rsidP="008E513A">
            <w:pPr>
              <w:rPr>
                <w:rFonts w:ascii="Verdana" w:hAnsi="Verdana" w:cs="Arial"/>
                <w:color w:val="000000"/>
                <w:sz w:val="21"/>
                <w:szCs w:val="21"/>
              </w:rPr>
            </w:pPr>
          </w:p>
        </w:tc>
        <w:tc>
          <w:tcPr>
            <w:tcW w:w="1330" w:type="dxa"/>
            <w:gridSpan w:val="2"/>
          </w:tcPr>
          <w:p w14:paraId="262BA8FF" w14:textId="77777777" w:rsidR="008E513A" w:rsidRPr="008E513A" w:rsidRDefault="008E513A" w:rsidP="008E513A">
            <w:pPr>
              <w:rPr>
                <w:rFonts w:ascii="Verdana" w:hAnsi="Verdana" w:cs="Arial"/>
                <w:color w:val="000000"/>
                <w:sz w:val="21"/>
                <w:szCs w:val="21"/>
                <w:u w:val="single"/>
              </w:rPr>
            </w:pPr>
          </w:p>
        </w:tc>
        <w:tc>
          <w:tcPr>
            <w:tcW w:w="1215" w:type="dxa"/>
            <w:gridSpan w:val="2"/>
          </w:tcPr>
          <w:p w14:paraId="73FEF6D5" w14:textId="77777777" w:rsidR="008E513A" w:rsidRPr="008E513A" w:rsidRDefault="008E513A" w:rsidP="008E513A">
            <w:pPr>
              <w:rPr>
                <w:rFonts w:ascii="Verdana" w:hAnsi="Verdana" w:cs="Arial"/>
                <w:color w:val="000000"/>
                <w:sz w:val="21"/>
                <w:szCs w:val="21"/>
                <w:u w:val="single"/>
              </w:rPr>
            </w:pPr>
          </w:p>
        </w:tc>
      </w:tr>
      <w:tr w:rsidR="008E513A" w14:paraId="31AF1BD0" w14:textId="77777777" w:rsidTr="0034007B">
        <w:trPr>
          <w:trHeight w:val="280"/>
        </w:trPr>
        <w:tc>
          <w:tcPr>
            <w:tcW w:w="6472" w:type="dxa"/>
            <w:gridSpan w:val="2"/>
          </w:tcPr>
          <w:p w14:paraId="23247984" w14:textId="2850CDDD" w:rsidR="008E513A" w:rsidRDefault="008E513A" w:rsidP="008E513A">
            <w:pPr>
              <w:rPr>
                <w:rFonts w:ascii="Verdana" w:hAnsi="Verdana" w:cs="Arial"/>
                <w:color w:val="000000"/>
                <w:sz w:val="21"/>
                <w:szCs w:val="21"/>
              </w:rPr>
            </w:pPr>
            <w:r>
              <w:rPr>
                <w:rFonts w:ascii="Verdana" w:hAnsi="Verdana" w:cs="Arial"/>
                <w:color w:val="000000"/>
                <w:sz w:val="21"/>
                <w:szCs w:val="21"/>
              </w:rPr>
              <w:t>Mobiliario para eventos</w:t>
            </w:r>
          </w:p>
        </w:tc>
        <w:tc>
          <w:tcPr>
            <w:tcW w:w="1330" w:type="dxa"/>
            <w:gridSpan w:val="2"/>
          </w:tcPr>
          <w:p w14:paraId="49567F1D" w14:textId="4EBD497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215" w:type="dxa"/>
            <w:gridSpan w:val="2"/>
          </w:tcPr>
          <w:p w14:paraId="1657644A" w14:textId="2CC2D45B" w:rsidR="008E513A" w:rsidRDefault="003C010B" w:rsidP="003C010B">
            <w:pPr>
              <w:jc w:val="center"/>
              <w:rPr>
                <w:rFonts w:ascii="Verdana" w:hAnsi="Verdana" w:cs="Arial"/>
                <w:color w:val="000000"/>
                <w:sz w:val="21"/>
                <w:szCs w:val="21"/>
              </w:rPr>
            </w:pPr>
            <w:r>
              <w:rPr>
                <w:rFonts w:ascii="Verdana" w:hAnsi="Verdana" w:cs="Arial"/>
                <w:color w:val="000000"/>
                <w:sz w:val="21"/>
                <w:szCs w:val="21"/>
              </w:rPr>
              <w:t>47,427</w:t>
            </w:r>
          </w:p>
        </w:tc>
      </w:tr>
      <w:tr w:rsidR="008E513A" w14:paraId="5DA68169" w14:textId="77777777" w:rsidTr="0034007B">
        <w:trPr>
          <w:trHeight w:val="280"/>
        </w:trPr>
        <w:tc>
          <w:tcPr>
            <w:tcW w:w="6472" w:type="dxa"/>
            <w:gridSpan w:val="2"/>
          </w:tcPr>
          <w:p w14:paraId="25CAC57E" w14:textId="27BF691D" w:rsidR="008E513A" w:rsidRDefault="008E513A" w:rsidP="008E513A">
            <w:pPr>
              <w:rPr>
                <w:rFonts w:ascii="Verdana" w:hAnsi="Verdana" w:cs="Arial"/>
                <w:color w:val="000000"/>
                <w:sz w:val="21"/>
                <w:szCs w:val="21"/>
              </w:rPr>
            </w:pPr>
            <w:r>
              <w:rPr>
                <w:rFonts w:ascii="Verdana" w:hAnsi="Verdana" w:cs="Arial"/>
                <w:color w:val="000000"/>
                <w:sz w:val="21"/>
                <w:szCs w:val="21"/>
              </w:rPr>
              <w:t>Eventos en curso</w:t>
            </w:r>
          </w:p>
        </w:tc>
        <w:tc>
          <w:tcPr>
            <w:tcW w:w="1330" w:type="dxa"/>
            <w:gridSpan w:val="2"/>
          </w:tcPr>
          <w:p w14:paraId="6F073ED3" w14:textId="4EB96314" w:rsidR="008E513A" w:rsidRPr="0034007B" w:rsidRDefault="0034007B" w:rsidP="008E513A">
            <w:pPr>
              <w:rPr>
                <w:rFonts w:ascii="Verdana" w:hAnsi="Verdana" w:cs="Arial"/>
                <w:color w:val="000000"/>
                <w:sz w:val="21"/>
                <w:szCs w:val="21"/>
                <w:u w:val="single"/>
              </w:rPr>
            </w:pPr>
            <w:r w:rsidRPr="0034007B">
              <w:rPr>
                <w:rFonts w:ascii="Verdana" w:hAnsi="Verdana" w:cs="Arial"/>
                <w:color w:val="000000"/>
                <w:sz w:val="21"/>
                <w:szCs w:val="21"/>
                <w:u w:val="single"/>
              </w:rPr>
              <w:t xml:space="preserve">         </w:t>
            </w:r>
            <w:r w:rsidR="00C81450">
              <w:rPr>
                <w:rFonts w:ascii="Verdana" w:hAnsi="Verdana" w:cs="Arial"/>
                <w:color w:val="000000"/>
                <w:sz w:val="21"/>
                <w:szCs w:val="21"/>
                <w:u w:val="single"/>
              </w:rPr>
              <w:t xml:space="preserve"> </w:t>
            </w:r>
            <w:r w:rsidRPr="0034007B">
              <w:rPr>
                <w:rFonts w:ascii="Verdana" w:hAnsi="Verdana" w:cs="Arial"/>
                <w:color w:val="000000"/>
                <w:sz w:val="21"/>
                <w:szCs w:val="21"/>
                <w:u w:val="single"/>
              </w:rPr>
              <w:t>0</w:t>
            </w:r>
          </w:p>
        </w:tc>
        <w:tc>
          <w:tcPr>
            <w:tcW w:w="1215" w:type="dxa"/>
            <w:gridSpan w:val="2"/>
          </w:tcPr>
          <w:p w14:paraId="04020C82" w14:textId="1CB3EC4A" w:rsidR="008E513A" w:rsidRPr="0034007B" w:rsidRDefault="003C010B" w:rsidP="003C010B">
            <w:pPr>
              <w:jc w:val="center"/>
              <w:rPr>
                <w:rFonts w:ascii="Verdana" w:hAnsi="Verdana" w:cs="Arial"/>
                <w:color w:val="000000"/>
                <w:sz w:val="21"/>
                <w:szCs w:val="21"/>
                <w:u w:val="single"/>
              </w:rPr>
            </w:pPr>
            <w:r w:rsidRPr="0034007B">
              <w:rPr>
                <w:rFonts w:ascii="Verdana" w:hAnsi="Verdana" w:cs="Arial"/>
                <w:color w:val="000000"/>
                <w:sz w:val="21"/>
                <w:szCs w:val="21"/>
                <w:u w:val="single"/>
              </w:rPr>
              <w:t>13,000</w:t>
            </w:r>
          </w:p>
        </w:tc>
      </w:tr>
      <w:tr w:rsidR="008E513A" w14:paraId="71B1A5E5" w14:textId="77777777" w:rsidTr="0034007B">
        <w:trPr>
          <w:trHeight w:val="280"/>
        </w:trPr>
        <w:tc>
          <w:tcPr>
            <w:tcW w:w="6472" w:type="dxa"/>
            <w:gridSpan w:val="2"/>
          </w:tcPr>
          <w:p w14:paraId="57BF7D19" w14:textId="4E538F5C" w:rsidR="008E513A" w:rsidRDefault="008E513A" w:rsidP="008E513A">
            <w:pPr>
              <w:rPr>
                <w:rFonts w:ascii="Verdana" w:hAnsi="Verdana" w:cs="Arial"/>
                <w:color w:val="000000"/>
                <w:sz w:val="21"/>
                <w:szCs w:val="21"/>
              </w:rPr>
            </w:pPr>
            <w:r>
              <w:rPr>
                <w:rFonts w:ascii="Verdana" w:hAnsi="Verdana" w:cs="Arial"/>
                <w:color w:val="000000"/>
                <w:sz w:val="21"/>
                <w:szCs w:val="21"/>
              </w:rPr>
              <w:t>Subtotal</w:t>
            </w:r>
          </w:p>
        </w:tc>
        <w:tc>
          <w:tcPr>
            <w:tcW w:w="1330" w:type="dxa"/>
            <w:gridSpan w:val="2"/>
          </w:tcPr>
          <w:p w14:paraId="682F0DC2" w14:textId="70E9A71F" w:rsidR="008E513A" w:rsidRDefault="00C81450" w:rsidP="008E513A">
            <w:pPr>
              <w:rPr>
                <w:rFonts w:ascii="Verdana" w:hAnsi="Verdana" w:cs="Arial"/>
                <w:color w:val="000000"/>
                <w:sz w:val="21"/>
                <w:szCs w:val="21"/>
              </w:rPr>
            </w:pPr>
            <w:r>
              <w:rPr>
                <w:rFonts w:ascii="Verdana" w:hAnsi="Verdana" w:cs="Arial"/>
                <w:color w:val="000000"/>
                <w:sz w:val="21"/>
                <w:szCs w:val="21"/>
              </w:rPr>
              <w:t xml:space="preserve"> </w:t>
            </w:r>
            <w:r w:rsidR="0034007B">
              <w:rPr>
                <w:rFonts w:ascii="Verdana" w:hAnsi="Verdana" w:cs="Arial"/>
                <w:color w:val="000000"/>
                <w:sz w:val="21"/>
                <w:szCs w:val="21"/>
              </w:rPr>
              <w:t>47,427</w:t>
            </w:r>
          </w:p>
        </w:tc>
        <w:tc>
          <w:tcPr>
            <w:tcW w:w="1215" w:type="dxa"/>
            <w:gridSpan w:val="2"/>
          </w:tcPr>
          <w:p w14:paraId="702FB7F8" w14:textId="5F133014" w:rsidR="008E513A" w:rsidRDefault="003C010B" w:rsidP="003C010B">
            <w:pPr>
              <w:jc w:val="center"/>
              <w:rPr>
                <w:rFonts w:ascii="Verdana" w:hAnsi="Verdana" w:cs="Arial"/>
                <w:color w:val="000000"/>
                <w:sz w:val="21"/>
                <w:szCs w:val="21"/>
              </w:rPr>
            </w:pPr>
            <w:r>
              <w:rPr>
                <w:rFonts w:ascii="Verdana" w:hAnsi="Verdana" w:cs="Arial"/>
                <w:color w:val="000000"/>
                <w:sz w:val="21"/>
                <w:szCs w:val="21"/>
              </w:rPr>
              <w:t>60,427</w:t>
            </w:r>
          </w:p>
        </w:tc>
      </w:tr>
      <w:tr w:rsidR="008E513A" w14:paraId="01F74ACC" w14:textId="77777777" w:rsidTr="0034007B">
        <w:trPr>
          <w:trHeight w:val="280"/>
        </w:trPr>
        <w:tc>
          <w:tcPr>
            <w:tcW w:w="6472" w:type="dxa"/>
            <w:gridSpan w:val="2"/>
          </w:tcPr>
          <w:p w14:paraId="47362552" w14:textId="0EE4934B" w:rsidR="008E513A" w:rsidRDefault="003C010B" w:rsidP="008E513A">
            <w:pPr>
              <w:rPr>
                <w:rFonts w:ascii="Verdana" w:hAnsi="Verdana" w:cs="Arial"/>
                <w:color w:val="000000"/>
                <w:sz w:val="21"/>
                <w:szCs w:val="21"/>
              </w:rPr>
            </w:pPr>
            <w:r>
              <w:rPr>
                <w:rFonts w:ascii="Verdana" w:hAnsi="Verdana" w:cs="Arial"/>
                <w:color w:val="000000"/>
                <w:sz w:val="21"/>
                <w:szCs w:val="21"/>
              </w:rPr>
              <w:t>Menos, amortización de mobiliario para eventos</w:t>
            </w:r>
          </w:p>
        </w:tc>
        <w:tc>
          <w:tcPr>
            <w:tcW w:w="1330" w:type="dxa"/>
            <w:gridSpan w:val="2"/>
          </w:tcPr>
          <w:p w14:paraId="0342A09F" w14:textId="53C4B9D7" w:rsidR="008E513A" w:rsidRPr="00C81450" w:rsidRDefault="0034007B" w:rsidP="008E513A">
            <w:pPr>
              <w:rPr>
                <w:rFonts w:ascii="Verdana" w:hAnsi="Verdana" w:cs="Arial"/>
                <w:color w:val="000000"/>
                <w:sz w:val="21"/>
                <w:szCs w:val="21"/>
                <w:u w:val="single"/>
              </w:rPr>
            </w:pPr>
            <w:r w:rsidRPr="00C81450">
              <w:rPr>
                <w:rFonts w:ascii="Verdana" w:hAnsi="Verdana" w:cs="Arial"/>
                <w:color w:val="000000"/>
                <w:sz w:val="21"/>
                <w:szCs w:val="21"/>
                <w:u w:val="single"/>
              </w:rPr>
              <w:t>(15,809)</w:t>
            </w:r>
          </w:p>
        </w:tc>
        <w:tc>
          <w:tcPr>
            <w:tcW w:w="1215" w:type="dxa"/>
            <w:gridSpan w:val="2"/>
            <w:tcBorders>
              <w:bottom w:val="single" w:sz="4" w:space="0" w:color="auto"/>
            </w:tcBorders>
          </w:tcPr>
          <w:p w14:paraId="2E18A178" w14:textId="35A77200" w:rsidR="008E513A" w:rsidRDefault="003C010B" w:rsidP="0034007B">
            <w:pPr>
              <w:rPr>
                <w:rFonts w:ascii="Verdana" w:hAnsi="Verdana" w:cs="Arial"/>
                <w:color w:val="000000"/>
                <w:sz w:val="21"/>
                <w:szCs w:val="21"/>
              </w:rPr>
            </w:pPr>
            <w:r>
              <w:rPr>
                <w:rFonts w:ascii="Verdana" w:hAnsi="Verdana" w:cs="Arial"/>
                <w:color w:val="000000"/>
                <w:sz w:val="21"/>
                <w:szCs w:val="21"/>
              </w:rPr>
              <w:t>(15,809)</w:t>
            </w:r>
          </w:p>
        </w:tc>
      </w:tr>
      <w:tr w:rsidR="003C010B" w14:paraId="2EFD0868" w14:textId="77777777" w:rsidTr="0034007B">
        <w:trPr>
          <w:trHeight w:val="280"/>
        </w:trPr>
        <w:tc>
          <w:tcPr>
            <w:tcW w:w="6472" w:type="dxa"/>
            <w:gridSpan w:val="2"/>
          </w:tcPr>
          <w:p w14:paraId="590140AF" w14:textId="77777777" w:rsidR="003C010B" w:rsidRDefault="003C010B" w:rsidP="008E513A">
            <w:pPr>
              <w:rPr>
                <w:rFonts w:ascii="Verdana" w:hAnsi="Verdana" w:cs="Arial"/>
                <w:color w:val="000000"/>
                <w:sz w:val="21"/>
                <w:szCs w:val="21"/>
              </w:rPr>
            </w:pPr>
          </w:p>
        </w:tc>
        <w:tc>
          <w:tcPr>
            <w:tcW w:w="1330" w:type="dxa"/>
            <w:gridSpan w:val="2"/>
          </w:tcPr>
          <w:p w14:paraId="201B603A" w14:textId="77777777" w:rsidR="003C010B" w:rsidRDefault="003C010B" w:rsidP="008E513A">
            <w:pPr>
              <w:rPr>
                <w:rFonts w:ascii="Verdana" w:hAnsi="Verdana" w:cs="Arial"/>
                <w:color w:val="000000"/>
                <w:sz w:val="21"/>
                <w:szCs w:val="21"/>
              </w:rPr>
            </w:pPr>
          </w:p>
        </w:tc>
        <w:tc>
          <w:tcPr>
            <w:tcW w:w="1215" w:type="dxa"/>
            <w:gridSpan w:val="2"/>
            <w:tcBorders>
              <w:top w:val="single" w:sz="4" w:space="0" w:color="auto"/>
            </w:tcBorders>
          </w:tcPr>
          <w:p w14:paraId="55476510" w14:textId="77777777" w:rsidR="003C010B" w:rsidRDefault="003C010B" w:rsidP="003C010B">
            <w:pPr>
              <w:jc w:val="right"/>
              <w:rPr>
                <w:rFonts w:ascii="Verdana" w:hAnsi="Verdana" w:cs="Arial"/>
                <w:color w:val="000000"/>
                <w:sz w:val="21"/>
                <w:szCs w:val="21"/>
              </w:rPr>
            </w:pPr>
          </w:p>
        </w:tc>
      </w:tr>
      <w:tr w:rsidR="008E513A" w14:paraId="7EA9BF36" w14:textId="77777777" w:rsidTr="0034007B">
        <w:trPr>
          <w:trHeight w:val="280"/>
        </w:trPr>
        <w:tc>
          <w:tcPr>
            <w:tcW w:w="6472" w:type="dxa"/>
            <w:gridSpan w:val="2"/>
          </w:tcPr>
          <w:p w14:paraId="06FD2232" w14:textId="46535BB0" w:rsidR="008E513A" w:rsidRDefault="003C010B" w:rsidP="008E513A">
            <w:pPr>
              <w:rPr>
                <w:rFonts w:ascii="Verdana" w:hAnsi="Verdana" w:cs="Arial"/>
                <w:color w:val="000000"/>
                <w:sz w:val="21"/>
                <w:szCs w:val="21"/>
              </w:rPr>
            </w:pPr>
            <w:r>
              <w:rPr>
                <w:rFonts w:ascii="Verdana" w:hAnsi="Verdana" w:cs="Arial"/>
                <w:color w:val="000000"/>
                <w:sz w:val="21"/>
                <w:szCs w:val="21"/>
              </w:rPr>
              <w:t>Total</w:t>
            </w:r>
          </w:p>
        </w:tc>
        <w:tc>
          <w:tcPr>
            <w:tcW w:w="1330" w:type="dxa"/>
            <w:gridSpan w:val="2"/>
          </w:tcPr>
          <w:p w14:paraId="3815807B" w14:textId="14B16FCC" w:rsidR="008E513A" w:rsidRPr="00C81450" w:rsidRDefault="00C81450" w:rsidP="008E513A">
            <w:pPr>
              <w:rPr>
                <w:rFonts w:ascii="Verdana" w:hAnsi="Verdana" w:cs="Arial"/>
                <w:color w:val="000000"/>
                <w:sz w:val="21"/>
                <w:szCs w:val="21"/>
                <w:u w:val="double"/>
              </w:rPr>
            </w:pPr>
            <w:r>
              <w:rPr>
                <w:rFonts w:ascii="Verdana" w:hAnsi="Verdana" w:cs="Arial"/>
                <w:color w:val="000000"/>
                <w:sz w:val="21"/>
                <w:szCs w:val="21"/>
              </w:rPr>
              <w:t xml:space="preserve"> </w:t>
            </w:r>
            <w:r w:rsidRPr="00C81450">
              <w:rPr>
                <w:rFonts w:ascii="Verdana" w:hAnsi="Verdana" w:cs="Arial"/>
                <w:color w:val="000000"/>
                <w:sz w:val="21"/>
                <w:szCs w:val="21"/>
                <w:u w:val="double"/>
              </w:rPr>
              <w:t xml:space="preserve">31,618 </w:t>
            </w:r>
          </w:p>
        </w:tc>
        <w:tc>
          <w:tcPr>
            <w:tcW w:w="1215" w:type="dxa"/>
            <w:gridSpan w:val="2"/>
            <w:tcBorders>
              <w:bottom w:val="double" w:sz="4" w:space="0" w:color="auto"/>
            </w:tcBorders>
          </w:tcPr>
          <w:p w14:paraId="2BEEAE84" w14:textId="627BBD15" w:rsidR="008E513A" w:rsidRDefault="003C010B" w:rsidP="003C010B">
            <w:pPr>
              <w:jc w:val="center"/>
              <w:rPr>
                <w:rFonts w:ascii="Verdana" w:hAnsi="Verdana" w:cs="Arial"/>
                <w:color w:val="000000"/>
                <w:sz w:val="21"/>
                <w:szCs w:val="21"/>
              </w:rPr>
            </w:pPr>
            <w:r>
              <w:rPr>
                <w:rFonts w:ascii="Verdana" w:hAnsi="Verdana" w:cs="Arial"/>
                <w:color w:val="000000"/>
                <w:sz w:val="21"/>
                <w:szCs w:val="21"/>
              </w:rPr>
              <w:t>44,618</w:t>
            </w:r>
          </w:p>
        </w:tc>
      </w:tr>
    </w:tbl>
    <w:p w14:paraId="0FDCBC81" w14:textId="77777777" w:rsidR="00F865CE" w:rsidRDefault="00F865CE" w:rsidP="00A43559">
      <w:pPr>
        <w:ind w:left="567"/>
        <w:jc w:val="both"/>
        <w:outlineLvl w:val="5"/>
        <w:rPr>
          <w:rFonts w:ascii="Verdana" w:hAnsi="Verdana" w:cs="Arial"/>
          <w:color w:val="000000"/>
          <w:sz w:val="21"/>
          <w:szCs w:val="21"/>
        </w:rPr>
      </w:pPr>
    </w:p>
    <w:p w14:paraId="2238699F" w14:textId="53524870"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9</w:t>
      </w:r>
      <w:r w:rsidR="00067512">
        <w:rPr>
          <w:rFonts w:ascii="Verdana" w:hAnsi="Verdana" w:cs="Arial"/>
          <w:b/>
          <w:bCs/>
          <w:color w:val="000000"/>
          <w:sz w:val="21"/>
          <w:szCs w:val="21"/>
        </w:rPr>
        <w:t>.   PROPIEDADES Y EQUIPOS, NETO</w:t>
      </w:r>
    </w:p>
    <w:p w14:paraId="40597922" w14:textId="77777777" w:rsidR="007D770B" w:rsidRDefault="007D770B" w:rsidP="007D770B">
      <w:pPr>
        <w:rPr>
          <w:rFonts w:ascii="Verdana" w:hAnsi="Verdana" w:cs="Arial"/>
          <w:sz w:val="18"/>
          <w:szCs w:val="18"/>
        </w:rPr>
      </w:pPr>
    </w:p>
    <w:tbl>
      <w:tblPr>
        <w:tblStyle w:val="Tablaconcuadrcula"/>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2682"/>
        <w:gridCol w:w="2079"/>
      </w:tblGrid>
      <w:tr w:rsidR="007D770B" w14:paraId="781220C1" w14:textId="77777777" w:rsidTr="002C451B">
        <w:trPr>
          <w:trHeight w:val="257"/>
        </w:trPr>
        <w:tc>
          <w:tcPr>
            <w:tcW w:w="4167" w:type="dxa"/>
          </w:tcPr>
          <w:p w14:paraId="4388D2E3" w14:textId="77777777" w:rsidR="007D770B" w:rsidRDefault="007D770B">
            <w:pPr>
              <w:rPr>
                <w:rFonts w:ascii="Verdana" w:hAnsi="Verdana" w:cs="Arial"/>
                <w:sz w:val="21"/>
                <w:szCs w:val="21"/>
              </w:rPr>
            </w:pPr>
          </w:p>
        </w:tc>
        <w:tc>
          <w:tcPr>
            <w:tcW w:w="2682" w:type="dxa"/>
            <w:hideMark/>
          </w:tcPr>
          <w:p w14:paraId="730F1784" w14:textId="77777777"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2079" w:type="dxa"/>
            <w:hideMark/>
          </w:tcPr>
          <w:p w14:paraId="250626FB" w14:textId="77777777"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2C451B">
        <w:trPr>
          <w:trHeight w:val="257"/>
        </w:trPr>
        <w:tc>
          <w:tcPr>
            <w:tcW w:w="4167" w:type="dxa"/>
          </w:tcPr>
          <w:p w14:paraId="6A7F8771" w14:textId="77777777" w:rsidR="007D770B" w:rsidRDefault="007D770B">
            <w:pPr>
              <w:rPr>
                <w:rFonts w:ascii="Verdana" w:hAnsi="Verdana" w:cs="Arial"/>
                <w:sz w:val="21"/>
                <w:szCs w:val="21"/>
              </w:rPr>
            </w:pPr>
          </w:p>
        </w:tc>
        <w:tc>
          <w:tcPr>
            <w:tcW w:w="2682" w:type="dxa"/>
          </w:tcPr>
          <w:p w14:paraId="397BF9A8" w14:textId="77777777" w:rsidR="007D770B" w:rsidRDefault="007D770B">
            <w:pPr>
              <w:jc w:val="right"/>
              <w:rPr>
                <w:rFonts w:ascii="Verdana" w:hAnsi="Verdana" w:cs="Arial"/>
                <w:sz w:val="21"/>
                <w:szCs w:val="21"/>
              </w:rPr>
            </w:pPr>
          </w:p>
        </w:tc>
        <w:tc>
          <w:tcPr>
            <w:tcW w:w="2079" w:type="dxa"/>
          </w:tcPr>
          <w:p w14:paraId="64256251" w14:textId="77777777" w:rsidR="007D770B" w:rsidRDefault="007D770B">
            <w:pPr>
              <w:jc w:val="right"/>
              <w:rPr>
                <w:rFonts w:ascii="Verdana" w:hAnsi="Verdana" w:cs="Arial"/>
                <w:sz w:val="21"/>
                <w:szCs w:val="21"/>
              </w:rPr>
            </w:pPr>
          </w:p>
        </w:tc>
      </w:tr>
      <w:tr w:rsidR="007D770B" w14:paraId="7B62475B" w14:textId="77777777" w:rsidTr="002C451B">
        <w:trPr>
          <w:trHeight w:val="257"/>
        </w:trPr>
        <w:tc>
          <w:tcPr>
            <w:tcW w:w="4167" w:type="dxa"/>
            <w:hideMark/>
          </w:tcPr>
          <w:p w14:paraId="064C6540" w14:textId="77777777" w:rsidR="007D770B" w:rsidRDefault="007D770B">
            <w:pPr>
              <w:rPr>
                <w:rFonts w:ascii="Verdana" w:hAnsi="Verdana" w:cs="Arial"/>
                <w:sz w:val="21"/>
                <w:szCs w:val="21"/>
              </w:rPr>
            </w:pPr>
            <w:r>
              <w:rPr>
                <w:rFonts w:ascii="Verdana" w:hAnsi="Verdana" w:cs="Arial"/>
                <w:sz w:val="21"/>
                <w:szCs w:val="21"/>
              </w:rPr>
              <w:t>Muebles y enseres</w:t>
            </w:r>
          </w:p>
        </w:tc>
        <w:tc>
          <w:tcPr>
            <w:tcW w:w="2682" w:type="dxa"/>
          </w:tcPr>
          <w:p w14:paraId="3BD509D0" w14:textId="027C6EEA" w:rsidR="007D770B" w:rsidRDefault="00C81450">
            <w:pPr>
              <w:jc w:val="right"/>
              <w:rPr>
                <w:rFonts w:ascii="Verdana" w:hAnsi="Verdana" w:cs="Arial"/>
                <w:sz w:val="21"/>
                <w:szCs w:val="21"/>
              </w:rPr>
            </w:pPr>
            <w:r>
              <w:rPr>
                <w:rFonts w:ascii="Verdana" w:hAnsi="Verdana" w:cs="Arial"/>
                <w:sz w:val="21"/>
                <w:szCs w:val="21"/>
              </w:rPr>
              <w:t>51,144</w:t>
            </w:r>
          </w:p>
        </w:tc>
        <w:tc>
          <w:tcPr>
            <w:tcW w:w="2079" w:type="dxa"/>
            <w:hideMark/>
          </w:tcPr>
          <w:p w14:paraId="76E647ED" w14:textId="77777777" w:rsidR="007D770B" w:rsidRDefault="007D770B">
            <w:pPr>
              <w:jc w:val="right"/>
              <w:rPr>
                <w:rFonts w:ascii="Verdana" w:hAnsi="Verdana" w:cs="Arial"/>
                <w:sz w:val="21"/>
                <w:szCs w:val="21"/>
              </w:rPr>
            </w:pPr>
            <w:r>
              <w:rPr>
                <w:rFonts w:ascii="Verdana" w:hAnsi="Verdana" w:cs="Arial"/>
                <w:sz w:val="21"/>
                <w:szCs w:val="21"/>
              </w:rPr>
              <w:t>51,144</w:t>
            </w:r>
          </w:p>
        </w:tc>
      </w:tr>
      <w:tr w:rsidR="00C81450" w14:paraId="5601B599" w14:textId="77777777" w:rsidTr="002C451B">
        <w:trPr>
          <w:trHeight w:val="257"/>
        </w:trPr>
        <w:tc>
          <w:tcPr>
            <w:tcW w:w="4167" w:type="dxa"/>
          </w:tcPr>
          <w:p w14:paraId="7AE248CA" w14:textId="343A4742" w:rsidR="00C81450" w:rsidRDefault="00C81450">
            <w:pPr>
              <w:rPr>
                <w:rFonts w:ascii="Verdana" w:hAnsi="Verdana" w:cs="Arial"/>
                <w:sz w:val="21"/>
                <w:szCs w:val="21"/>
              </w:rPr>
            </w:pPr>
            <w:r>
              <w:rPr>
                <w:rFonts w:ascii="Verdana" w:hAnsi="Verdana" w:cs="Arial"/>
                <w:sz w:val="21"/>
                <w:szCs w:val="21"/>
              </w:rPr>
              <w:t>Vehículos</w:t>
            </w:r>
          </w:p>
        </w:tc>
        <w:tc>
          <w:tcPr>
            <w:tcW w:w="2682" w:type="dxa"/>
          </w:tcPr>
          <w:p w14:paraId="560F54DC" w14:textId="3EEB4BD7" w:rsidR="00C81450" w:rsidRDefault="00C81450">
            <w:pPr>
              <w:jc w:val="right"/>
              <w:rPr>
                <w:rFonts w:ascii="Verdana" w:hAnsi="Verdana" w:cs="Arial"/>
                <w:sz w:val="21"/>
                <w:szCs w:val="21"/>
              </w:rPr>
            </w:pPr>
            <w:r>
              <w:rPr>
                <w:rFonts w:ascii="Verdana" w:hAnsi="Verdana" w:cs="Arial"/>
                <w:sz w:val="21"/>
                <w:szCs w:val="21"/>
              </w:rPr>
              <w:t>96,428</w:t>
            </w:r>
          </w:p>
        </w:tc>
        <w:tc>
          <w:tcPr>
            <w:tcW w:w="2079" w:type="dxa"/>
          </w:tcPr>
          <w:p w14:paraId="25374FEB" w14:textId="39DB02D4" w:rsidR="00C81450" w:rsidRDefault="00C81450">
            <w:pPr>
              <w:jc w:val="right"/>
              <w:rPr>
                <w:rFonts w:ascii="Verdana" w:hAnsi="Verdana" w:cs="Arial"/>
                <w:sz w:val="21"/>
                <w:szCs w:val="21"/>
              </w:rPr>
            </w:pPr>
            <w:r>
              <w:rPr>
                <w:rFonts w:ascii="Verdana" w:hAnsi="Verdana" w:cs="Arial"/>
                <w:sz w:val="21"/>
                <w:szCs w:val="21"/>
              </w:rPr>
              <w:t>96,428</w:t>
            </w:r>
          </w:p>
        </w:tc>
      </w:tr>
      <w:tr w:rsidR="00C81450" w14:paraId="52CD0619" w14:textId="77777777" w:rsidTr="002C451B">
        <w:trPr>
          <w:trHeight w:val="257"/>
        </w:trPr>
        <w:tc>
          <w:tcPr>
            <w:tcW w:w="4167" w:type="dxa"/>
          </w:tcPr>
          <w:p w14:paraId="797483AD" w14:textId="74000F1B" w:rsidR="00C81450" w:rsidRDefault="00C81450">
            <w:pPr>
              <w:rPr>
                <w:rFonts w:ascii="Verdana" w:hAnsi="Verdana" w:cs="Arial"/>
                <w:sz w:val="21"/>
                <w:szCs w:val="21"/>
              </w:rPr>
            </w:pPr>
            <w:r>
              <w:rPr>
                <w:rFonts w:ascii="Verdana" w:hAnsi="Verdana" w:cs="Arial"/>
                <w:sz w:val="21"/>
                <w:szCs w:val="21"/>
              </w:rPr>
              <w:t xml:space="preserve">Equipos de computación </w:t>
            </w:r>
          </w:p>
        </w:tc>
        <w:tc>
          <w:tcPr>
            <w:tcW w:w="2682" w:type="dxa"/>
          </w:tcPr>
          <w:p w14:paraId="05EC8986" w14:textId="40C0626B" w:rsidR="00C81450" w:rsidRDefault="00C81450">
            <w:pPr>
              <w:jc w:val="right"/>
              <w:rPr>
                <w:rFonts w:ascii="Verdana" w:hAnsi="Verdana" w:cs="Arial"/>
                <w:sz w:val="21"/>
                <w:szCs w:val="21"/>
              </w:rPr>
            </w:pPr>
            <w:r>
              <w:rPr>
                <w:rFonts w:ascii="Verdana" w:hAnsi="Verdana" w:cs="Arial"/>
                <w:sz w:val="21"/>
                <w:szCs w:val="21"/>
              </w:rPr>
              <w:t>86,171</w:t>
            </w:r>
          </w:p>
        </w:tc>
        <w:tc>
          <w:tcPr>
            <w:tcW w:w="2079" w:type="dxa"/>
          </w:tcPr>
          <w:p w14:paraId="5E648EF4" w14:textId="34E67749" w:rsidR="00C81450" w:rsidRDefault="00C81450">
            <w:pPr>
              <w:jc w:val="right"/>
              <w:rPr>
                <w:rFonts w:ascii="Verdana" w:hAnsi="Verdana" w:cs="Arial"/>
                <w:sz w:val="21"/>
                <w:szCs w:val="21"/>
              </w:rPr>
            </w:pPr>
            <w:r>
              <w:rPr>
                <w:rFonts w:ascii="Verdana" w:hAnsi="Verdana" w:cs="Arial"/>
                <w:sz w:val="21"/>
                <w:szCs w:val="21"/>
              </w:rPr>
              <w:t>84,241</w:t>
            </w:r>
          </w:p>
        </w:tc>
      </w:tr>
      <w:tr w:rsidR="00C81450" w14:paraId="6D0D5916" w14:textId="77777777" w:rsidTr="002C451B">
        <w:trPr>
          <w:trHeight w:val="257"/>
        </w:trPr>
        <w:tc>
          <w:tcPr>
            <w:tcW w:w="4167" w:type="dxa"/>
          </w:tcPr>
          <w:p w14:paraId="15FBE3C4" w14:textId="52990FBD" w:rsidR="00C81450" w:rsidRDefault="00C81450">
            <w:pPr>
              <w:rPr>
                <w:rFonts w:ascii="Verdana" w:hAnsi="Verdana" w:cs="Arial"/>
                <w:sz w:val="21"/>
                <w:szCs w:val="21"/>
              </w:rPr>
            </w:pPr>
            <w:r>
              <w:rPr>
                <w:rFonts w:ascii="Verdana" w:hAnsi="Verdana" w:cs="Arial"/>
                <w:sz w:val="21"/>
                <w:szCs w:val="21"/>
              </w:rPr>
              <w:t>Equipos de proyección</w:t>
            </w:r>
          </w:p>
        </w:tc>
        <w:tc>
          <w:tcPr>
            <w:tcW w:w="2682" w:type="dxa"/>
          </w:tcPr>
          <w:p w14:paraId="7B5D9C8F" w14:textId="324675C6" w:rsidR="00C81450" w:rsidRDefault="00C81450">
            <w:pPr>
              <w:jc w:val="right"/>
              <w:rPr>
                <w:rFonts w:ascii="Verdana" w:hAnsi="Verdana" w:cs="Arial"/>
                <w:sz w:val="21"/>
                <w:szCs w:val="21"/>
              </w:rPr>
            </w:pPr>
            <w:r>
              <w:rPr>
                <w:rFonts w:ascii="Verdana" w:hAnsi="Verdana" w:cs="Arial"/>
                <w:sz w:val="21"/>
                <w:szCs w:val="21"/>
              </w:rPr>
              <w:t>41,792</w:t>
            </w:r>
          </w:p>
        </w:tc>
        <w:tc>
          <w:tcPr>
            <w:tcW w:w="2079" w:type="dxa"/>
          </w:tcPr>
          <w:p w14:paraId="514C094B" w14:textId="050D2887" w:rsidR="00C81450" w:rsidRDefault="00C81450">
            <w:pPr>
              <w:jc w:val="right"/>
              <w:rPr>
                <w:rFonts w:ascii="Verdana" w:hAnsi="Verdana" w:cs="Arial"/>
                <w:sz w:val="21"/>
                <w:szCs w:val="21"/>
              </w:rPr>
            </w:pPr>
            <w:r>
              <w:rPr>
                <w:rFonts w:ascii="Verdana" w:hAnsi="Verdana" w:cs="Arial"/>
                <w:sz w:val="21"/>
                <w:szCs w:val="21"/>
              </w:rPr>
              <w:t>36,914</w:t>
            </w:r>
          </w:p>
        </w:tc>
      </w:tr>
      <w:tr w:rsidR="00C81450" w14:paraId="11CAECDD" w14:textId="77777777" w:rsidTr="002C451B">
        <w:trPr>
          <w:trHeight w:val="257"/>
        </w:trPr>
        <w:tc>
          <w:tcPr>
            <w:tcW w:w="4167" w:type="dxa"/>
          </w:tcPr>
          <w:p w14:paraId="39B6D1A4" w14:textId="138C1EAA" w:rsidR="00C81450" w:rsidRDefault="00C81450">
            <w:pPr>
              <w:rPr>
                <w:rFonts w:ascii="Verdana" w:hAnsi="Verdana" w:cs="Arial"/>
                <w:sz w:val="21"/>
                <w:szCs w:val="21"/>
              </w:rPr>
            </w:pPr>
            <w:r>
              <w:rPr>
                <w:rFonts w:ascii="Verdana" w:hAnsi="Verdana" w:cs="Arial"/>
                <w:sz w:val="21"/>
                <w:szCs w:val="21"/>
              </w:rPr>
              <w:t>Otros, principalmente instalaciones</w:t>
            </w:r>
          </w:p>
        </w:tc>
        <w:tc>
          <w:tcPr>
            <w:tcW w:w="2682" w:type="dxa"/>
          </w:tcPr>
          <w:p w14:paraId="35954690" w14:textId="344B2593" w:rsidR="00C81450" w:rsidRPr="00C81450" w:rsidRDefault="00C81450" w:rsidP="00C81450">
            <w:pPr>
              <w:jc w:val="center"/>
              <w:rPr>
                <w:rFonts w:ascii="Verdana" w:hAnsi="Verdana" w:cs="Arial"/>
                <w:sz w:val="21"/>
                <w:szCs w:val="21"/>
                <w:u w:val="single"/>
              </w:rPr>
            </w:pPr>
            <w:r>
              <w:rPr>
                <w:rFonts w:ascii="Verdana" w:hAnsi="Verdana" w:cs="Arial"/>
                <w:sz w:val="21"/>
                <w:szCs w:val="21"/>
              </w:rPr>
              <w:t xml:space="preserve">                    </w:t>
            </w:r>
            <w:r w:rsidRPr="00C81450">
              <w:rPr>
                <w:rFonts w:ascii="Verdana" w:hAnsi="Verdana" w:cs="Arial"/>
                <w:sz w:val="21"/>
                <w:szCs w:val="21"/>
                <w:u w:val="single"/>
              </w:rPr>
              <w:t xml:space="preserve">     3,732</w:t>
            </w:r>
          </w:p>
        </w:tc>
        <w:tc>
          <w:tcPr>
            <w:tcW w:w="2079" w:type="dxa"/>
          </w:tcPr>
          <w:p w14:paraId="3AC0CED1" w14:textId="7770997B" w:rsidR="00C81450" w:rsidRPr="00C81450" w:rsidRDefault="00C81450" w:rsidP="00C81450">
            <w:pPr>
              <w:jc w:val="center"/>
              <w:rPr>
                <w:rFonts w:ascii="Verdana" w:hAnsi="Verdana" w:cs="Arial"/>
                <w:sz w:val="21"/>
                <w:szCs w:val="21"/>
                <w:u w:val="single"/>
              </w:rPr>
            </w:pPr>
            <w:r>
              <w:rPr>
                <w:rFonts w:ascii="Verdana" w:hAnsi="Verdana" w:cs="Arial"/>
                <w:sz w:val="21"/>
                <w:szCs w:val="21"/>
              </w:rPr>
              <w:t xml:space="preserve">           </w:t>
            </w:r>
            <w:r w:rsidRPr="00C81450">
              <w:rPr>
                <w:rFonts w:ascii="Verdana" w:hAnsi="Verdana" w:cs="Arial"/>
                <w:sz w:val="21"/>
                <w:szCs w:val="21"/>
                <w:u w:val="single"/>
              </w:rPr>
              <w:t xml:space="preserve">     3,721</w:t>
            </w:r>
          </w:p>
        </w:tc>
      </w:tr>
      <w:tr w:rsidR="00C81450" w14:paraId="078FF3FE" w14:textId="77777777" w:rsidTr="002C451B">
        <w:trPr>
          <w:trHeight w:val="257"/>
        </w:trPr>
        <w:tc>
          <w:tcPr>
            <w:tcW w:w="4167" w:type="dxa"/>
          </w:tcPr>
          <w:p w14:paraId="1D8EBAD3" w14:textId="51CE9CB2" w:rsidR="00C81450" w:rsidRDefault="00C81450">
            <w:pPr>
              <w:rPr>
                <w:rFonts w:ascii="Verdana" w:hAnsi="Verdana" w:cs="Arial"/>
                <w:sz w:val="21"/>
                <w:szCs w:val="21"/>
              </w:rPr>
            </w:pPr>
            <w:r>
              <w:rPr>
                <w:rFonts w:ascii="Verdana" w:hAnsi="Verdana" w:cs="Arial"/>
                <w:sz w:val="21"/>
                <w:szCs w:val="21"/>
              </w:rPr>
              <w:t>Subtotal</w:t>
            </w:r>
          </w:p>
        </w:tc>
        <w:tc>
          <w:tcPr>
            <w:tcW w:w="2682" w:type="dxa"/>
          </w:tcPr>
          <w:p w14:paraId="07A1E81A" w14:textId="4319B61C" w:rsidR="00C81450" w:rsidRDefault="00C81450">
            <w:pPr>
              <w:jc w:val="right"/>
              <w:rPr>
                <w:rFonts w:ascii="Verdana" w:hAnsi="Verdana" w:cs="Arial"/>
                <w:sz w:val="21"/>
                <w:szCs w:val="21"/>
              </w:rPr>
            </w:pPr>
            <w:r>
              <w:rPr>
                <w:rFonts w:ascii="Verdana" w:hAnsi="Verdana" w:cs="Arial"/>
                <w:sz w:val="21"/>
                <w:szCs w:val="21"/>
              </w:rPr>
              <w:t>279,267</w:t>
            </w:r>
          </w:p>
        </w:tc>
        <w:tc>
          <w:tcPr>
            <w:tcW w:w="2079" w:type="dxa"/>
          </w:tcPr>
          <w:p w14:paraId="6951F0CE" w14:textId="39888A22" w:rsidR="00C81450" w:rsidRDefault="00C81450" w:rsidP="00C81450">
            <w:pPr>
              <w:jc w:val="center"/>
              <w:rPr>
                <w:rFonts w:ascii="Verdana" w:hAnsi="Verdana" w:cs="Arial"/>
                <w:sz w:val="21"/>
                <w:szCs w:val="21"/>
              </w:rPr>
            </w:pPr>
            <w:r>
              <w:rPr>
                <w:rFonts w:ascii="Verdana" w:hAnsi="Verdana" w:cs="Arial"/>
                <w:sz w:val="21"/>
                <w:szCs w:val="21"/>
              </w:rPr>
              <w:t xml:space="preserve">            272,459</w:t>
            </w:r>
          </w:p>
        </w:tc>
      </w:tr>
      <w:tr w:rsidR="007D770B" w14:paraId="502EA124" w14:textId="77777777" w:rsidTr="002C451B">
        <w:trPr>
          <w:trHeight w:val="257"/>
        </w:trPr>
        <w:tc>
          <w:tcPr>
            <w:tcW w:w="4167" w:type="dxa"/>
            <w:hideMark/>
          </w:tcPr>
          <w:p w14:paraId="58BE6980" w14:textId="77777777" w:rsidR="007D770B" w:rsidRDefault="007D770B">
            <w:pPr>
              <w:rPr>
                <w:rFonts w:ascii="Verdana" w:hAnsi="Verdana" w:cs="Arial"/>
                <w:sz w:val="21"/>
                <w:szCs w:val="21"/>
              </w:rPr>
            </w:pPr>
            <w:r>
              <w:rPr>
                <w:rFonts w:ascii="Verdana" w:hAnsi="Verdana" w:cs="Arial"/>
                <w:sz w:val="21"/>
                <w:szCs w:val="21"/>
              </w:rPr>
              <w:t>Menos: Depreciación acumulada</w:t>
            </w:r>
          </w:p>
        </w:tc>
        <w:tc>
          <w:tcPr>
            <w:tcW w:w="2682" w:type="dxa"/>
          </w:tcPr>
          <w:p w14:paraId="1BE239B4" w14:textId="74E1CE52" w:rsidR="007D770B" w:rsidRPr="00C81450" w:rsidRDefault="00C81450">
            <w:pPr>
              <w:jc w:val="right"/>
              <w:rPr>
                <w:rFonts w:ascii="Verdana" w:hAnsi="Verdana" w:cs="Arial"/>
                <w:sz w:val="21"/>
                <w:szCs w:val="21"/>
                <w:u w:val="single"/>
              </w:rPr>
            </w:pPr>
            <w:r w:rsidRPr="00C81450">
              <w:rPr>
                <w:rFonts w:ascii="Verdana" w:hAnsi="Verdana" w:cs="Arial"/>
                <w:sz w:val="21"/>
                <w:szCs w:val="21"/>
                <w:u w:val="single"/>
              </w:rPr>
              <w:t>(188,207)</w:t>
            </w:r>
          </w:p>
        </w:tc>
        <w:tc>
          <w:tcPr>
            <w:tcW w:w="2079" w:type="dxa"/>
            <w:hideMark/>
          </w:tcPr>
          <w:p w14:paraId="50CC7EF0" w14:textId="77777777" w:rsidR="007D770B" w:rsidRDefault="007D770B">
            <w:pPr>
              <w:jc w:val="right"/>
              <w:rPr>
                <w:rFonts w:ascii="Verdana" w:hAnsi="Verdana" w:cs="Arial"/>
                <w:sz w:val="21"/>
                <w:szCs w:val="21"/>
                <w:u w:val="single"/>
              </w:rPr>
            </w:pPr>
            <w:r>
              <w:rPr>
                <w:rFonts w:ascii="Verdana" w:hAnsi="Verdana" w:cs="Arial"/>
                <w:sz w:val="21"/>
                <w:szCs w:val="21"/>
                <w:u w:val="single"/>
              </w:rPr>
              <w:t>(171,775)</w:t>
            </w:r>
          </w:p>
        </w:tc>
      </w:tr>
      <w:tr w:rsidR="007D770B" w14:paraId="0621EA9A" w14:textId="77777777" w:rsidTr="002C451B">
        <w:trPr>
          <w:trHeight w:val="515"/>
        </w:trPr>
        <w:tc>
          <w:tcPr>
            <w:tcW w:w="4167" w:type="dxa"/>
          </w:tcPr>
          <w:p w14:paraId="27E8C7C2" w14:textId="77777777" w:rsidR="007D770B" w:rsidRDefault="007D770B">
            <w:pPr>
              <w:rPr>
                <w:rFonts w:ascii="Verdana" w:hAnsi="Verdana" w:cs="Arial"/>
                <w:sz w:val="21"/>
                <w:szCs w:val="21"/>
              </w:rPr>
            </w:pPr>
          </w:p>
          <w:p w14:paraId="2844239C" w14:textId="77777777" w:rsidR="007D770B" w:rsidRDefault="007D770B">
            <w:pPr>
              <w:rPr>
                <w:rFonts w:ascii="Verdana" w:hAnsi="Verdana" w:cs="Arial"/>
                <w:sz w:val="21"/>
                <w:szCs w:val="21"/>
              </w:rPr>
            </w:pPr>
            <w:r>
              <w:rPr>
                <w:rFonts w:ascii="Verdana" w:hAnsi="Verdana" w:cs="Arial"/>
                <w:sz w:val="21"/>
                <w:szCs w:val="21"/>
              </w:rPr>
              <w:t>Total</w:t>
            </w:r>
          </w:p>
        </w:tc>
        <w:tc>
          <w:tcPr>
            <w:tcW w:w="2682" w:type="dxa"/>
          </w:tcPr>
          <w:p w14:paraId="5916F21C" w14:textId="77777777" w:rsidR="007D770B" w:rsidRDefault="007D770B">
            <w:pPr>
              <w:jc w:val="right"/>
              <w:rPr>
                <w:rFonts w:ascii="Verdana" w:hAnsi="Verdana" w:cs="Arial"/>
                <w:sz w:val="21"/>
                <w:szCs w:val="21"/>
              </w:rPr>
            </w:pPr>
          </w:p>
          <w:p w14:paraId="6052FF3A" w14:textId="65ED998E" w:rsidR="007D770B" w:rsidRPr="00C81450" w:rsidRDefault="00C81450" w:rsidP="00C81450">
            <w:pPr>
              <w:jc w:val="center"/>
              <w:rPr>
                <w:rFonts w:ascii="Verdana" w:hAnsi="Verdana" w:cs="Arial"/>
                <w:sz w:val="21"/>
                <w:szCs w:val="21"/>
                <w:u w:val="double"/>
              </w:rPr>
            </w:pPr>
            <w:r w:rsidRPr="00C81450">
              <w:rPr>
                <w:rFonts w:ascii="Verdana" w:hAnsi="Verdana" w:cs="Arial"/>
                <w:sz w:val="21"/>
                <w:szCs w:val="21"/>
              </w:rPr>
              <w:t xml:space="preserve">                  </w:t>
            </w:r>
            <w:r w:rsidRPr="00C81450">
              <w:rPr>
                <w:rFonts w:ascii="Verdana" w:hAnsi="Verdana" w:cs="Arial"/>
                <w:sz w:val="21"/>
                <w:szCs w:val="21"/>
                <w:u w:val="double"/>
              </w:rPr>
              <w:t xml:space="preserve">   91,059</w:t>
            </w:r>
          </w:p>
        </w:tc>
        <w:tc>
          <w:tcPr>
            <w:tcW w:w="2079" w:type="dxa"/>
          </w:tcPr>
          <w:p w14:paraId="6B1632DA" w14:textId="77777777" w:rsidR="007D770B" w:rsidRDefault="007D770B">
            <w:pPr>
              <w:jc w:val="right"/>
              <w:rPr>
                <w:rFonts w:ascii="Verdana" w:hAnsi="Verdana" w:cs="Arial"/>
                <w:sz w:val="21"/>
                <w:szCs w:val="21"/>
              </w:rPr>
            </w:pPr>
          </w:p>
          <w:p w14:paraId="4DA9CCC8" w14:textId="4CFCC405" w:rsidR="007D770B" w:rsidRDefault="002C451B" w:rsidP="002C451B">
            <w:pPr>
              <w:jc w:val="center"/>
              <w:rPr>
                <w:rFonts w:ascii="Verdana" w:hAnsi="Verdana" w:cs="Arial"/>
                <w:sz w:val="21"/>
                <w:szCs w:val="21"/>
                <w:u w:val="double"/>
              </w:rPr>
            </w:pPr>
            <w:r w:rsidRPr="002C451B">
              <w:rPr>
                <w:rFonts w:ascii="Verdana" w:hAnsi="Verdana" w:cs="Arial"/>
                <w:sz w:val="21"/>
                <w:szCs w:val="21"/>
              </w:rPr>
              <w:t xml:space="preserve">          </w:t>
            </w:r>
            <w:r>
              <w:rPr>
                <w:rFonts w:ascii="Verdana" w:hAnsi="Verdana" w:cs="Arial"/>
                <w:sz w:val="21"/>
                <w:szCs w:val="21"/>
                <w:u w:val="double"/>
              </w:rPr>
              <w:t xml:space="preserve"> </w:t>
            </w:r>
            <w:r w:rsidR="007D770B">
              <w:rPr>
                <w:rFonts w:ascii="Verdana" w:hAnsi="Verdana" w:cs="Arial"/>
                <w:sz w:val="21"/>
                <w:szCs w:val="21"/>
                <w:u w:val="double"/>
              </w:rPr>
              <w:t>100,684</w:t>
            </w:r>
          </w:p>
        </w:tc>
      </w:tr>
    </w:tbl>
    <w:p w14:paraId="5E31D688" w14:textId="77777777" w:rsidR="007D770B" w:rsidRDefault="007D770B" w:rsidP="007D770B">
      <w:pPr>
        <w:rPr>
          <w:rFonts w:ascii="Verdana" w:hAnsi="Verdana" w:cs="Arial"/>
          <w:sz w:val="18"/>
          <w:szCs w:val="18"/>
        </w:rPr>
      </w:pPr>
    </w:p>
    <w:p w14:paraId="39000F46" w14:textId="77777777" w:rsidR="007D770B" w:rsidRDefault="007D770B" w:rsidP="007D770B">
      <w:pPr>
        <w:rPr>
          <w:rFonts w:ascii="Verdana" w:hAnsi="Verdana" w:cs="Arial"/>
          <w:sz w:val="18"/>
          <w:szCs w:val="18"/>
        </w:rPr>
      </w:pPr>
    </w:p>
    <w:p w14:paraId="5256D189" w14:textId="77777777" w:rsidR="000555DA" w:rsidRDefault="000555DA" w:rsidP="00FC621C">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r>
        <w:rPr>
          <w:rFonts w:ascii="Verdana" w:hAnsi="Verdana" w:cs="Arial"/>
          <w:color w:val="000000"/>
          <w:sz w:val="21"/>
          <w:szCs w:val="21"/>
          <w:lang w:val="es-EC"/>
        </w:rPr>
        <w:t>En los años 2020 y 2019 el movimiento de propiedades y equipos fue como se detalla a continuación:</w:t>
      </w:r>
    </w:p>
    <w:tbl>
      <w:tblPr>
        <w:tblStyle w:val="Tablaconcuadrcula"/>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2186"/>
        <w:gridCol w:w="2034"/>
      </w:tblGrid>
      <w:tr w:rsidR="000555DA" w14:paraId="42E53CCF" w14:textId="77777777" w:rsidTr="00FC621C">
        <w:trPr>
          <w:trHeight w:val="271"/>
        </w:trPr>
        <w:tc>
          <w:tcPr>
            <w:tcW w:w="4514" w:type="dxa"/>
          </w:tcPr>
          <w:p w14:paraId="1A776D72" w14:textId="77777777" w:rsidR="000555DA" w:rsidRDefault="000555DA">
            <w:pPr>
              <w:rPr>
                <w:rFonts w:ascii="Verdana" w:hAnsi="Verdana" w:cs="Arial"/>
                <w:sz w:val="21"/>
                <w:szCs w:val="21"/>
              </w:rPr>
            </w:pPr>
          </w:p>
        </w:tc>
        <w:tc>
          <w:tcPr>
            <w:tcW w:w="2186" w:type="dxa"/>
            <w:hideMark/>
          </w:tcPr>
          <w:p w14:paraId="72AE7A9D" w14:textId="77777777" w:rsidR="000555DA" w:rsidRDefault="000555DA">
            <w:pPr>
              <w:jc w:val="right"/>
              <w:rPr>
                <w:rFonts w:ascii="Verdana" w:hAnsi="Verdana" w:cs="Arial"/>
                <w:sz w:val="21"/>
                <w:szCs w:val="21"/>
                <w:u w:val="single"/>
              </w:rPr>
            </w:pPr>
            <w:r>
              <w:rPr>
                <w:rFonts w:ascii="Verdana" w:hAnsi="Verdana" w:cs="Arial"/>
                <w:sz w:val="21"/>
                <w:szCs w:val="21"/>
                <w:u w:val="single"/>
              </w:rPr>
              <w:t>2021</w:t>
            </w:r>
          </w:p>
        </w:tc>
        <w:tc>
          <w:tcPr>
            <w:tcW w:w="2034" w:type="dxa"/>
            <w:hideMark/>
          </w:tcPr>
          <w:p w14:paraId="2AA2CED3" w14:textId="77777777" w:rsidR="000555DA" w:rsidRDefault="000555DA">
            <w:pPr>
              <w:jc w:val="right"/>
              <w:rPr>
                <w:rFonts w:ascii="Verdana" w:hAnsi="Verdana" w:cs="Arial"/>
                <w:sz w:val="21"/>
                <w:szCs w:val="21"/>
                <w:u w:val="single"/>
              </w:rPr>
            </w:pPr>
            <w:r>
              <w:rPr>
                <w:rFonts w:ascii="Verdana" w:hAnsi="Verdana" w:cs="Arial"/>
                <w:sz w:val="21"/>
                <w:szCs w:val="21"/>
                <w:u w:val="single"/>
              </w:rPr>
              <w:t>2020</w:t>
            </w:r>
          </w:p>
        </w:tc>
      </w:tr>
      <w:tr w:rsidR="000555DA" w14:paraId="429A6A5A" w14:textId="77777777" w:rsidTr="00FC621C">
        <w:trPr>
          <w:trHeight w:val="271"/>
        </w:trPr>
        <w:tc>
          <w:tcPr>
            <w:tcW w:w="4514" w:type="dxa"/>
          </w:tcPr>
          <w:p w14:paraId="6F5AA7F7" w14:textId="77777777" w:rsidR="000555DA" w:rsidRDefault="000555DA">
            <w:pPr>
              <w:rPr>
                <w:rFonts w:ascii="Verdana" w:hAnsi="Verdana" w:cs="Arial"/>
                <w:sz w:val="21"/>
                <w:szCs w:val="21"/>
              </w:rPr>
            </w:pPr>
          </w:p>
        </w:tc>
        <w:tc>
          <w:tcPr>
            <w:tcW w:w="2186" w:type="dxa"/>
          </w:tcPr>
          <w:p w14:paraId="03EA959C" w14:textId="77777777" w:rsidR="000555DA" w:rsidRDefault="000555DA">
            <w:pPr>
              <w:jc w:val="right"/>
              <w:rPr>
                <w:rFonts w:ascii="Verdana" w:hAnsi="Verdana" w:cs="Arial"/>
                <w:sz w:val="21"/>
                <w:szCs w:val="21"/>
              </w:rPr>
            </w:pPr>
          </w:p>
        </w:tc>
        <w:tc>
          <w:tcPr>
            <w:tcW w:w="2034" w:type="dxa"/>
          </w:tcPr>
          <w:p w14:paraId="597A4448" w14:textId="77777777" w:rsidR="000555DA" w:rsidRDefault="000555DA">
            <w:pPr>
              <w:jc w:val="right"/>
              <w:rPr>
                <w:rFonts w:ascii="Verdana" w:hAnsi="Verdana" w:cs="Arial"/>
                <w:sz w:val="21"/>
                <w:szCs w:val="21"/>
              </w:rPr>
            </w:pPr>
          </w:p>
        </w:tc>
      </w:tr>
      <w:tr w:rsidR="000555DA" w14:paraId="370EB828" w14:textId="77777777" w:rsidTr="00FC621C">
        <w:trPr>
          <w:trHeight w:val="271"/>
        </w:trPr>
        <w:tc>
          <w:tcPr>
            <w:tcW w:w="4514" w:type="dxa"/>
            <w:hideMark/>
          </w:tcPr>
          <w:p w14:paraId="38EEE3A0" w14:textId="77777777" w:rsidR="000555DA" w:rsidRDefault="000555DA">
            <w:pPr>
              <w:rPr>
                <w:rFonts w:ascii="Verdana" w:hAnsi="Verdana" w:cs="Arial"/>
                <w:sz w:val="21"/>
                <w:szCs w:val="21"/>
              </w:rPr>
            </w:pPr>
            <w:r>
              <w:rPr>
                <w:rFonts w:ascii="Verdana" w:hAnsi="Verdana" w:cs="Arial"/>
                <w:sz w:val="21"/>
                <w:szCs w:val="21"/>
              </w:rPr>
              <w:t>Saldo inicial</w:t>
            </w:r>
          </w:p>
          <w:p w14:paraId="3F9F3E4D" w14:textId="77777777" w:rsidR="000555DA" w:rsidRDefault="000555DA">
            <w:pPr>
              <w:rPr>
                <w:rFonts w:ascii="Verdana" w:hAnsi="Verdana" w:cs="Arial"/>
                <w:sz w:val="21"/>
                <w:szCs w:val="21"/>
              </w:rPr>
            </w:pPr>
          </w:p>
        </w:tc>
        <w:tc>
          <w:tcPr>
            <w:tcW w:w="2186" w:type="dxa"/>
          </w:tcPr>
          <w:p w14:paraId="5B25ED42" w14:textId="487B998D" w:rsidR="000555DA" w:rsidRDefault="008A78E1">
            <w:pPr>
              <w:jc w:val="right"/>
              <w:rPr>
                <w:rFonts w:ascii="Verdana" w:hAnsi="Verdana" w:cs="Arial"/>
                <w:sz w:val="21"/>
                <w:szCs w:val="21"/>
              </w:rPr>
            </w:pPr>
            <w:r>
              <w:rPr>
                <w:rFonts w:ascii="Verdana" w:hAnsi="Verdana" w:cs="Arial"/>
                <w:sz w:val="21"/>
                <w:szCs w:val="21"/>
              </w:rPr>
              <w:t>100,684</w:t>
            </w:r>
          </w:p>
        </w:tc>
        <w:tc>
          <w:tcPr>
            <w:tcW w:w="2034" w:type="dxa"/>
            <w:hideMark/>
          </w:tcPr>
          <w:p w14:paraId="590BDC49" w14:textId="75500FC6"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40,554</w:t>
            </w:r>
          </w:p>
        </w:tc>
      </w:tr>
      <w:tr w:rsidR="000555DA" w14:paraId="374A64AA" w14:textId="77777777" w:rsidTr="00FC621C">
        <w:trPr>
          <w:trHeight w:val="271"/>
        </w:trPr>
        <w:tc>
          <w:tcPr>
            <w:tcW w:w="4514" w:type="dxa"/>
            <w:hideMark/>
          </w:tcPr>
          <w:p w14:paraId="4ABBB5FD" w14:textId="77777777" w:rsidR="000555DA" w:rsidRDefault="000555DA">
            <w:pPr>
              <w:rPr>
                <w:rFonts w:ascii="Verdana" w:hAnsi="Verdana" w:cs="Arial"/>
                <w:sz w:val="21"/>
                <w:szCs w:val="21"/>
              </w:rPr>
            </w:pPr>
            <w:r>
              <w:rPr>
                <w:rFonts w:ascii="Verdana" w:hAnsi="Verdana" w:cs="Arial"/>
                <w:sz w:val="21"/>
                <w:szCs w:val="21"/>
              </w:rPr>
              <w:t>Más: Adiciones, equipos de proyección</w:t>
            </w:r>
          </w:p>
        </w:tc>
        <w:tc>
          <w:tcPr>
            <w:tcW w:w="2186" w:type="dxa"/>
          </w:tcPr>
          <w:p w14:paraId="1E41947D" w14:textId="6A5D2030" w:rsidR="000555DA" w:rsidRDefault="008A78E1">
            <w:pPr>
              <w:jc w:val="right"/>
              <w:rPr>
                <w:rFonts w:ascii="Verdana" w:hAnsi="Verdana" w:cs="Arial"/>
                <w:sz w:val="21"/>
                <w:szCs w:val="21"/>
              </w:rPr>
            </w:pPr>
            <w:r>
              <w:rPr>
                <w:rFonts w:ascii="Verdana" w:hAnsi="Verdana" w:cs="Arial"/>
                <w:sz w:val="21"/>
                <w:szCs w:val="21"/>
              </w:rPr>
              <w:t>6,808</w:t>
            </w:r>
          </w:p>
        </w:tc>
        <w:tc>
          <w:tcPr>
            <w:tcW w:w="2034" w:type="dxa"/>
            <w:hideMark/>
          </w:tcPr>
          <w:p w14:paraId="54EA3043" w14:textId="7E38D6CD"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36,914</w:t>
            </w:r>
          </w:p>
        </w:tc>
      </w:tr>
      <w:tr w:rsidR="003E3123" w14:paraId="5A0727AE" w14:textId="77777777" w:rsidTr="00FC621C">
        <w:trPr>
          <w:trHeight w:val="271"/>
        </w:trPr>
        <w:tc>
          <w:tcPr>
            <w:tcW w:w="4514" w:type="dxa"/>
          </w:tcPr>
          <w:p w14:paraId="4A493B35" w14:textId="3CCCF1D7" w:rsidR="003E3123" w:rsidRDefault="003E3123">
            <w:pPr>
              <w:rPr>
                <w:rFonts w:ascii="Verdana" w:hAnsi="Verdana" w:cs="Arial"/>
                <w:sz w:val="21"/>
                <w:szCs w:val="21"/>
              </w:rPr>
            </w:pPr>
            <w:r>
              <w:rPr>
                <w:rFonts w:ascii="Verdana" w:hAnsi="Verdana" w:cs="Arial"/>
                <w:sz w:val="21"/>
                <w:szCs w:val="21"/>
              </w:rPr>
              <w:t xml:space="preserve">Cargo anual de depreciación </w:t>
            </w:r>
          </w:p>
        </w:tc>
        <w:tc>
          <w:tcPr>
            <w:tcW w:w="2186" w:type="dxa"/>
          </w:tcPr>
          <w:p w14:paraId="76713B97" w14:textId="132661C6" w:rsidR="003E3123" w:rsidRPr="008A78E1" w:rsidRDefault="008A78E1">
            <w:pPr>
              <w:jc w:val="right"/>
              <w:rPr>
                <w:rFonts w:ascii="Verdana" w:hAnsi="Verdana" w:cs="Arial"/>
                <w:sz w:val="21"/>
                <w:szCs w:val="21"/>
                <w:u w:val="single"/>
              </w:rPr>
            </w:pPr>
            <w:r w:rsidRPr="008A78E1">
              <w:rPr>
                <w:rFonts w:ascii="Verdana" w:hAnsi="Verdana" w:cs="Arial"/>
                <w:sz w:val="21"/>
                <w:szCs w:val="21"/>
                <w:u w:val="single"/>
              </w:rPr>
              <w:t>(16,43</w:t>
            </w:r>
            <w:r>
              <w:rPr>
                <w:rFonts w:ascii="Verdana" w:hAnsi="Verdana" w:cs="Arial"/>
                <w:sz w:val="21"/>
                <w:szCs w:val="21"/>
                <w:u w:val="single"/>
              </w:rPr>
              <w:t>3</w:t>
            </w:r>
            <w:r w:rsidRPr="008A78E1">
              <w:rPr>
                <w:rFonts w:ascii="Verdana" w:hAnsi="Verdana" w:cs="Arial"/>
                <w:sz w:val="21"/>
                <w:szCs w:val="21"/>
                <w:u w:val="single"/>
              </w:rPr>
              <w:t>)</w:t>
            </w:r>
          </w:p>
        </w:tc>
        <w:tc>
          <w:tcPr>
            <w:tcW w:w="2034" w:type="dxa"/>
          </w:tcPr>
          <w:p w14:paraId="7107F9CD" w14:textId="6D532055" w:rsidR="003E3123" w:rsidRPr="003E3123" w:rsidRDefault="003E3123">
            <w:pPr>
              <w:jc w:val="right"/>
              <w:rPr>
                <w:rFonts w:ascii="Verdana" w:hAnsi="Verdana" w:cs="Arial"/>
                <w:sz w:val="21"/>
                <w:szCs w:val="21"/>
                <w:u w:val="single"/>
              </w:rPr>
            </w:pPr>
            <w:r w:rsidRPr="003E3123">
              <w:rPr>
                <w:rFonts w:ascii="Verdana" w:hAnsi="Verdana" w:cs="Arial"/>
                <w:sz w:val="21"/>
                <w:szCs w:val="21"/>
                <w:u w:val="single"/>
              </w:rPr>
              <w:t>(15,465)</w:t>
            </w:r>
          </w:p>
        </w:tc>
      </w:tr>
      <w:tr w:rsidR="000555DA" w14:paraId="737D7638" w14:textId="77777777" w:rsidTr="00FC621C">
        <w:trPr>
          <w:trHeight w:val="543"/>
        </w:trPr>
        <w:tc>
          <w:tcPr>
            <w:tcW w:w="4514" w:type="dxa"/>
          </w:tcPr>
          <w:p w14:paraId="497BE243" w14:textId="77777777" w:rsidR="000555DA" w:rsidRDefault="000555DA">
            <w:pPr>
              <w:rPr>
                <w:rFonts w:ascii="Verdana" w:hAnsi="Verdana" w:cs="Arial"/>
                <w:sz w:val="21"/>
                <w:szCs w:val="21"/>
              </w:rPr>
            </w:pPr>
          </w:p>
          <w:p w14:paraId="30A400E1" w14:textId="77777777" w:rsidR="000555DA" w:rsidRDefault="000555DA">
            <w:pPr>
              <w:rPr>
                <w:rFonts w:ascii="Verdana" w:hAnsi="Verdana" w:cs="Arial"/>
                <w:sz w:val="21"/>
                <w:szCs w:val="21"/>
              </w:rPr>
            </w:pPr>
            <w:r>
              <w:rPr>
                <w:rFonts w:ascii="Verdana" w:hAnsi="Verdana" w:cs="Arial"/>
                <w:sz w:val="21"/>
                <w:szCs w:val="21"/>
              </w:rPr>
              <w:t>Saldo final</w:t>
            </w:r>
          </w:p>
        </w:tc>
        <w:tc>
          <w:tcPr>
            <w:tcW w:w="2186" w:type="dxa"/>
          </w:tcPr>
          <w:p w14:paraId="1EC277BB" w14:textId="77777777" w:rsidR="000555DA" w:rsidRDefault="000555DA">
            <w:pPr>
              <w:jc w:val="right"/>
              <w:rPr>
                <w:rFonts w:ascii="Verdana" w:hAnsi="Verdana" w:cs="Arial"/>
                <w:sz w:val="21"/>
                <w:szCs w:val="21"/>
              </w:rPr>
            </w:pPr>
          </w:p>
          <w:p w14:paraId="2577F90F" w14:textId="378DF9AE" w:rsidR="000555DA" w:rsidRPr="008A78E1" w:rsidRDefault="008A78E1" w:rsidP="008A78E1">
            <w:pPr>
              <w:jc w:val="center"/>
              <w:rPr>
                <w:rFonts w:ascii="Verdana" w:hAnsi="Verdana" w:cs="Arial"/>
                <w:sz w:val="21"/>
                <w:szCs w:val="21"/>
                <w:u w:val="double"/>
              </w:rPr>
            </w:pPr>
            <w:r w:rsidRPr="008A78E1">
              <w:rPr>
                <w:rFonts w:ascii="Verdana" w:hAnsi="Verdana" w:cs="Arial"/>
                <w:sz w:val="21"/>
                <w:szCs w:val="21"/>
              </w:rPr>
              <w:t xml:space="preserve">             </w:t>
            </w:r>
            <w:r w:rsidRPr="008A78E1">
              <w:rPr>
                <w:rFonts w:ascii="Verdana" w:hAnsi="Verdana" w:cs="Arial"/>
                <w:sz w:val="21"/>
                <w:szCs w:val="21"/>
                <w:u w:val="double"/>
              </w:rPr>
              <w:t xml:space="preserve"> 91,059</w:t>
            </w:r>
          </w:p>
        </w:tc>
        <w:tc>
          <w:tcPr>
            <w:tcW w:w="2034" w:type="dxa"/>
          </w:tcPr>
          <w:p w14:paraId="069A69CD" w14:textId="77777777" w:rsidR="000555DA" w:rsidRDefault="000555DA">
            <w:pPr>
              <w:jc w:val="right"/>
              <w:rPr>
                <w:rFonts w:ascii="Verdana" w:hAnsi="Verdana" w:cs="Arial"/>
                <w:sz w:val="21"/>
                <w:szCs w:val="21"/>
              </w:rPr>
            </w:pPr>
          </w:p>
          <w:p w14:paraId="6CD99D89" w14:textId="77777777" w:rsidR="000555DA" w:rsidRDefault="000555DA">
            <w:pPr>
              <w:jc w:val="right"/>
              <w:rPr>
                <w:rFonts w:ascii="Verdana" w:hAnsi="Verdana" w:cs="Arial"/>
                <w:sz w:val="21"/>
                <w:szCs w:val="21"/>
                <w:u w:val="double"/>
              </w:rPr>
            </w:pPr>
            <w:r>
              <w:rPr>
                <w:rFonts w:ascii="Verdana" w:hAnsi="Verdana" w:cs="Arial"/>
                <w:sz w:val="21"/>
                <w:szCs w:val="21"/>
                <w:u w:val="double"/>
              </w:rPr>
              <w:t>100,684</w:t>
            </w:r>
          </w:p>
        </w:tc>
      </w:tr>
    </w:tbl>
    <w:p w14:paraId="2F2D4073" w14:textId="77777777" w:rsidR="000555DA" w:rsidRDefault="000555DA" w:rsidP="000555DA">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77777777"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 y, automóviles con un valor en libros de US$41,990 se encuentran en asignados en garantía de línea de crédito industrial-vehículos.</w:t>
      </w:r>
    </w:p>
    <w:p w14:paraId="195E8CB3" w14:textId="77777777"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Default="000555DA" w:rsidP="000555DA">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0</w:t>
      </w:r>
      <w:r>
        <w:rPr>
          <w:rFonts w:ascii="Verdana" w:hAnsi="Verdana" w:cs="Arial"/>
          <w:b/>
          <w:color w:val="000000"/>
          <w:sz w:val="21"/>
          <w:szCs w:val="21"/>
        </w:rPr>
        <w:t>.</w:t>
      </w:r>
      <w:r>
        <w:rPr>
          <w:rFonts w:ascii="Verdana" w:hAnsi="Verdana" w:cs="Arial"/>
          <w:b/>
          <w:color w:val="00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0"/>
        <w:gridCol w:w="1905"/>
        <w:gridCol w:w="1172"/>
      </w:tblGrid>
      <w:tr w:rsidR="000E44C7" w14:paraId="2A3AFBD5" w14:textId="77777777" w:rsidTr="003E3123">
        <w:trPr>
          <w:trHeight w:val="261"/>
        </w:trPr>
        <w:tc>
          <w:tcPr>
            <w:tcW w:w="5680" w:type="dxa"/>
          </w:tcPr>
          <w:p w14:paraId="08C626E9" w14:textId="77777777" w:rsidR="000E44C7" w:rsidRDefault="000E44C7">
            <w:pPr>
              <w:rPr>
                <w:rFonts w:ascii="Verdana" w:hAnsi="Verdana" w:cs="Arial"/>
                <w:sz w:val="21"/>
                <w:szCs w:val="21"/>
              </w:rPr>
            </w:pPr>
          </w:p>
        </w:tc>
        <w:tc>
          <w:tcPr>
            <w:tcW w:w="1905" w:type="dxa"/>
            <w:hideMark/>
          </w:tcPr>
          <w:p w14:paraId="34CF5BF0" w14:textId="77777777" w:rsidR="000E44C7" w:rsidRDefault="000E44C7">
            <w:pPr>
              <w:jc w:val="right"/>
              <w:rPr>
                <w:rFonts w:ascii="Verdana" w:hAnsi="Verdana" w:cs="Arial"/>
                <w:sz w:val="21"/>
                <w:szCs w:val="21"/>
                <w:u w:val="single"/>
              </w:rPr>
            </w:pPr>
            <w:r>
              <w:rPr>
                <w:rFonts w:ascii="Verdana" w:hAnsi="Verdana" w:cs="Arial"/>
                <w:sz w:val="21"/>
                <w:szCs w:val="21"/>
                <w:u w:val="single"/>
              </w:rPr>
              <w:t>2021</w:t>
            </w:r>
          </w:p>
        </w:tc>
        <w:tc>
          <w:tcPr>
            <w:tcW w:w="1172" w:type="dxa"/>
            <w:hideMark/>
          </w:tcPr>
          <w:p w14:paraId="1206CEDF" w14:textId="77777777" w:rsidR="000E44C7" w:rsidRDefault="000E44C7">
            <w:pPr>
              <w:jc w:val="right"/>
              <w:rPr>
                <w:rFonts w:ascii="Verdana" w:hAnsi="Verdana" w:cs="Arial"/>
                <w:sz w:val="21"/>
                <w:szCs w:val="21"/>
                <w:u w:val="single"/>
              </w:rPr>
            </w:pPr>
            <w:r>
              <w:rPr>
                <w:rFonts w:ascii="Verdana" w:hAnsi="Verdana" w:cs="Arial"/>
                <w:sz w:val="21"/>
                <w:szCs w:val="21"/>
                <w:u w:val="single"/>
              </w:rPr>
              <w:t>2020</w:t>
            </w:r>
          </w:p>
        </w:tc>
      </w:tr>
      <w:tr w:rsidR="000E44C7" w14:paraId="6286A5E9" w14:textId="77777777" w:rsidTr="003E3123">
        <w:trPr>
          <w:trHeight w:val="261"/>
        </w:trPr>
        <w:tc>
          <w:tcPr>
            <w:tcW w:w="5680" w:type="dxa"/>
          </w:tcPr>
          <w:p w14:paraId="33DBE469" w14:textId="77777777" w:rsidR="000E44C7" w:rsidRDefault="000E44C7">
            <w:pPr>
              <w:rPr>
                <w:rFonts w:ascii="Verdana" w:hAnsi="Verdana" w:cs="Arial"/>
                <w:sz w:val="21"/>
                <w:szCs w:val="21"/>
              </w:rPr>
            </w:pPr>
          </w:p>
        </w:tc>
        <w:tc>
          <w:tcPr>
            <w:tcW w:w="1905" w:type="dxa"/>
          </w:tcPr>
          <w:p w14:paraId="15D6554E" w14:textId="77777777" w:rsidR="000E44C7" w:rsidRDefault="000E44C7">
            <w:pPr>
              <w:jc w:val="right"/>
              <w:rPr>
                <w:rFonts w:ascii="Verdana" w:hAnsi="Verdana" w:cs="Arial"/>
                <w:sz w:val="21"/>
                <w:szCs w:val="21"/>
              </w:rPr>
            </w:pPr>
          </w:p>
        </w:tc>
        <w:tc>
          <w:tcPr>
            <w:tcW w:w="1172" w:type="dxa"/>
          </w:tcPr>
          <w:p w14:paraId="5A935DE9" w14:textId="77777777" w:rsidR="000E44C7" w:rsidRDefault="000E44C7">
            <w:pPr>
              <w:jc w:val="right"/>
              <w:rPr>
                <w:rFonts w:ascii="Verdana" w:hAnsi="Verdana" w:cs="Arial"/>
                <w:sz w:val="21"/>
                <w:szCs w:val="21"/>
              </w:rPr>
            </w:pPr>
          </w:p>
        </w:tc>
      </w:tr>
      <w:tr w:rsidR="000E44C7" w14:paraId="316CF760" w14:textId="77777777" w:rsidTr="003E3123">
        <w:trPr>
          <w:trHeight w:val="261"/>
        </w:trPr>
        <w:tc>
          <w:tcPr>
            <w:tcW w:w="5680"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905" w:type="dxa"/>
          </w:tcPr>
          <w:p w14:paraId="711D0796" w14:textId="58B46A3B" w:rsidR="000E44C7" w:rsidRDefault="00B41F35">
            <w:pPr>
              <w:jc w:val="right"/>
              <w:rPr>
                <w:rFonts w:ascii="Verdana" w:hAnsi="Verdana" w:cs="Arial"/>
                <w:sz w:val="21"/>
                <w:szCs w:val="21"/>
              </w:rPr>
            </w:pPr>
            <w:r>
              <w:rPr>
                <w:rFonts w:ascii="Verdana" w:hAnsi="Verdana" w:cs="Arial"/>
                <w:sz w:val="21"/>
                <w:szCs w:val="21"/>
              </w:rPr>
              <w:t>4,291</w:t>
            </w:r>
          </w:p>
        </w:tc>
        <w:tc>
          <w:tcPr>
            <w:tcW w:w="1172"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14:paraId="7225ACAB" w14:textId="77777777" w:rsidTr="003E3123">
        <w:trPr>
          <w:trHeight w:val="261"/>
        </w:trPr>
        <w:tc>
          <w:tcPr>
            <w:tcW w:w="5680" w:type="dxa"/>
            <w:hideMark/>
          </w:tcPr>
          <w:p w14:paraId="3C5AF40C" w14:textId="77777777" w:rsidR="000E44C7" w:rsidRDefault="000E44C7">
            <w:pPr>
              <w:rPr>
                <w:rFonts w:ascii="Verdana" w:hAnsi="Verdana" w:cs="Arial"/>
                <w:sz w:val="21"/>
                <w:szCs w:val="21"/>
              </w:rPr>
            </w:pPr>
            <w:r>
              <w:rPr>
                <w:rFonts w:ascii="Verdana" w:hAnsi="Verdana" w:cs="Arial"/>
                <w:sz w:val="21"/>
                <w:szCs w:val="21"/>
              </w:rPr>
              <w:t>Obligaciones con tarjetas de crédito corporativas</w:t>
            </w:r>
          </w:p>
        </w:tc>
        <w:tc>
          <w:tcPr>
            <w:tcW w:w="1905" w:type="dxa"/>
          </w:tcPr>
          <w:p w14:paraId="0851367F" w14:textId="58C71C03" w:rsidR="000E44C7" w:rsidRDefault="00B41F35">
            <w:pPr>
              <w:jc w:val="right"/>
              <w:rPr>
                <w:rFonts w:ascii="Verdana" w:hAnsi="Verdana" w:cs="Arial"/>
                <w:sz w:val="21"/>
                <w:szCs w:val="21"/>
              </w:rPr>
            </w:pPr>
            <w:r>
              <w:rPr>
                <w:rFonts w:ascii="Verdana" w:hAnsi="Verdana" w:cs="Arial"/>
                <w:sz w:val="21"/>
                <w:szCs w:val="21"/>
              </w:rPr>
              <w:t>4,357</w:t>
            </w:r>
          </w:p>
        </w:tc>
        <w:tc>
          <w:tcPr>
            <w:tcW w:w="1172" w:type="dxa"/>
            <w:hideMark/>
          </w:tcPr>
          <w:p w14:paraId="2EA45A37" w14:textId="77777777" w:rsidR="000E44C7" w:rsidRDefault="000E44C7">
            <w:pPr>
              <w:jc w:val="right"/>
              <w:rPr>
                <w:rFonts w:ascii="Verdana" w:hAnsi="Verdana" w:cs="Arial"/>
                <w:sz w:val="21"/>
                <w:szCs w:val="21"/>
              </w:rPr>
            </w:pPr>
            <w:r>
              <w:rPr>
                <w:rFonts w:ascii="Verdana" w:hAnsi="Verdana" w:cs="Arial"/>
                <w:sz w:val="21"/>
                <w:szCs w:val="21"/>
              </w:rPr>
              <w:t>9,368</w:t>
            </w:r>
          </w:p>
        </w:tc>
      </w:tr>
      <w:tr w:rsidR="000E44C7" w14:paraId="3480B87F" w14:textId="77777777" w:rsidTr="003E3123">
        <w:trPr>
          <w:trHeight w:val="261"/>
        </w:trPr>
        <w:tc>
          <w:tcPr>
            <w:tcW w:w="5680" w:type="dxa"/>
            <w:hideMark/>
          </w:tcPr>
          <w:p w14:paraId="2A5E2145" w14:textId="77777777" w:rsidR="000E44C7" w:rsidRDefault="000E44C7">
            <w:pPr>
              <w:rPr>
                <w:rFonts w:ascii="Verdana" w:hAnsi="Verdana" w:cs="Arial"/>
                <w:sz w:val="21"/>
                <w:szCs w:val="21"/>
              </w:rPr>
            </w:pPr>
            <w:r>
              <w:rPr>
                <w:rFonts w:ascii="Verdana" w:hAnsi="Verdana" w:cs="Arial"/>
                <w:sz w:val="21"/>
                <w:szCs w:val="21"/>
              </w:rPr>
              <w:t>Otras cuentas por pagar</w:t>
            </w:r>
          </w:p>
        </w:tc>
        <w:tc>
          <w:tcPr>
            <w:tcW w:w="1905" w:type="dxa"/>
          </w:tcPr>
          <w:p w14:paraId="782F255C" w14:textId="21F361BF" w:rsidR="000E44C7" w:rsidRPr="00B41F35" w:rsidRDefault="00B41F35" w:rsidP="00B41F35">
            <w:pPr>
              <w:jc w:val="center"/>
              <w:rPr>
                <w:rFonts w:ascii="Verdana" w:hAnsi="Verdana" w:cs="Arial"/>
                <w:sz w:val="21"/>
                <w:szCs w:val="21"/>
                <w:u w:val="single"/>
              </w:rPr>
            </w:pPr>
            <w:r>
              <w:rPr>
                <w:rFonts w:ascii="Verdana" w:hAnsi="Verdana" w:cs="Arial"/>
                <w:sz w:val="21"/>
                <w:szCs w:val="21"/>
              </w:rPr>
              <w:t xml:space="preserve">            </w:t>
            </w:r>
            <w:r w:rsidRPr="00B41F35">
              <w:rPr>
                <w:rFonts w:ascii="Verdana" w:hAnsi="Verdana" w:cs="Arial"/>
                <w:sz w:val="21"/>
                <w:szCs w:val="21"/>
                <w:u w:val="single"/>
              </w:rPr>
              <w:t xml:space="preserve">  1,752</w:t>
            </w:r>
          </w:p>
        </w:tc>
        <w:tc>
          <w:tcPr>
            <w:tcW w:w="1172" w:type="dxa"/>
            <w:hideMark/>
          </w:tcPr>
          <w:p w14:paraId="43B93DB2" w14:textId="1EE74A94" w:rsidR="000E44C7" w:rsidRDefault="003E3123" w:rsidP="003E3123">
            <w:pPr>
              <w:rPr>
                <w:rFonts w:ascii="Verdana" w:hAnsi="Verdana" w:cs="Arial"/>
                <w:sz w:val="21"/>
                <w:szCs w:val="21"/>
                <w:u w:val="single"/>
              </w:rPr>
            </w:pPr>
            <w:r w:rsidRPr="003E3123">
              <w:rPr>
                <w:rFonts w:ascii="Verdana" w:hAnsi="Verdana" w:cs="Arial"/>
                <w:sz w:val="21"/>
                <w:szCs w:val="21"/>
              </w:rPr>
              <w:t xml:space="preserve">   </w:t>
            </w:r>
            <w:r>
              <w:rPr>
                <w:rFonts w:ascii="Verdana" w:hAnsi="Verdana" w:cs="Arial"/>
                <w:sz w:val="21"/>
                <w:szCs w:val="21"/>
                <w:u w:val="single"/>
              </w:rPr>
              <w:t xml:space="preserve">        </w:t>
            </w:r>
            <w:r w:rsidR="000E44C7">
              <w:rPr>
                <w:rFonts w:ascii="Verdana" w:hAnsi="Verdana" w:cs="Arial"/>
                <w:sz w:val="21"/>
                <w:szCs w:val="21"/>
                <w:u w:val="single"/>
              </w:rPr>
              <w:t>0</w:t>
            </w:r>
          </w:p>
        </w:tc>
      </w:tr>
      <w:tr w:rsidR="000E44C7" w14:paraId="778070D5" w14:textId="77777777" w:rsidTr="003E3123">
        <w:trPr>
          <w:trHeight w:val="522"/>
        </w:trPr>
        <w:tc>
          <w:tcPr>
            <w:tcW w:w="5680" w:type="dxa"/>
          </w:tcPr>
          <w:p w14:paraId="4932AA04" w14:textId="77777777" w:rsidR="000E44C7" w:rsidRDefault="000E44C7">
            <w:pPr>
              <w:rPr>
                <w:rFonts w:ascii="Verdana" w:hAnsi="Verdana" w:cs="Arial"/>
                <w:sz w:val="21"/>
                <w:szCs w:val="21"/>
              </w:rPr>
            </w:pPr>
          </w:p>
          <w:p w14:paraId="37B1390A" w14:textId="77777777" w:rsidR="000E44C7" w:rsidRDefault="000E44C7">
            <w:pPr>
              <w:rPr>
                <w:rFonts w:ascii="Verdana" w:hAnsi="Verdana" w:cs="Arial"/>
                <w:sz w:val="21"/>
                <w:szCs w:val="21"/>
              </w:rPr>
            </w:pPr>
            <w:r>
              <w:rPr>
                <w:rFonts w:ascii="Verdana" w:hAnsi="Verdana" w:cs="Arial"/>
                <w:sz w:val="21"/>
                <w:szCs w:val="21"/>
              </w:rPr>
              <w:t>Total</w:t>
            </w:r>
          </w:p>
        </w:tc>
        <w:tc>
          <w:tcPr>
            <w:tcW w:w="1905" w:type="dxa"/>
          </w:tcPr>
          <w:p w14:paraId="24E60974" w14:textId="77777777" w:rsidR="000E44C7" w:rsidRDefault="000E44C7">
            <w:pPr>
              <w:jc w:val="right"/>
              <w:rPr>
                <w:rFonts w:ascii="Verdana" w:hAnsi="Verdana" w:cs="Arial"/>
                <w:sz w:val="21"/>
                <w:szCs w:val="21"/>
              </w:rPr>
            </w:pPr>
          </w:p>
          <w:p w14:paraId="2805724C" w14:textId="34AA5E8A" w:rsidR="000E44C7" w:rsidRPr="00B41F35" w:rsidRDefault="00B41F35">
            <w:pPr>
              <w:jc w:val="right"/>
              <w:rPr>
                <w:rFonts w:ascii="Verdana" w:hAnsi="Verdana" w:cs="Arial"/>
                <w:sz w:val="21"/>
                <w:szCs w:val="21"/>
                <w:u w:val="double"/>
              </w:rPr>
            </w:pPr>
            <w:r w:rsidRPr="00B41F35">
              <w:rPr>
                <w:rFonts w:ascii="Verdana" w:hAnsi="Verdana" w:cs="Arial"/>
                <w:sz w:val="21"/>
                <w:szCs w:val="21"/>
                <w:u w:val="double"/>
              </w:rPr>
              <w:t>10,400</w:t>
            </w:r>
          </w:p>
        </w:tc>
        <w:tc>
          <w:tcPr>
            <w:tcW w:w="1172" w:type="dxa"/>
          </w:tcPr>
          <w:p w14:paraId="73FE8833" w14:textId="77777777" w:rsidR="000E44C7" w:rsidRDefault="000E44C7">
            <w:pPr>
              <w:jc w:val="right"/>
              <w:rPr>
                <w:rFonts w:ascii="Verdana" w:hAnsi="Verdana" w:cs="Arial"/>
                <w:sz w:val="21"/>
                <w:szCs w:val="21"/>
              </w:rPr>
            </w:pPr>
          </w:p>
          <w:p w14:paraId="06BC0E62" w14:textId="77777777" w:rsidR="000E44C7" w:rsidRDefault="000E44C7">
            <w:pPr>
              <w:jc w:val="right"/>
              <w:rPr>
                <w:rFonts w:ascii="Verdana" w:hAnsi="Verdana" w:cs="Arial"/>
                <w:sz w:val="21"/>
                <w:szCs w:val="21"/>
                <w:u w:val="double"/>
              </w:rPr>
            </w:pPr>
            <w:r>
              <w:rPr>
                <w:rFonts w:ascii="Verdana" w:hAnsi="Verdana" w:cs="Arial"/>
                <w:sz w:val="21"/>
                <w:szCs w:val="21"/>
                <w:u w:val="double"/>
              </w:rPr>
              <w:t>26,173</w:t>
            </w:r>
          </w:p>
        </w:tc>
      </w:tr>
    </w:tbl>
    <w:p w14:paraId="1575942B" w14:textId="77777777" w:rsidR="000E44C7" w:rsidRDefault="000E44C7" w:rsidP="000E44C7">
      <w:pPr>
        <w:rPr>
          <w:rFonts w:ascii="Verdana" w:hAnsi="Verdana" w:cs="Arial"/>
          <w:sz w:val="18"/>
          <w:szCs w:val="18"/>
        </w:rPr>
      </w:pPr>
    </w:p>
    <w:p w14:paraId="5AC1E19A" w14:textId="77777777" w:rsidR="000E44C7" w:rsidRDefault="000E44C7" w:rsidP="000E44C7">
      <w:pPr>
        <w:rPr>
          <w:rFonts w:ascii="Verdana" w:hAnsi="Verdana" w:cs="Arial"/>
          <w:sz w:val="18"/>
          <w:szCs w:val="18"/>
        </w:rPr>
      </w:pPr>
    </w:p>
    <w:p w14:paraId="5AF8C2AF" w14:textId="4B523540" w:rsidR="00EE0162" w:rsidRDefault="00EE0162" w:rsidP="00EE0162">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1</w:t>
      </w:r>
      <w:r>
        <w:rPr>
          <w:rFonts w:ascii="Verdana" w:hAnsi="Verdana" w:cs="Arial"/>
          <w:b/>
          <w:color w:val="000000"/>
          <w:sz w:val="21"/>
          <w:szCs w:val="21"/>
        </w:rPr>
        <w:t>.</w:t>
      </w:r>
      <w:r>
        <w:rPr>
          <w:rFonts w:ascii="Verdana" w:hAnsi="Verdana" w:cs="Arial"/>
          <w:b/>
          <w:color w:val="00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7F8150E4"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2A69FC">
        <w:rPr>
          <w:rFonts w:ascii="Verdana" w:hAnsi="Verdana" w:cs="Arial"/>
          <w:sz w:val="21"/>
          <w:szCs w:val="21"/>
          <w:highlight w:val="yellow"/>
          <w:lang w:val="es-EC"/>
        </w:rPr>
        <w:t>US$</w:t>
      </w:r>
      <w:r w:rsidR="00681958" w:rsidRPr="00681958">
        <w:rPr>
          <w:rFonts w:ascii="Verdana" w:hAnsi="Verdana" w:cs="Arial"/>
          <w:sz w:val="21"/>
          <w:szCs w:val="21"/>
          <w:highlight w:val="yellow"/>
          <w:lang w:val="es-EC"/>
        </w:rPr>
        <w:t>185</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429B4B2C"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 xml:space="preserve">Estos préstamos no generan intereses, no se han asignado activos de la empresa en garantía de </w:t>
      </w:r>
      <w:proofErr w:type="gramStart"/>
      <w:r>
        <w:rPr>
          <w:rFonts w:ascii="Verdana" w:hAnsi="Verdana" w:cs="Arial"/>
          <w:sz w:val="21"/>
          <w:szCs w:val="21"/>
          <w:lang w:val="es-EC"/>
        </w:rPr>
        <w:t>los mismos</w:t>
      </w:r>
      <w:proofErr w:type="gramEnd"/>
      <w:r>
        <w:rPr>
          <w:rFonts w:ascii="Verdana" w:hAnsi="Verdana" w:cs="Arial"/>
          <w:sz w:val="21"/>
          <w:szCs w:val="21"/>
          <w:lang w:val="es-EC"/>
        </w:rPr>
        <w:t xml:space="preserve"> y tienen vencimientos por US$</w:t>
      </w:r>
      <w:r w:rsidR="00B41F35">
        <w:rPr>
          <w:rFonts w:ascii="Verdana" w:hAnsi="Verdana" w:cs="Arial"/>
          <w:sz w:val="21"/>
          <w:szCs w:val="21"/>
          <w:lang w:val="es-EC"/>
        </w:rPr>
        <w:t>75 mil y US$1</w:t>
      </w:r>
      <w:r w:rsidR="00681958">
        <w:rPr>
          <w:rFonts w:ascii="Verdana" w:hAnsi="Verdana" w:cs="Arial"/>
          <w:sz w:val="21"/>
          <w:szCs w:val="21"/>
          <w:lang w:val="es-EC"/>
        </w:rPr>
        <w:t>10</w:t>
      </w:r>
      <w:r>
        <w:rPr>
          <w:rFonts w:ascii="Verdana" w:hAnsi="Verdana" w:cs="Arial"/>
          <w:sz w:val="21"/>
          <w:szCs w:val="21"/>
          <w:lang w:val="es-EC"/>
        </w:rPr>
        <w:t xml:space="preserve"> mil en los años 202</w:t>
      </w:r>
      <w:r w:rsidR="00681958">
        <w:rPr>
          <w:rFonts w:ascii="Verdana" w:hAnsi="Verdana" w:cs="Arial"/>
          <w:sz w:val="21"/>
          <w:szCs w:val="21"/>
          <w:lang w:val="es-EC"/>
        </w:rPr>
        <w:t>2</w:t>
      </w:r>
      <w:r>
        <w:rPr>
          <w:rFonts w:ascii="Verdana" w:hAnsi="Verdana" w:cs="Arial"/>
          <w:sz w:val="21"/>
          <w:szCs w:val="21"/>
          <w:lang w:val="es-EC"/>
        </w:rPr>
        <w:t xml:space="preserve"> y 202</w:t>
      </w:r>
      <w:r w:rsidR="00681958">
        <w:rPr>
          <w:rFonts w:ascii="Verdana" w:hAnsi="Verdana" w:cs="Arial"/>
          <w:sz w:val="21"/>
          <w:szCs w:val="21"/>
          <w:lang w:val="es-EC"/>
        </w:rPr>
        <w:t>3</w:t>
      </w:r>
      <w:r>
        <w:rPr>
          <w:rFonts w:ascii="Verdana" w:hAnsi="Verdana" w:cs="Arial"/>
          <w:sz w:val="21"/>
          <w:szCs w:val="21"/>
          <w:lang w:val="es-EC"/>
        </w:rPr>
        <w:t xml:space="preserve"> (Ver nota 20)</w:t>
      </w:r>
    </w:p>
    <w:p w14:paraId="2B12B15E" w14:textId="77777777" w:rsidR="00EE0162" w:rsidRDefault="00EE0162" w:rsidP="00EE0162">
      <w:pPr>
        <w:tabs>
          <w:tab w:val="num" w:pos="567"/>
        </w:tabs>
        <w:ind w:left="567"/>
        <w:jc w:val="both"/>
        <w:rPr>
          <w:rFonts w:ascii="Verdana" w:hAnsi="Verdana" w:cs="Arial"/>
          <w:sz w:val="21"/>
          <w:szCs w:val="21"/>
          <w:lang w:val="es-EC"/>
        </w:rPr>
      </w:pPr>
    </w:p>
    <w:p w14:paraId="072B1E58" w14:textId="281F9D37" w:rsidR="00805FB6" w:rsidRDefault="00805FB6" w:rsidP="00805FB6">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2</w:t>
      </w:r>
      <w:r>
        <w:rPr>
          <w:rFonts w:ascii="Verdana" w:hAnsi="Verdana" w:cs="Arial"/>
          <w:b/>
          <w:color w:val="000000"/>
          <w:sz w:val="21"/>
          <w:szCs w:val="21"/>
        </w:rPr>
        <w:t xml:space="preserve">. </w:t>
      </w:r>
      <w:r>
        <w:rPr>
          <w:rFonts w:ascii="Verdana" w:hAnsi="Verdana" w:cs="Arial"/>
          <w:b/>
          <w:color w:val="00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805FB6" w14:paraId="46C2527E" w14:textId="77777777" w:rsidTr="00577E5D">
        <w:tc>
          <w:tcPr>
            <w:tcW w:w="4361" w:type="dxa"/>
          </w:tcPr>
          <w:p w14:paraId="26120B3D" w14:textId="77777777" w:rsidR="00805FB6" w:rsidRDefault="00805FB6">
            <w:pPr>
              <w:rPr>
                <w:rFonts w:ascii="Verdana" w:hAnsi="Verdana" w:cs="Arial"/>
                <w:sz w:val="21"/>
                <w:szCs w:val="21"/>
              </w:rPr>
            </w:pPr>
          </w:p>
        </w:tc>
        <w:tc>
          <w:tcPr>
            <w:tcW w:w="2552"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77E5D">
        <w:tc>
          <w:tcPr>
            <w:tcW w:w="4361" w:type="dxa"/>
          </w:tcPr>
          <w:p w14:paraId="27E38DC8" w14:textId="77777777" w:rsidR="00805FB6" w:rsidRDefault="00805FB6">
            <w:pPr>
              <w:rPr>
                <w:rFonts w:ascii="Verdana" w:hAnsi="Verdana" w:cs="Arial"/>
                <w:sz w:val="21"/>
                <w:szCs w:val="21"/>
              </w:rPr>
            </w:pPr>
          </w:p>
        </w:tc>
        <w:tc>
          <w:tcPr>
            <w:tcW w:w="2552" w:type="dxa"/>
          </w:tcPr>
          <w:p w14:paraId="5FC2FB9C" w14:textId="77777777" w:rsidR="00805FB6" w:rsidRDefault="00805FB6">
            <w:pPr>
              <w:jc w:val="right"/>
              <w:rPr>
                <w:rFonts w:ascii="Verdana" w:hAnsi="Verdana" w:cs="Arial"/>
                <w:sz w:val="21"/>
                <w:szCs w:val="21"/>
              </w:rPr>
            </w:pPr>
          </w:p>
        </w:tc>
        <w:tc>
          <w:tcPr>
            <w:tcW w:w="1836" w:type="dxa"/>
          </w:tcPr>
          <w:p w14:paraId="563B743A" w14:textId="77777777" w:rsidR="00805FB6" w:rsidRDefault="00805FB6">
            <w:pPr>
              <w:jc w:val="right"/>
              <w:rPr>
                <w:rFonts w:ascii="Verdana" w:hAnsi="Verdana" w:cs="Arial"/>
                <w:sz w:val="21"/>
                <w:szCs w:val="21"/>
              </w:rPr>
            </w:pPr>
          </w:p>
        </w:tc>
      </w:tr>
      <w:tr w:rsidR="007C008E" w14:paraId="7C6085DC" w14:textId="77777777" w:rsidTr="00577E5D">
        <w:tc>
          <w:tcPr>
            <w:tcW w:w="4361" w:type="dxa"/>
          </w:tcPr>
          <w:p w14:paraId="0B6ED168" w14:textId="1BBF9AD7" w:rsidR="007C008E" w:rsidRPr="007C008E" w:rsidRDefault="007C008E">
            <w:pPr>
              <w:rPr>
                <w:rFonts w:ascii="Verdana" w:hAnsi="Verdana" w:cs="Arial"/>
                <w:sz w:val="21"/>
                <w:szCs w:val="21"/>
                <w:u w:val="single"/>
              </w:rPr>
            </w:pPr>
            <w:r w:rsidRPr="007C008E">
              <w:rPr>
                <w:rFonts w:ascii="Verdana" w:hAnsi="Verdana" w:cs="Arial"/>
                <w:sz w:val="21"/>
                <w:szCs w:val="21"/>
                <w:u w:val="single"/>
              </w:rPr>
              <w:t>Beneficios sociales:</w:t>
            </w:r>
          </w:p>
        </w:tc>
        <w:tc>
          <w:tcPr>
            <w:tcW w:w="2552" w:type="dxa"/>
          </w:tcPr>
          <w:p w14:paraId="35644B63" w14:textId="77777777" w:rsidR="007C008E" w:rsidRDefault="007C008E">
            <w:pPr>
              <w:jc w:val="right"/>
              <w:rPr>
                <w:rFonts w:ascii="Verdana" w:hAnsi="Verdana" w:cs="Arial"/>
                <w:sz w:val="21"/>
                <w:szCs w:val="21"/>
              </w:rPr>
            </w:pPr>
          </w:p>
        </w:tc>
        <w:tc>
          <w:tcPr>
            <w:tcW w:w="1836" w:type="dxa"/>
          </w:tcPr>
          <w:p w14:paraId="63ACEF2D" w14:textId="77777777" w:rsidR="007C008E" w:rsidRDefault="007C008E">
            <w:pPr>
              <w:jc w:val="right"/>
              <w:rPr>
                <w:rFonts w:ascii="Verdana" w:hAnsi="Verdana" w:cs="Arial"/>
                <w:sz w:val="21"/>
                <w:szCs w:val="21"/>
              </w:rPr>
            </w:pPr>
          </w:p>
        </w:tc>
      </w:tr>
      <w:tr w:rsidR="007C008E" w14:paraId="5D2F6415" w14:textId="77777777" w:rsidTr="00577E5D">
        <w:tc>
          <w:tcPr>
            <w:tcW w:w="4361" w:type="dxa"/>
          </w:tcPr>
          <w:p w14:paraId="7C8331C2" w14:textId="57D81564" w:rsidR="007C008E" w:rsidRDefault="007C008E">
            <w:pPr>
              <w:rPr>
                <w:rFonts w:ascii="Verdana" w:hAnsi="Verdana" w:cs="Arial"/>
                <w:sz w:val="21"/>
                <w:szCs w:val="21"/>
              </w:rPr>
            </w:pPr>
            <w:r>
              <w:rPr>
                <w:rFonts w:ascii="Verdana" w:hAnsi="Verdana" w:cs="Arial"/>
                <w:sz w:val="21"/>
                <w:szCs w:val="21"/>
              </w:rPr>
              <w:t>…Vacaciones</w:t>
            </w:r>
          </w:p>
        </w:tc>
        <w:tc>
          <w:tcPr>
            <w:tcW w:w="2552" w:type="dxa"/>
          </w:tcPr>
          <w:p w14:paraId="5018E6B9" w14:textId="3A851427" w:rsidR="007C008E" w:rsidRDefault="00681958">
            <w:pPr>
              <w:jc w:val="right"/>
              <w:rPr>
                <w:rFonts w:ascii="Verdana" w:hAnsi="Verdana" w:cs="Arial"/>
                <w:sz w:val="21"/>
                <w:szCs w:val="21"/>
              </w:rPr>
            </w:pPr>
            <w:r>
              <w:rPr>
                <w:rFonts w:ascii="Verdana" w:hAnsi="Verdana" w:cs="Arial"/>
                <w:sz w:val="21"/>
                <w:szCs w:val="21"/>
              </w:rPr>
              <w:t>9,201</w:t>
            </w:r>
          </w:p>
        </w:tc>
        <w:tc>
          <w:tcPr>
            <w:tcW w:w="1836"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77E5D">
        <w:tc>
          <w:tcPr>
            <w:tcW w:w="4361" w:type="dxa"/>
          </w:tcPr>
          <w:p w14:paraId="74CF9B1F" w14:textId="518103CC" w:rsidR="007C008E" w:rsidRDefault="007C008E">
            <w:pPr>
              <w:rPr>
                <w:rFonts w:ascii="Verdana" w:hAnsi="Verdana" w:cs="Arial"/>
                <w:sz w:val="21"/>
                <w:szCs w:val="21"/>
              </w:rPr>
            </w:pPr>
            <w:r>
              <w:rPr>
                <w:rFonts w:ascii="Verdana" w:hAnsi="Verdana" w:cs="Arial"/>
                <w:sz w:val="21"/>
                <w:szCs w:val="21"/>
              </w:rPr>
              <w:t>…Décimo cuarto sueldo</w:t>
            </w:r>
          </w:p>
        </w:tc>
        <w:tc>
          <w:tcPr>
            <w:tcW w:w="2552" w:type="dxa"/>
          </w:tcPr>
          <w:p w14:paraId="5B7EE088" w14:textId="3159F455" w:rsidR="007C008E" w:rsidRDefault="00681958">
            <w:pPr>
              <w:jc w:val="right"/>
              <w:rPr>
                <w:rFonts w:ascii="Verdana" w:hAnsi="Verdana" w:cs="Arial"/>
                <w:sz w:val="21"/>
                <w:szCs w:val="21"/>
              </w:rPr>
            </w:pPr>
            <w:r>
              <w:rPr>
                <w:rFonts w:ascii="Verdana" w:hAnsi="Verdana" w:cs="Arial"/>
                <w:sz w:val="21"/>
                <w:szCs w:val="21"/>
              </w:rPr>
              <w:t>1,667</w:t>
            </w:r>
          </w:p>
        </w:tc>
        <w:tc>
          <w:tcPr>
            <w:tcW w:w="1836" w:type="dxa"/>
          </w:tcPr>
          <w:p w14:paraId="2D78AD61" w14:textId="2BDC08FF" w:rsidR="007C008E" w:rsidRDefault="007C008E">
            <w:pPr>
              <w:jc w:val="right"/>
              <w:rPr>
                <w:rFonts w:ascii="Verdana" w:hAnsi="Verdana" w:cs="Arial"/>
                <w:sz w:val="21"/>
                <w:szCs w:val="21"/>
              </w:rPr>
            </w:pPr>
            <w:r>
              <w:rPr>
                <w:rFonts w:ascii="Verdana" w:hAnsi="Verdana" w:cs="Arial"/>
                <w:sz w:val="21"/>
                <w:szCs w:val="21"/>
              </w:rPr>
              <w:t>3,933</w:t>
            </w:r>
          </w:p>
        </w:tc>
      </w:tr>
      <w:tr w:rsidR="007C008E" w14:paraId="2C661785" w14:textId="77777777" w:rsidTr="00577E5D">
        <w:tc>
          <w:tcPr>
            <w:tcW w:w="4361" w:type="dxa"/>
          </w:tcPr>
          <w:p w14:paraId="46109AF7" w14:textId="7B8F9A82" w:rsidR="007C008E" w:rsidRDefault="007C008E">
            <w:pPr>
              <w:rPr>
                <w:rFonts w:ascii="Verdana" w:hAnsi="Verdana" w:cs="Arial"/>
                <w:sz w:val="21"/>
                <w:szCs w:val="21"/>
              </w:rPr>
            </w:pPr>
            <w:r>
              <w:rPr>
                <w:rFonts w:ascii="Verdana" w:hAnsi="Verdana" w:cs="Arial"/>
                <w:sz w:val="21"/>
                <w:szCs w:val="21"/>
              </w:rPr>
              <w:t>…Décimo tercera remuneración</w:t>
            </w:r>
          </w:p>
        </w:tc>
        <w:tc>
          <w:tcPr>
            <w:tcW w:w="2552" w:type="dxa"/>
          </w:tcPr>
          <w:p w14:paraId="0615C6A8" w14:textId="34F8F992" w:rsidR="007C008E" w:rsidRDefault="00681958">
            <w:pPr>
              <w:jc w:val="right"/>
              <w:rPr>
                <w:rFonts w:ascii="Verdana" w:hAnsi="Verdana" w:cs="Arial"/>
                <w:sz w:val="21"/>
                <w:szCs w:val="21"/>
              </w:rPr>
            </w:pPr>
            <w:r>
              <w:rPr>
                <w:rFonts w:ascii="Verdana" w:hAnsi="Verdana" w:cs="Arial"/>
                <w:sz w:val="21"/>
                <w:szCs w:val="21"/>
              </w:rPr>
              <w:t>452</w:t>
            </w:r>
          </w:p>
        </w:tc>
        <w:tc>
          <w:tcPr>
            <w:tcW w:w="1836"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14:paraId="6F198A7A" w14:textId="77777777" w:rsidTr="00577E5D">
        <w:tc>
          <w:tcPr>
            <w:tcW w:w="4361" w:type="dxa"/>
          </w:tcPr>
          <w:p w14:paraId="3989D5D9" w14:textId="17CE921C" w:rsidR="007C008E" w:rsidRDefault="007C008E">
            <w:pPr>
              <w:rPr>
                <w:rFonts w:ascii="Verdana" w:hAnsi="Verdana" w:cs="Arial"/>
                <w:sz w:val="21"/>
                <w:szCs w:val="21"/>
              </w:rPr>
            </w:pPr>
            <w:r>
              <w:rPr>
                <w:rFonts w:ascii="Verdana" w:hAnsi="Verdana" w:cs="Arial"/>
                <w:sz w:val="21"/>
                <w:szCs w:val="21"/>
              </w:rPr>
              <w:t>…Fondo de reserva</w:t>
            </w:r>
          </w:p>
        </w:tc>
        <w:tc>
          <w:tcPr>
            <w:tcW w:w="2552" w:type="dxa"/>
          </w:tcPr>
          <w:p w14:paraId="77DDC164" w14:textId="279C2F0A" w:rsidR="007C008E" w:rsidRPr="00681958" w:rsidRDefault="00681958" w:rsidP="00681958">
            <w:pPr>
              <w:jc w:val="center"/>
              <w:rPr>
                <w:rFonts w:ascii="Verdana" w:hAnsi="Verdana" w:cs="Arial"/>
                <w:sz w:val="21"/>
                <w:szCs w:val="21"/>
                <w:u w:val="single"/>
              </w:rPr>
            </w:pPr>
            <w:r>
              <w:rPr>
                <w:rFonts w:ascii="Verdana" w:hAnsi="Verdana" w:cs="Arial"/>
                <w:sz w:val="21"/>
                <w:szCs w:val="21"/>
              </w:rPr>
              <w:t xml:space="preserve">                      </w:t>
            </w:r>
            <w:r w:rsidRPr="00681958">
              <w:rPr>
                <w:rFonts w:ascii="Verdana" w:hAnsi="Verdana" w:cs="Arial"/>
                <w:sz w:val="21"/>
                <w:szCs w:val="21"/>
                <w:u w:val="single"/>
              </w:rPr>
              <w:t xml:space="preserve">      85</w:t>
            </w:r>
          </w:p>
        </w:tc>
        <w:tc>
          <w:tcPr>
            <w:tcW w:w="1836" w:type="dxa"/>
          </w:tcPr>
          <w:p w14:paraId="1151182F" w14:textId="2BD80F09" w:rsidR="007C008E" w:rsidRPr="007C008E" w:rsidRDefault="007C008E" w:rsidP="007C008E">
            <w:pPr>
              <w:jc w:val="center"/>
              <w:rPr>
                <w:rFonts w:ascii="Verdana" w:hAnsi="Verdana" w:cs="Arial"/>
                <w:sz w:val="21"/>
                <w:szCs w:val="21"/>
                <w:u w:val="single"/>
              </w:rPr>
            </w:pPr>
            <w:r>
              <w:rPr>
                <w:rFonts w:ascii="Verdana" w:hAnsi="Verdana" w:cs="Arial"/>
                <w:sz w:val="21"/>
                <w:szCs w:val="21"/>
              </w:rPr>
              <w:t xml:space="preserve">            </w:t>
            </w:r>
            <w:r w:rsidRPr="007C008E">
              <w:rPr>
                <w:rFonts w:ascii="Verdana" w:hAnsi="Verdana" w:cs="Arial"/>
                <w:sz w:val="21"/>
                <w:szCs w:val="21"/>
                <w:u w:val="single"/>
              </w:rPr>
              <w:t xml:space="preserve">    737</w:t>
            </w:r>
          </w:p>
        </w:tc>
      </w:tr>
      <w:tr w:rsidR="007C008E" w14:paraId="29E29125" w14:textId="77777777" w:rsidTr="00577E5D">
        <w:tc>
          <w:tcPr>
            <w:tcW w:w="4361" w:type="dxa"/>
          </w:tcPr>
          <w:p w14:paraId="08B3FE4A" w14:textId="1E94B2A9" w:rsidR="007C008E" w:rsidRDefault="007C008E">
            <w:pPr>
              <w:rPr>
                <w:rFonts w:ascii="Verdana" w:hAnsi="Verdana" w:cs="Arial"/>
                <w:sz w:val="21"/>
                <w:szCs w:val="21"/>
              </w:rPr>
            </w:pPr>
            <w:r>
              <w:rPr>
                <w:rFonts w:ascii="Verdana" w:hAnsi="Verdana" w:cs="Arial"/>
                <w:sz w:val="21"/>
                <w:szCs w:val="21"/>
              </w:rPr>
              <w:t>Subtotal</w:t>
            </w:r>
          </w:p>
        </w:tc>
        <w:tc>
          <w:tcPr>
            <w:tcW w:w="2552" w:type="dxa"/>
          </w:tcPr>
          <w:p w14:paraId="7C2F1CB8" w14:textId="1AAC3291" w:rsidR="007C008E" w:rsidRDefault="00681958">
            <w:pPr>
              <w:jc w:val="right"/>
              <w:rPr>
                <w:rFonts w:ascii="Verdana" w:hAnsi="Verdana" w:cs="Arial"/>
                <w:sz w:val="21"/>
                <w:szCs w:val="21"/>
              </w:rPr>
            </w:pPr>
            <w:r>
              <w:rPr>
                <w:rFonts w:ascii="Verdana" w:hAnsi="Verdana" w:cs="Arial"/>
                <w:sz w:val="21"/>
                <w:szCs w:val="21"/>
              </w:rPr>
              <w:t>11,404</w:t>
            </w:r>
          </w:p>
        </w:tc>
        <w:tc>
          <w:tcPr>
            <w:tcW w:w="1836" w:type="dxa"/>
          </w:tcPr>
          <w:p w14:paraId="366DB5C2" w14:textId="29129B31" w:rsidR="007C008E" w:rsidRDefault="007C008E">
            <w:pPr>
              <w:jc w:val="right"/>
              <w:rPr>
                <w:rFonts w:ascii="Verdana" w:hAnsi="Verdana" w:cs="Arial"/>
                <w:sz w:val="21"/>
                <w:szCs w:val="21"/>
              </w:rPr>
            </w:pPr>
            <w:r>
              <w:rPr>
                <w:rFonts w:ascii="Verdana" w:hAnsi="Verdana" w:cs="Arial"/>
                <w:sz w:val="21"/>
                <w:szCs w:val="21"/>
              </w:rPr>
              <w:t>8,801</w:t>
            </w:r>
          </w:p>
        </w:tc>
      </w:tr>
      <w:tr w:rsidR="007C008E" w14:paraId="76FE7458" w14:textId="77777777" w:rsidTr="00577E5D">
        <w:tc>
          <w:tcPr>
            <w:tcW w:w="4361" w:type="dxa"/>
          </w:tcPr>
          <w:p w14:paraId="17AA672E" w14:textId="4DB14C93" w:rsidR="007C008E" w:rsidRDefault="00577E5D">
            <w:pPr>
              <w:rPr>
                <w:rFonts w:ascii="Verdana" w:hAnsi="Verdana" w:cs="Arial"/>
                <w:sz w:val="21"/>
                <w:szCs w:val="21"/>
              </w:rPr>
            </w:pPr>
            <w:r>
              <w:rPr>
                <w:rFonts w:ascii="Verdana" w:hAnsi="Verdana" w:cs="Arial"/>
                <w:sz w:val="21"/>
                <w:szCs w:val="21"/>
              </w:rPr>
              <w:t>Más: Obligaciones por pagar al IESS</w:t>
            </w:r>
          </w:p>
        </w:tc>
        <w:tc>
          <w:tcPr>
            <w:tcW w:w="2552" w:type="dxa"/>
          </w:tcPr>
          <w:p w14:paraId="7F451491" w14:textId="6F6732A1" w:rsidR="00681958" w:rsidRPr="00681958" w:rsidRDefault="00681958" w:rsidP="00681958">
            <w:pPr>
              <w:rPr>
                <w:rFonts w:ascii="Verdana" w:hAnsi="Verdana" w:cs="Arial"/>
                <w:sz w:val="21"/>
                <w:szCs w:val="21"/>
                <w:u w:val="single"/>
              </w:rPr>
            </w:pPr>
            <w:r w:rsidRPr="00681958">
              <w:rPr>
                <w:rFonts w:ascii="Verdana" w:hAnsi="Verdana" w:cs="Arial"/>
                <w:sz w:val="21"/>
                <w:szCs w:val="21"/>
              </w:rPr>
              <w:t xml:space="preserve">                      </w:t>
            </w:r>
            <w:r>
              <w:rPr>
                <w:rFonts w:ascii="Verdana" w:hAnsi="Verdana" w:cs="Arial"/>
                <w:sz w:val="21"/>
                <w:szCs w:val="21"/>
                <w:u w:val="single"/>
              </w:rPr>
              <w:t xml:space="preserve"> </w:t>
            </w:r>
            <w:r w:rsidRPr="00681958">
              <w:rPr>
                <w:rFonts w:ascii="Verdana" w:hAnsi="Verdana" w:cs="Arial"/>
                <w:sz w:val="21"/>
                <w:szCs w:val="21"/>
                <w:u w:val="single"/>
              </w:rPr>
              <w:t>1,580</w:t>
            </w:r>
          </w:p>
        </w:tc>
        <w:tc>
          <w:tcPr>
            <w:tcW w:w="1836" w:type="dxa"/>
          </w:tcPr>
          <w:p w14:paraId="1832FC1C" w14:textId="4486FF4F" w:rsidR="007C008E" w:rsidRPr="00681958" w:rsidRDefault="00577E5D" w:rsidP="00681958">
            <w:pPr>
              <w:jc w:val="center"/>
              <w:rPr>
                <w:rFonts w:ascii="Verdana" w:hAnsi="Verdana" w:cs="Arial"/>
                <w:sz w:val="21"/>
                <w:szCs w:val="21"/>
              </w:rPr>
            </w:pPr>
            <w:r>
              <w:rPr>
                <w:rFonts w:ascii="Verdana" w:hAnsi="Verdana" w:cs="Arial"/>
                <w:sz w:val="21"/>
                <w:szCs w:val="21"/>
              </w:rPr>
              <w:t xml:space="preserve">            </w:t>
            </w:r>
            <w:r w:rsidRPr="00577E5D">
              <w:rPr>
                <w:rFonts w:ascii="Verdana" w:hAnsi="Verdana" w:cs="Arial"/>
                <w:sz w:val="21"/>
                <w:szCs w:val="21"/>
                <w:u w:val="single"/>
              </w:rPr>
              <w:t xml:space="preserve"> 7,374</w:t>
            </w:r>
          </w:p>
        </w:tc>
      </w:tr>
      <w:tr w:rsidR="007C008E" w14:paraId="26DD3D42" w14:textId="77777777" w:rsidTr="00577E5D">
        <w:tc>
          <w:tcPr>
            <w:tcW w:w="4361" w:type="dxa"/>
          </w:tcPr>
          <w:p w14:paraId="69B3EEF2" w14:textId="77777777" w:rsidR="007C008E" w:rsidRDefault="007C008E">
            <w:pPr>
              <w:rPr>
                <w:rFonts w:ascii="Verdana" w:hAnsi="Verdana" w:cs="Arial"/>
                <w:sz w:val="21"/>
                <w:szCs w:val="21"/>
              </w:rPr>
            </w:pPr>
          </w:p>
        </w:tc>
        <w:tc>
          <w:tcPr>
            <w:tcW w:w="2552" w:type="dxa"/>
          </w:tcPr>
          <w:p w14:paraId="36E29B66" w14:textId="77777777" w:rsidR="007C008E" w:rsidRDefault="007C008E">
            <w:pPr>
              <w:jc w:val="right"/>
              <w:rPr>
                <w:rFonts w:ascii="Verdana" w:hAnsi="Verdana" w:cs="Arial"/>
                <w:sz w:val="21"/>
                <w:szCs w:val="21"/>
              </w:rPr>
            </w:pPr>
          </w:p>
        </w:tc>
        <w:tc>
          <w:tcPr>
            <w:tcW w:w="1836" w:type="dxa"/>
          </w:tcPr>
          <w:p w14:paraId="2E705798" w14:textId="77777777" w:rsidR="007C008E" w:rsidRDefault="007C008E">
            <w:pPr>
              <w:jc w:val="right"/>
              <w:rPr>
                <w:rFonts w:ascii="Verdana" w:hAnsi="Verdana" w:cs="Arial"/>
                <w:sz w:val="21"/>
                <w:szCs w:val="21"/>
              </w:rPr>
            </w:pPr>
          </w:p>
        </w:tc>
      </w:tr>
      <w:tr w:rsidR="00805FB6" w14:paraId="339EDB5D" w14:textId="77777777" w:rsidTr="00577E5D">
        <w:tc>
          <w:tcPr>
            <w:tcW w:w="4361" w:type="dxa"/>
          </w:tcPr>
          <w:p w14:paraId="61189770" w14:textId="77777777" w:rsidR="00805FB6" w:rsidRDefault="00805FB6">
            <w:pPr>
              <w:rPr>
                <w:rFonts w:ascii="Verdana" w:hAnsi="Verdana" w:cs="Arial"/>
                <w:sz w:val="21"/>
                <w:szCs w:val="21"/>
              </w:rPr>
            </w:pPr>
            <w:r>
              <w:rPr>
                <w:rFonts w:ascii="Verdana" w:hAnsi="Verdana" w:cs="Arial"/>
                <w:sz w:val="21"/>
                <w:szCs w:val="21"/>
              </w:rPr>
              <w:t>Total</w:t>
            </w:r>
          </w:p>
        </w:tc>
        <w:tc>
          <w:tcPr>
            <w:tcW w:w="2552" w:type="dxa"/>
          </w:tcPr>
          <w:p w14:paraId="6AD991C3" w14:textId="6D694CDC" w:rsidR="00805FB6" w:rsidRPr="00681958" w:rsidRDefault="00681958">
            <w:pPr>
              <w:jc w:val="right"/>
              <w:rPr>
                <w:rFonts w:ascii="Verdana" w:hAnsi="Verdana" w:cs="Arial"/>
                <w:sz w:val="21"/>
                <w:szCs w:val="21"/>
                <w:u w:val="double"/>
              </w:rPr>
            </w:pPr>
            <w:r w:rsidRPr="00681958">
              <w:rPr>
                <w:rFonts w:ascii="Verdana" w:hAnsi="Verdana" w:cs="Arial"/>
                <w:sz w:val="21"/>
                <w:szCs w:val="21"/>
                <w:u w:val="double"/>
              </w:rPr>
              <w:t>12,984</w:t>
            </w:r>
          </w:p>
        </w:tc>
        <w:tc>
          <w:tcPr>
            <w:tcW w:w="1836" w:type="dxa"/>
          </w:tcPr>
          <w:p w14:paraId="6CB33FAE" w14:textId="77777777" w:rsidR="00805FB6" w:rsidRDefault="00471369">
            <w:pPr>
              <w:jc w:val="right"/>
              <w:rPr>
                <w:rFonts w:ascii="Verdana" w:hAnsi="Verdana" w:cs="Arial"/>
                <w:sz w:val="21"/>
                <w:szCs w:val="21"/>
                <w:u w:val="double"/>
              </w:rPr>
            </w:pPr>
            <w:r>
              <w:rPr>
                <w:rFonts w:ascii="Verdana" w:hAnsi="Verdana" w:cs="Arial"/>
                <w:sz w:val="21"/>
                <w:szCs w:val="21"/>
                <w:u w:val="double"/>
              </w:rPr>
              <w:t>16,175</w:t>
            </w:r>
          </w:p>
        </w:tc>
      </w:tr>
    </w:tbl>
    <w:p w14:paraId="0B3E2562" w14:textId="6A2CD8CC" w:rsidR="004249CE" w:rsidRDefault="004249CE" w:rsidP="00681958">
      <w:pPr>
        <w:tabs>
          <w:tab w:val="num" w:pos="567"/>
        </w:tabs>
        <w:jc w:val="both"/>
        <w:rPr>
          <w:rFonts w:ascii="Verdana" w:hAnsi="Verdana" w:cs="Arial"/>
          <w:sz w:val="21"/>
          <w:szCs w:val="21"/>
          <w:lang w:val="es-EC"/>
        </w:rPr>
      </w:pPr>
    </w:p>
    <w:p w14:paraId="5585ECCA" w14:textId="77777777" w:rsidR="004249CE" w:rsidRDefault="004249CE" w:rsidP="00EE0162">
      <w:pPr>
        <w:tabs>
          <w:tab w:val="num" w:pos="567"/>
        </w:tabs>
        <w:ind w:left="567"/>
        <w:jc w:val="both"/>
        <w:rPr>
          <w:rFonts w:ascii="Verdana" w:hAnsi="Verdana" w:cs="Arial"/>
          <w:sz w:val="21"/>
          <w:szCs w:val="21"/>
          <w:lang w:val="es-EC"/>
        </w:rPr>
      </w:pPr>
    </w:p>
    <w:p w14:paraId="2360B550" w14:textId="77777777" w:rsidR="00471369" w:rsidRDefault="00471369" w:rsidP="005C4603">
      <w:pPr>
        <w:pStyle w:val="BodyText22"/>
        <w:widowControl/>
        <w:ind w:left="0"/>
        <w:rPr>
          <w:rFonts w:ascii="Verdana" w:hAnsi="Verdana" w:cs="Arial"/>
          <w:color w:val="000000"/>
          <w:sz w:val="21"/>
          <w:szCs w:val="21"/>
          <w:lang w:val="es-EC"/>
        </w:rPr>
      </w:pPr>
      <w:r>
        <w:rPr>
          <w:rFonts w:ascii="Verdana" w:hAnsi="Verdana" w:cs="Arial"/>
          <w:color w:val="000000"/>
          <w:sz w:val="21"/>
          <w:szCs w:val="21"/>
          <w:lang w:val="es-EC"/>
        </w:rPr>
        <w:t>En los años 2021 y 2020, el movimiento de beneficios sociales fue el siguiente:</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71369" w14:paraId="7D556FE8" w14:textId="77777777" w:rsidTr="00BD0A4E">
        <w:tc>
          <w:tcPr>
            <w:tcW w:w="4106" w:type="dxa"/>
          </w:tcPr>
          <w:p w14:paraId="5A4ECD2D" w14:textId="77777777" w:rsidR="00471369" w:rsidRDefault="00471369">
            <w:pPr>
              <w:rPr>
                <w:rFonts w:ascii="Verdana" w:hAnsi="Verdana" w:cs="Arial"/>
                <w:sz w:val="21"/>
                <w:szCs w:val="21"/>
              </w:rPr>
            </w:pPr>
          </w:p>
        </w:tc>
        <w:tc>
          <w:tcPr>
            <w:tcW w:w="2552"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62C3670E" w14:textId="77777777" w:rsidR="00471369" w:rsidRDefault="00471369">
            <w:pPr>
              <w:jc w:val="right"/>
              <w:rPr>
                <w:rFonts w:ascii="Verdana" w:hAnsi="Verdana" w:cs="Arial"/>
                <w:sz w:val="21"/>
                <w:szCs w:val="21"/>
                <w:u w:val="single"/>
              </w:rPr>
            </w:pPr>
            <w:r>
              <w:rPr>
                <w:rFonts w:ascii="Verdana" w:hAnsi="Verdana" w:cs="Arial"/>
                <w:sz w:val="21"/>
                <w:szCs w:val="21"/>
                <w:u w:val="single"/>
              </w:rPr>
              <w:t>2020</w:t>
            </w:r>
          </w:p>
        </w:tc>
      </w:tr>
      <w:tr w:rsidR="00471369" w14:paraId="4B471487" w14:textId="77777777" w:rsidTr="00BD0A4E">
        <w:tc>
          <w:tcPr>
            <w:tcW w:w="4106" w:type="dxa"/>
          </w:tcPr>
          <w:p w14:paraId="51B2FFBB" w14:textId="77777777" w:rsidR="00471369" w:rsidRDefault="00471369">
            <w:pPr>
              <w:rPr>
                <w:rFonts w:ascii="Verdana" w:hAnsi="Verdana" w:cs="Arial"/>
                <w:sz w:val="21"/>
                <w:szCs w:val="21"/>
              </w:rPr>
            </w:pPr>
          </w:p>
        </w:tc>
        <w:tc>
          <w:tcPr>
            <w:tcW w:w="2552" w:type="dxa"/>
          </w:tcPr>
          <w:p w14:paraId="5B098ADD" w14:textId="77777777" w:rsidR="00471369" w:rsidRDefault="00471369">
            <w:pPr>
              <w:jc w:val="right"/>
              <w:rPr>
                <w:rFonts w:ascii="Verdana" w:hAnsi="Verdana" w:cs="Arial"/>
                <w:sz w:val="21"/>
                <w:szCs w:val="21"/>
              </w:rPr>
            </w:pPr>
          </w:p>
        </w:tc>
        <w:tc>
          <w:tcPr>
            <w:tcW w:w="1836" w:type="dxa"/>
          </w:tcPr>
          <w:p w14:paraId="182129A3" w14:textId="77777777" w:rsidR="00471369" w:rsidRDefault="00471369">
            <w:pPr>
              <w:jc w:val="right"/>
              <w:rPr>
                <w:rFonts w:ascii="Verdana" w:hAnsi="Verdana" w:cs="Arial"/>
                <w:sz w:val="21"/>
                <w:szCs w:val="21"/>
              </w:rPr>
            </w:pPr>
          </w:p>
        </w:tc>
      </w:tr>
      <w:tr w:rsidR="00471369" w14:paraId="0667C18F" w14:textId="77777777" w:rsidTr="00BD0A4E">
        <w:tc>
          <w:tcPr>
            <w:tcW w:w="4106"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552" w:type="dxa"/>
          </w:tcPr>
          <w:p w14:paraId="54EBA835" w14:textId="24D3E4B9" w:rsidR="00471369" w:rsidRDefault="00681958">
            <w:pPr>
              <w:jc w:val="right"/>
              <w:rPr>
                <w:rFonts w:ascii="Verdana" w:hAnsi="Verdana" w:cs="Arial"/>
                <w:sz w:val="21"/>
                <w:szCs w:val="21"/>
              </w:rPr>
            </w:pPr>
            <w:r>
              <w:rPr>
                <w:rFonts w:ascii="Verdana" w:hAnsi="Verdana" w:cs="Arial"/>
                <w:sz w:val="21"/>
                <w:szCs w:val="21"/>
              </w:rPr>
              <w:t>8,801</w:t>
            </w:r>
          </w:p>
        </w:tc>
        <w:tc>
          <w:tcPr>
            <w:tcW w:w="1836"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BD0A4E">
        <w:tc>
          <w:tcPr>
            <w:tcW w:w="4106" w:type="dxa"/>
            <w:hideMark/>
          </w:tcPr>
          <w:p w14:paraId="55794E75" w14:textId="718313A3" w:rsidR="00471369" w:rsidRDefault="00BD0A4E">
            <w:pPr>
              <w:rPr>
                <w:rFonts w:ascii="Verdana" w:hAnsi="Verdana" w:cs="Arial"/>
                <w:sz w:val="21"/>
                <w:szCs w:val="21"/>
              </w:rPr>
            </w:pPr>
            <w:r>
              <w:rPr>
                <w:rFonts w:ascii="Verdana" w:hAnsi="Verdana" w:cs="Arial"/>
                <w:sz w:val="21"/>
                <w:szCs w:val="21"/>
              </w:rPr>
              <w:t>Provisiones</w:t>
            </w:r>
            <w:r w:rsidR="00681958">
              <w:rPr>
                <w:rFonts w:ascii="Verdana" w:hAnsi="Verdana" w:cs="Arial"/>
                <w:sz w:val="21"/>
                <w:szCs w:val="21"/>
              </w:rPr>
              <w:t>, cargo a resultados</w:t>
            </w:r>
          </w:p>
        </w:tc>
        <w:tc>
          <w:tcPr>
            <w:tcW w:w="2552" w:type="dxa"/>
          </w:tcPr>
          <w:p w14:paraId="29C3D198" w14:textId="77777777" w:rsidR="00471369" w:rsidRDefault="00471369">
            <w:pPr>
              <w:jc w:val="right"/>
              <w:rPr>
                <w:rFonts w:ascii="Verdana" w:hAnsi="Verdana" w:cs="Arial"/>
                <w:sz w:val="21"/>
                <w:szCs w:val="21"/>
              </w:rPr>
            </w:pPr>
          </w:p>
        </w:tc>
        <w:tc>
          <w:tcPr>
            <w:tcW w:w="1836"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14:paraId="268E75A3" w14:textId="77777777" w:rsidTr="00BD0A4E">
        <w:tc>
          <w:tcPr>
            <w:tcW w:w="4106" w:type="dxa"/>
            <w:hideMark/>
          </w:tcPr>
          <w:p w14:paraId="770229A6" w14:textId="77777777" w:rsidR="00471369" w:rsidRDefault="00BD0A4E">
            <w:pPr>
              <w:rPr>
                <w:rFonts w:ascii="Verdana" w:hAnsi="Verdana" w:cs="Arial"/>
                <w:sz w:val="21"/>
                <w:szCs w:val="21"/>
              </w:rPr>
            </w:pPr>
            <w:r>
              <w:rPr>
                <w:rFonts w:ascii="Verdana" w:hAnsi="Verdana" w:cs="Arial"/>
                <w:sz w:val="21"/>
                <w:szCs w:val="21"/>
              </w:rPr>
              <w:t>Pagos</w:t>
            </w:r>
          </w:p>
          <w:p w14:paraId="2904B9E5" w14:textId="5DD73C0F" w:rsidR="00BD0A4E" w:rsidRDefault="00681958">
            <w:pPr>
              <w:rPr>
                <w:rFonts w:ascii="Verdana" w:hAnsi="Verdana" w:cs="Arial"/>
                <w:sz w:val="21"/>
                <w:szCs w:val="21"/>
              </w:rPr>
            </w:pPr>
            <w:r>
              <w:rPr>
                <w:rFonts w:ascii="Verdana" w:hAnsi="Verdana" w:cs="Arial"/>
                <w:sz w:val="21"/>
                <w:szCs w:val="21"/>
              </w:rPr>
              <w:t>Otros</w:t>
            </w:r>
          </w:p>
        </w:tc>
        <w:tc>
          <w:tcPr>
            <w:tcW w:w="2552" w:type="dxa"/>
          </w:tcPr>
          <w:p w14:paraId="15E5B3F9" w14:textId="77777777" w:rsidR="00471369" w:rsidRDefault="00471369">
            <w:pPr>
              <w:jc w:val="right"/>
              <w:rPr>
                <w:rFonts w:ascii="Verdana" w:hAnsi="Verdana" w:cs="Arial"/>
                <w:sz w:val="21"/>
                <w:szCs w:val="21"/>
              </w:rPr>
            </w:pPr>
          </w:p>
          <w:p w14:paraId="355C51F2" w14:textId="185E4BE7" w:rsidR="00681958" w:rsidRPr="00681958" w:rsidRDefault="00681958" w:rsidP="00681958">
            <w:pPr>
              <w:jc w:val="center"/>
              <w:rPr>
                <w:rFonts w:ascii="Verdana" w:hAnsi="Verdana" w:cs="Arial"/>
                <w:sz w:val="21"/>
                <w:szCs w:val="21"/>
              </w:rPr>
            </w:pPr>
            <w:r>
              <w:rPr>
                <w:rFonts w:ascii="Verdana" w:hAnsi="Verdana" w:cs="Arial"/>
                <w:sz w:val="21"/>
                <w:szCs w:val="21"/>
              </w:rPr>
              <w:t xml:space="preserve">     </w:t>
            </w:r>
            <w:r w:rsidRPr="00681958">
              <w:rPr>
                <w:rFonts w:ascii="Verdana" w:hAnsi="Verdana" w:cs="Arial"/>
                <w:sz w:val="21"/>
                <w:szCs w:val="21"/>
              </w:rPr>
              <w:t xml:space="preserve">           </w:t>
            </w:r>
          </w:p>
        </w:tc>
        <w:tc>
          <w:tcPr>
            <w:tcW w:w="1836" w:type="dxa"/>
            <w:hideMark/>
          </w:tcPr>
          <w:p w14:paraId="31C07CE4" w14:textId="77777777" w:rsidR="00471369" w:rsidRDefault="00BD0A4E">
            <w:pPr>
              <w:jc w:val="right"/>
              <w:rPr>
                <w:rFonts w:ascii="Verdana" w:hAnsi="Verdana" w:cs="Arial"/>
                <w:sz w:val="21"/>
                <w:szCs w:val="21"/>
              </w:rPr>
            </w:pPr>
            <w:r w:rsidRPr="00BD0A4E">
              <w:rPr>
                <w:rFonts w:ascii="Verdana" w:hAnsi="Verdana" w:cs="Arial"/>
                <w:sz w:val="21"/>
                <w:szCs w:val="21"/>
              </w:rPr>
              <w:t>(36,902)</w:t>
            </w:r>
          </w:p>
          <w:p w14:paraId="408417B6" w14:textId="5ADBE5C3" w:rsidR="00BD0A4E" w:rsidRPr="00BD0A4E" w:rsidRDefault="00577E5D" w:rsidP="00577E5D">
            <w:pPr>
              <w:jc w:val="center"/>
              <w:rPr>
                <w:rFonts w:ascii="Verdana" w:hAnsi="Verdana" w:cs="Arial"/>
                <w:sz w:val="21"/>
                <w:szCs w:val="21"/>
                <w:u w:val="single"/>
              </w:rPr>
            </w:pPr>
            <w:r w:rsidRPr="00577E5D">
              <w:rPr>
                <w:rFonts w:ascii="Verdana" w:hAnsi="Verdana" w:cs="Arial"/>
                <w:sz w:val="21"/>
                <w:szCs w:val="21"/>
              </w:rPr>
              <w:t xml:space="preserve">        </w:t>
            </w:r>
            <w:r>
              <w:rPr>
                <w:rFonts w:ascii="Verdana" w:hAnsi="Verdana" w:cs="Arial"/>
                <w:sz w:val="21"/>
                <w:szCs w:val="21"/>
                <w:u w:val="single"/>
              </w:rPr>
              <w:t xml:space="preserve">   </w:t>
            </w:r>
            <w:r w:rsidR="00BD0A4E" w:rsidRPr="00BD0A4E">
              <w:rPr>
                <w:rFonts w:ascii="Verdana" w:hAnsi="Verdana" w:cs="Arial"/>
                <w:sz w:val="21"/>
                <w:szCs w:val="21"/>
                <w:u w:val="single"/>
              </w:rPr>
              <w:t>4,553</w:t>
            </w:r>
          </w:p>
        </w:tc>
      </w:tr>
      <w:tr w:rsidR="00471369" w14:paraId="61B8E8F6" w14:textId="77777777" w:rsidTr="00BD0A4E">
        <w:tc>
          <w:tcPr>
            <w:tcW w:w="4106" w:type="dxa"/>
          </w:tcPr>
          <w:p w14:paraId="4243C3DC" w14:textId="77777777" w:rsidR="00471369" w:rsidRDefault="00471369">
            <w:pPr>
              <w:rPr>
                <w:rFonts w:ascii="Verdana" w:hAnsi="Verdana" w:cs="Arial"/>
                <w:sz w:val="21"/>
                <w:szCs w:val="21"/>
              </w:rPr>
            </w:pPr>
          </w:p>
          <w:p w14:paraId="3CBD9A00" w14:textId="77777777" w:rsidR="00471369" w:rsidRDefault="00BD0A4E">
            <w:pPr>
              <w:rPr>
                <w:rFonts w:ascii="Verdana" w:hAnsi="Verdana" w:cs="Arial"/>
                <w:sz w:val="21"/>
                <w:szCs w:val="21"/>
              </w:rPr>
            </w:pPr>
            <w:r>
              <w:rPr>
                <w:rFonts w:ascii="Verdana" w:hAnsi="Verdana" w:cs="Arial"/>
                <w:sz w:val="21"/>
                <w:szCs w:val="21"/>
              </w:rPr>
              <w:t>Saldo Final</w:t>
            </w:r>
          </w:p>
        </w:tc>
        <w:tc>
          <w:tcPr>
            <w:tcW w:w="2552" w:type="dxa"/>
          </w:tcPr>
          <w:p w14:paraId="50C9CBFD" w14:textId="77777777" w:rsidR="00471369" w:rsidRDefault="00471369">
            <w:pPr>
              <w:jc w:val="right"/>
              <w:rPr>
                <w:rFonts w:ascii="Verdana" w:hAnsi="Verdana" w:cs="Arial"/>
                <w:sz w:val="21"/>
                <w:szCs w:val="21"/>
              </w:rPr>
            </w:pPr>
          </w:p>
          <w:p w14:paraId="68A38884" w14:textId="3B3F4587" w:rsidR="00471369" w:rsidRDefault="00681958">
            <w:pPr>
              <w:jc w:val="right"/>
              <w:rPr>
                <w:rFonts w:ascii="Verdana" w:hAnsi="Verdana" w:cs="Arial"/>
                <w:sz w:val="21"/>
                <w:szCs w:val="21"/>
                <w:u w:val="single"/>
              </w:rPr>
            </w:pPr>
            <w:r>
              <w:rPr>
                <w:rFonts w:ascii="Verdana" w:hAnsi="Verdana" w:cs="Arial"/>
                <w:sz w:val="21"/>
                <w:szCs w:val="21"/>
                <w:u w:val="single"/>
              </w:rPr>
              <w:t>11,404</w:t>
            </w:r>
          </w:p>
        </w:tc>
        <w:tc>
          <w:tcPr>
            <w:tcW w:w="1836" w:type="dxa"/>
          </w:tcPr>
          <w:p w14:paraId="64B92776" w14:textId="77777777" w:rsidR="00471369" w:rsidRDefault="00471369">
            <w:pPr>
              <w:jc w:val="right"/>
              <w:rPr>
                <w:rFonts w:ascii="Verdana" w:hAnsi="Verdana" w:cs="Arial"/>
                <w:sz w:val="21"/>
                <w:szCs w:val="21"/>
              </w:rPr>
            </w:pPr>
          </w:p>
          <w:p w14:paraId="2E2BCF35" w14:textId="62847CB5" w:rsidR="00471369" w:rsidRDefault="00577E5D" w:rsidP="00577E5D">
            <w:pPr>
              <w:jc w:val="center"/>
              <w:rPr>
                <w:rFonts w:ascii="Verdana" w:hAnsi="Verdana" w:cs="Arial"/>
                <w:sz w:val="21"/>
                <w:szCs w:val="21"/>
                <w:u w:val="double"/>
              </w:rPr>
            </w:pPr>
            <w:r w:rsidRPr="00577E5D">
              <w:rPr>
                <w:rFonts w:ascii="Verdana" w:hAnsi="Verdana" w:cs="Arial"/>
                <w:sz w:val="21"/>
                <w:szCs w:val="21"/>
              </w:rPr>
              <w:t xml:space="preserve">         </w:t>
            </w:r>
            <w:r>
              <w:rPr>
                <w:rFonts w:ascii="Verdana" w:hAnsi="Verdana" w:cs="Arial"/>
                <w:sz w:val="21"/>
                <w:szCs w:val="21"/>
                <w:u w:val="double"/>
              </w:rPr>
              <w:t xml:space="preserve">   </w:t>
            </w:r>
            <w:r w:rsidR="00BD0A4E">
              <w:rPr>
                <w:rFonts w:ascii="Verdana" w:hAnsi="Verdana" w:cs="Arial"/>
                <w:sz w:val="21"/>
                <w:szCs w:val="21"/>
                <w:u w:val="double"/>
              </w:rPr>
              <w:t>8,801</w:t>
            </w:r>
          </w:p>
        </w:tc>
      </w:tr>
    </w:tbl>
    <w:p w14:paraId="0DCE14DD" w14:textId="77777777" w:rsidR="000555DA" w:rsidRDefault="000555DA" w:rsidP="000555DA">
      <w:pPr>
        <w:tabs>
          <w:tab w:val="center" w:pos="6960"/>
          <w:tab w:val="center" w:pos="8400"/>
        </w:tabs>
        <w:overflowPunct w:val="0"/>
        <w:autoSpaceDE w:val="0"/>
        <w:autoSpaceDN w:val="0"/>
        <w:adjustRightInd w:val="0"/>
        <w:ind w:left="567"/>
        <w:jc w:val="both"/>
        <w:textAlignment w:val="baseline"/>
        <w:rPr>
          <w:rFonts w:ascii="Verdana" w:hAnsi="Verdana" w:cs="Arial"/>
          <w:color w:val="000000"/>
          <w:sz w:val="21"/>
          <w:szCs w:val="21"/>
          <w:lang w:val="es-EC"/>
        </w:rPr>
      </w:pPr>
    </w:p>
    <w:p w14:paraId="3603208D" w14:textId="3F24B027" w:rsidR="00BD0A4E" w:rsidRDefault="00BD0A4E" w:rsidP="00BD0A4E">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77E5D">
        <w:rPr>
          <w:rFonts w:ascii="Verdana" w:hAnsi="Verdana" w:cs="Arial"/>
          <w:b/>
          <w:color w:val="000000"/>
          <w:sz w:val="21"/>
          <w:szCs w:val="21"/>
        </w:rPr>
        <w:t>3</w:t>
      </w:r>
      <w:r>
        <w:rPr>
          <w:rFonts w:ascii="Verdana" w:hAnsi="Verdana" w:cs="Arial"/>
          <w:b/>
          <w:color w:val="000000"/>
          <w:sz w:val="21"/>
          <w:szCs w:val="21"/>
        </w:rPr>
        <w:t xml:space="preserve">. </w:t>
      </w:r>
      <w:r>
        <w:rPr>
          <w:rFonts w:ascii="Verdana" w:hAnsi="Verdana" w:cs="Arial"/>
          <w:b/>
          <w:color w:val="00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4504896F"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Representan obligaciones a largo plazo por 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legal vigente y los saldos al 31 de diciembre del 2021 y 2020 coinciden con los estudios actuariales realizados a tales fechas:</w:t>
      </w:r>
    </w:p>
    <w:p w14:paraId="3BE31D9C" w14:textId="77777777" w:rsidR="00DC3946" w:rsidRDefault="00DC3946" w:rsidP="00BD0A4E">
      <w:pPr>
        <w:tabs>
          <w:tab w:val="num" w:pos="567"/>
        </w:tabs>
        <w:ind w:left="567" w:hanging="567"/>
        <w:jc w:val="both"/>
        <w:rPr>
          <w:rFonts w:ascii="Verdana" w:hAnsi="Verdana" w:cs="Arial"/>
          <w:bCs/>
          <w:color w:val="000000"/>
          <w:sz w:val="21"/>
          <w:szCs w:val="21"/>
        </w:rPr>
      </w:pPr>
    </w:p>
    <w:p w14:paraId="12F3AD09" w14:textId="77777777" w:rsidR="00DC3946" w:rsidRDefault="00DC3946" w:rsidP="007D770B">
      <w:pPr>
        <w:ind w:firstLine="708"/>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DC3946" w14:paraId="62643EF2" w14:textId="77777777" w:rsidTr="00DC3946">
        <w:tc>
          <w:tcPr>
            <w:tcW w:w="4106"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DC3946">
        <w:tc>
          <w:tcPr>
            <w:tcW w:w="4106"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DC3946">
        <w:tc>
          <w:tcPr>
            <w:tcW w:w="4106"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54EC099A" w:rsidR="00DC3946" w:rsidRDefault="00482E24">
            <w:pPr>
              <w:jc w:val="right"/>
              <w:rPr>
                <w:rFonts w:ascii="Verdana" w:hAnsi="Verdana" w:cs="Arial"/>
                <w:sz w:val="21"/>
                <w:szCs w:val="21"/>
              </w:rPr>
            </w:pPr>
            <w:r>
              <w:rPr>
                <w:rFonts w:ascii="Verdana" w:hAnsi="Verdana" w:cs="Arial"/>
                <w:sz w:val="21"/>
                <w:szCs w:val="21"/>
              </w:rPr>
              <w:t>50,252</w:t>
            </w: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DC3946">
        <w:tc>
          <w:tcPr>
            <w:tcW w:w="4106"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2722B002" w:rsidR="00DC3946" w:rsidRDefault="00482E24">
            <w:pPr>
              <w:jc w:val="right"/>
              <w:rPr>
                <w:rFonts w:ascii="Verdana" w:hAnsi="Verdana" w:cs="Arial"/>
                <w:sz w:val="21"/>
                <w:szCs w:val="21"/>
              </w:rPr>
            </w:pPr>
            <w:r>
              <w:rPr>
                <w:rFonts w:ascii="Verdana" w:hAnsi="Verdana" w:cs="Arial"/>
                <w:sz w:val="21"/>
                <w:szCs w:val="21"/>
              </w:rPr>
              <w:t>9,814</w:t>
            </w: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14:paraId="19A1AED3" w14:textId="77777777" w:rsidTr="00DC3946">
        <w:tc>
          <w:tcPr>
            <w:tcW w:w="4106" w:type="dxa"/>
            <w:hideMark/>
          </w:tcPr>
          <w:p w14:paraId="7E0F4B33" w14:textId="77777777" w:rsidR="00DC3946" w:rsidRDefault="00DC3946">
            <w:pPr>
              <w:rPr>
                <w:rFonts w:ascii="Verdana" w:hAnsi="Verdana" w:cs="Arial"/>
                <w:sz w:val="21"/>
                <w:szCs w:val="21"/>
              </w:rPr>
            </w:pPr>
            <w:r>
              <w:rPr>
                <w:rFonts w:ascii="Verdana" w:hAnsi="Verdana" w:cs="Arial"/>
                <w:sz w:val="21"/>
                <w:szCs w:val="21"/>
              </w:rPr>
              <w:t>Otros resultados integrales</w:t>
            </w:r>
          </w:p>
          <w:p w14:paraId="2BC4F125" w14:textId="77777777" w:rsidR="00DC3946" w:rsidRDefault="00DC3946">
            <w:pPr>
              <w:rPr>
                <w:rFonts w:ascii="Verdana" w:hAnsi="Verdana" w:cs="Arial"/>
                <w:sz w:val="21"/>
                <w:szCs w:val="21"/>
              </w:rPr>
            </w:pPr>
            <w:r>
              <w:rPr>
                <w:rFonts w:ascii="Verdana" w:hAnsi="Verdana" w:cs="Arial"/>
                <w:sz w:val="21"/>
                <w:szCs w:val="21"/>
              </w:rPr>
              <w:t>Pagos</w:t>
            </w:r>
          </w:p>
        </w:tc>
        <w:tc>
          <w:tcPr>
            <w:tcW w:w="2552" w:type="dxa"/>
          </w:tcPr>
          <w:p w14:paraId="4B86DFBE" w14:textId="77777777" w:rsidR="00DC3946" w:rsidRDefault="00482E24">
            <w:pPr>
              <w:jc w:val="right"/>
              <w:rPr>
                <w:rFonts w:ascii="Verdana" w:hAnsi="Verdana" w:cs="Arial"/>
                <w:sz w:val="21"/>
                <w:szCs w:val="21"/>
              </w:rPr>
            </w:pPr>
            <w:r>
              <w:rPr>
                <w:rFonts w:ascii="Verdana" w:hAnsi="Verdana" w:cs="Arial"/>
                <w:sz w:val="21"/>
                <w:szCs w:val="21"/>
              </w:rPr>
              <w:t>0</w:t>
            </w:r>
          </w:p>
          <w:p w14:paraId="3D63D79B" w14:textId="7C154FB7" w:rsidR="00482E24" w:rsidRPr="00482E24" w:rsidRDefault="00482E24">
            <w:pPr>
              <w:jc w:val="right"/>
              <w:rPr>
                <w:rFonts w:ascii="Verdana" w:hAnsi="Verdana" w:cs="Arial"/>
                <w:sz w:val="21"/>
                <w:szCs w:val="21"/>
                <w:u w:val="single"/>
              </w:rPr>
            </w:pPr>
            <w:r w:rsidRPr="00482E24">
              <w:rPr>
                <w:rFonts w:ascii="Verdana" w:hAnsi="Verdana" w:cs="Arial"/>
                <w:sz w:val="21"/>
                <w:szCs w:val="21"/>
                <w:u w:val="single"/>
              </w:rPr>
              <w:t>(12,498)</w:t>
            </w:r>
          </w:p>
        </w:tc>
        <w:tc>
          <w:tcPr>
            <w:tcW w:w="1836" w:type="dxa"/>
            <w:hideMark/>
          </w:tcPr>
          <w:p w14:paraId="3A5333DE" w14:textId="77777777" w:rsidR="00DC3946" w:rsidRDefault="004F5E01">
            <w:pPr>
              <w:jc w:val="right"/>
              <w:rPr>
                <w:rFonts w:ascii="Verdana" w:hAnsi="Verdana" w:cs="Arial"/>
                <w:sz w:val="21"/>
                <w:szCs w:val="21"/>
              </w:rPr>
            </w:pPr>
            <w:r>
              <w:rPr>
                <w:rFonts w:ascii="Verdana" w:hAnsi="Verdana" w:cs="Arial"/>
                <w:sz w:val="21"/>
                <w:szCs w:val="21"/>
              </w:rPr>
              <w:t>(4,001</w:t>
            </w:r>
            <w:r w:rsidR="00DC3946">
              <w:rPr>
                <w:rFonts w:ascii="Verdana" w:hAnsi="Verdana" w:cs="Arial"/>
                <w:sz w:val="21"/>
                <w:szCs w:val="21"/>
              </w:rPr>
              <w:t>)</w:t>
            </w:r>
          </w:p>
          <w:p w14:paraId="24F9AE55" w14:textId="77777777" w:rsidR="00DC3946" w:rsidRDefault="004F5E01">
            <w:pPr>
              <w:jc w:val="right"/>
              <w:rPr>
                <w:rFonts w:ascii="Verdana" w:hAnsi="Verdana" w:cs="Arial"/>
                <w:sz w:val="21"/>
                <w:szCs w:val="21"/>
                <w:u w:val="single"/>
              </w:rPr>
            </w:pPr>
            <w:r>
              <w:rPr>
                <w:rFonts w:ascii="Verdana" w:hAnsi="Verdana" w:cs="Arial"/>
                <w:sz w:val="21"/>
                <w:szCs w:val="21"/>
                <w:u w:val="single"/>
              </w:rPr>
              <w:t>(5,684)</w:t>
            </w:r>
          </w:p>
        </w:tc>
      </w:tr>
      <w:tr w:rsidR="00DC3946" w14:paraId="38F43C55" w14:textId="77777777" w:rsidTr="00DC3946">
        <w:tc>
          <w:tcPr>
            <w:tcW w:w="4106" w:type="dxa"/>
          </w:tcPr>
          <w:p w14:paraId="6ABC941D" w14:textId="77777777" w:rsidR="00DC3946" w:rsidRDefault="00DC3946">
            <w:pPr>
              <w:rPr>
                <w:rFonts w:ascii="Verdana" w:hAnsi="Verdana" w:cs="Arial"/>
                <w:sz w:val="21"/>
                <w:szCs w:val="21"/>
              </w:rPr>
            </w:pPr>
          </w:p>
          <w:p w14:paraId="5F8B16F7" w14:textId="77777777" w:rsidR="00DC3946" w:rsidRDefault="00DC3946">
            <w:pPr>
              <w:rPr>
                <w:rFonts w:ascii="Verdana" w:hAnsi="Verdana" w:cs="Arial"/>
                <w:sz w:val="21"/>
                <w:szCs w:val="21"/>
              </w:rPr>
            </w:pPr>
            <w:r>
              <w:rPr>
                <w:rFonts w:ascii="Verdana" w:hAnsi="Verdana" w:cs="Arial"/>
                <w:sz w:val="21"/>
                <w:szCs w:val="21"/>
              </w:rPr>
              <w:t>Saldo Final</w:t>
            </w:r>
          </w:p>
        </w:tc>
        <w:tc>
          <w:tcPr>
            <w:tcW w:w="2552" w:type="dxa"/>
          </w:tcPr>
          <w:p w14:paraId="75FCFA4A" w14:textId="77777777" w:rsidR="00DC3946" w:rsidRPr="00482E24" w:rsidRDefault="00DC3946">
            <w:pPr>
              <w:jc w:val="right"/>
              <w:rPr>
                <w:rFonts w:ascii="Verdana" w:hAnsi="Verdana" w:cs="Arial"/>
                <w:sz w:val="21"/>
                <w:szCs w:val="21"/>
              </w:rPr>
            </w:pPr>
          </w:p>
          <w:p w14:paraId="051ACCB1" w14:textId="7A12A05F" w:rsidR="00DC3946" w:rsidRPr="00482E24" w:rsidRDefault="00482E24" w:rsidP="00482E24">
            <w:pPr>
              <w:jc w:val="center"/>
              <w:rPr>
                <w:rFonts w:ascii="Verdana" w:hAnsi="Verdana" w:cs="Arial"/>
                <w:sz w:val="21"/>
                <w:szCs w:val="21"/>
                <w:u w:val="double"/>
              </w:rPr>
            </w:pPr>
            <w:r w:rsidRPr="00482E24">
              <w:rPr>
                <w:rFonts w:ascii="Verdana" w:hAnsi="Verdana" w:cs="Arial"/>
                <w:sz w:val="21"/>
                <w:szCs w:val="21"/>
              </w:rPr>
              <w:t xml:space="preserve">                  </w:t>
            </w:r>
            <w:r w:rsidRPr="00482E24">
              <w:rPr>
                <w:rFonts w:ascii="Verdana" w:hAnsi="Verdana" w:cs="Arial"/>
                <w:sz w:val="21"/>
                <w:szCs w:val="21"/>
                <w:u w:val="double"/>
              </w:rPr>
              <w:t xml:space="preserve"> </w:t>
            </w:r>
            <w:r>
              <w:rPr>
                <w:rFonts w:ascii="Verdana" w:hAnsi="Verdana" w:cs="Arial"/>
                <w:sz w:val="21"/>
                <w:szCs w:val="21"/>
                <w:u w:val="double"/>
              </w:rPr>
              <w:t xml:space="preserve"> </w:t>
            </w:r>
            <w:r w:rsidRPr="00482E24">
              <w:rPr>
                <w:rFonts w:ascii="Verdana" w:hAnsi="Verdana" w:cs="Arial"/>
                <w:sz w:val="21"/>
                <w:szCs w:val="21"/>
                <w:u w:val="double"/>
              </w:rPr>
              <w:t xml:space="preserve">47,568 </w:t>
            </w:r>
          </w:p>
        </w:tc>
        <w:tc>
          <w:tcPr>
            <w:tcW w:w="1836" w:type="dxa"/>
          </w:tcPr>
          <w:p w14:paraId="702B53AD" w14:textId="3EE6B397" w:rsidR="00DC3946" w:rsidRDefault="00DC3946">
            <w:pPr>
              <w:jc w:val="right"/>
              <w:rPr>
                <w:rFonts w:ascii="Verdana" w:hAnsi="Verdana" w:cs="Arial"/>
                <w:sz w:val="21"/>
                <w:szCs w:val="21"/>
              </w:rPr>
            </w:pPr>
          </w:p>
          <w:p w14:paraId="49360896" w14:textId="568EC9F6" w:rsidR="00DC3946" w:rsidRDefault="00482E24" w:rsidP="00482E24">
            <w:pPr>
              <w:rPr>
                <w:rFonts w:ascii="Verdana" w:hAnsi="Verdana" w:cs="Arial"/>
                <w:sz w:val="21"/>
                <w:szCs w:val="21"/>
                <w:u w:val="double"/>
              </w:rPr>
            </w:pPr>
            <w:r>
              <w:rPr>
                <w:rFonts w:ascii="Verdana" w:hAnsi="Verdana" w:cs="Arial"/>
                <w:sz w:val="21"/>
                <w:szCs w:val="21"/>
              </w:rPr>
              <w:t xml:space="preserve"> </w:t>
            </w:r>
            <w:r w:rsidR="007C0192" w:rsidRPr="007C0192">
              <w:rPr>
                <w:rFonts w:ascii="Verdana" w:hAnsi="Verdana" w:cs="Arial"/>
                <w:sz w:val="21"/>
                <w:szCs w:val="21"/>
              </w:rPr>
              <w:t xml:space="preserve">          </w:t>
            </w:r>
            <w:r w:rsidR="004F5E01">
              <w:rPr>
                <w:rFonts w:ascii="Verdana" w:hAnsi="Verdana" w:cs="Arial"/>
                <w:sz w:val="21"/>
                <w:szCs w:val="21"/>
                <w:u w:val="double"/>
              </w:rPr>
              <w:t>50,252</w:t>
            </w:r>
          </w:p>
        </w:tc>
      </w:tr>
    </w:tbl>
    <w:p w14:paraId="0CBB5A8E" w14:textId="77777777" w:rsidR="004F5E01" w:rsidRDefault="004F5E01" w:rsidP="00DC3946">
      <w:pPr>
        <w:rPr>
          <w:rFonts w:ascii="Verdana" w:hAnsi="Verdana" w:cs="Arial"/>
          <w:sz w:val="18"/>
          <w:szCs w:val="18"/>
        </w:rPr>
      </w:pPr>
    </w:p>
    <w:p w14:paraId="0A8DAC9E" w14:textId="77777777" w:rsidR="004F5E01" w:rsidRDefault="004F5E01" w:rsidP="007C0192">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únicamente son deducibles los pagos efectuados por concepto de desahucio y pensiones jubilares patronales, que no provengan de provisiones efectuadas en ejercicios fiscales anteriores.</w:t>
      </w:r>
    </w:p>
    <w:p w14:paraId="7823D142" w14:textId="77777777" w:rsidR="004F5E01" w:rsidRDefault="004F5E01" w:rsidP="004F5E01">
      <w:pPr>
        <w:tabs>
          <w:tab w:val="center" w:pos="6960"/>
          <w:tab w:val="center" w:pos="8400"/>
        </w:tabs>
        <w:overflowPunct w:val="0"/>
        <w:autoSpaceDE w:val="0"/>
        <w:autoSpaceDN w:val="0"/>
        <w:adjustRightInd w:val="0"/>
        <w:ind w:left="567"/>
        <w:jc w:val="both"/>
        <w:textAlignment w:val="baseline"/>
        <w:rPr>
          <w:rFonts w:ascii="Verdana" w:hAnsi="Verdana"/>
          <w:sz w:val="21"/>
          <w:szCs w:val="21"/>
        </w:rPr>
      </w:pPr>
      <w:r>
        <w:rPr>
          <w:rFonts w:ascii="Verdana" w:hAnsi="Verdana"/>
          <w:sz w:val="21"/>
          <w:szCs w:val="21"/>
        </w:rPr>
        <w:t xml:space="preserve"> </w:t>
      </w:r>
    </w:p>
    <w:p w14:paraId="111FC318" w14:textId="3BC0352A" w:rsidR="004F5E01" w:rsidRDefault="004F5E01" w:rsidP="004F5E01">
      <w:pPr>
        <w:tabs>
          <w:tab w:val="num" w:pos="567"/>
        </w:tabs>
        <w:ind w:left="567" w:hanging="567"/>
        <w:jc w:val="both"/>
        <w:rPr>
          <w:rFonts w:ascii="Verdana" w:hAnsi="Verdana" w:cs="Arial"/>
          <w:b/>
          <w:color w:val="000000"/>
          <w:sz w:val="21"/>
          <w:szCs w:val="21"/>
          <w:lang w:val="es-EC"/>
        </w:rPr>
      </w:pPr>
      <w:r>
        <w:rPr>
          <w:rFonts w:ascii="Verdana" w:hAnsi="Verdana" w:cs="Arial"/>
          <w:b/>
          <w:color w:val="000000"/>
          <w:sz w:val="21"/>
          <w:szCs w:val="21"/>
        </w:rPr>
        <w:t>1</w:t>
      </w:r>
      <w:r w:rsidR="004249CE">
        <w:rPr>
          <w:rFonts w:ascii="Verdana" w:hAnsi="Verdana" w:cs="Arial"/>
          <w:b/>
          <w:color w:val="000000"/>
          <w:sz w:val="21"/>
          <w:szCs w:val="21"/>
        </w:rPr>
        <w:t>4</w:t>
      </w:r>
      <w:r>
        <w:rPr>
          <w:rFonts w:ascii="Verdana" w:hAnsi="Verdana" w:cs="Arial"/>
          <w:b/>
          <w:color w:val="000000"/>
          <w:sz w:val="21"/>
          <w:szCs w:val="21"/>
        </w:rPr>
        <w:t xml:space="preserve">. </w:t>
      </w:r>
      <w:r>
        <w:rPr>
          <w:rFonts w:ascii="Verdana" w:hAnsi="Verdana" w:cs="Arial"/>
          <w:b/>
          <w:color w:val="00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1A5DC546" w14:textId="77777777" w:rsidR="004F5E01" w:rsidRDefault="004F5E01" w:rsidP="004F5E01">
      <w:pPr>
        <w:pStyle w:val="BodyText22"/>
        <w:widowControl/>
        <w:numPr>
          <w:ilvl w:val="12"/>
          <w:numId w:val="0"/>
        </w:numPr>
        <w:tabs>
          <w:tab w:val="left" w:pos="708"/>
        </w:tabs>
        <w:ind w:left="567"/>
        <w:rPr>
          <w:rFonts w:ascii="Verdana" w:hAnsi="Verdana" w:cs="Arial"/>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Default="004F5E01" w:rsidP="004F5E0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VENTAS NETAS</w:t>
      </w:r>
    </w:p>
    <w:p w14:paraId="6BF2FB9B" w14:textId="77777777" w:rsidR="004F5E01" w:rsidRDefault="004F5E01" w:rsidP="004F5E01">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F5E01" w14:paraId="164C8A91" w14:textId="77777777" w:rsidTr="004F5E01">
        <w:tc>
          <w:tcPr>
            <w:tcW w:w="4106" w:type="dxa"/>
          </w:tcPr>
          <w:p w14:paraId="3D610D5C" w14:textId="77777777" w:rsidR="004F5E01" w:rsidRDefault="004F5E01">
            <w:pPr>
              <w:rPr>
                <w:rFonts w:ascii="Verdana" w:hAnsi="Verdana" w:cs="Arial"/>
                <w:sz w:val="21"/>
                <w:szCs w:val="21"/>
              </w:rPr>
            </w:pPr>
          </w:p>
        </w:tc>
        <w:tc>
          <w:tcPr>
            <w:tcW w:w="2552"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73FB99EA" w14:textId="77777777" w:rsidR="004F5E01" w:rsidRDefault="004F5E01">
            <w:pPr>
              <w:jc w:val="right"/>
              <w:rPr>
                <w:rFonts w:ascii="Verdana" w:hAnsi="Verdana" w:cs="Arial"/>
                <w:sz w:val="21"/>
                <w:szCs w:val="21"/>
                <w:u w:val="single"/>
              </w:rPr>
            </w:pPr>
            <w:r>
              <w:rPr>
                <w:rFonts w:ascii="Verdana" w:hAnsi="Verdana" w:cs="Arial"/>
                <w:sz w:val="21"/>
                <w:szCs w:val="21"/>
                <w:u w:val="single"/>
              </w:rPr>
              <w:t>2020</w:t>
            </w:r>
          </w:p>
        </w:tc>
      </w:tr>
      <w:tr w:rsidR="004F5E01" w14:paraId="1649EC08" w14:textId="77777777" w:rsidTr="004F5E01">
        <w:tc>
          <w:tcPr>
            <w:tcW w:w="4106" w:type="dxa"/>
          </w:tcPr>
          <w:p w14:paraId="116C872A" w14:textId="77777777" w:rsidR="004F5E01" w:rsidRDefault="004F5E01">
            <w:pPr>
              <w:rPr>
                <w:rFonts w:ascii="Verdana" w:hAnsi="Verdana" w:cs="Arial"/>
                <w:sz w:val="21"/>
                <w:szCs w:val="21"/>
              </w:rPr>
            </w:pPr>
          </w:p>
        </w:tc>
        <w:tc>
          <w:tcPr>
            <w:tcW w:w="2552" w:type="dxa"/>
          </w:tcPr>
          <w:p w14:paraId="0B8A095D" w14:textId="77777777" w:rsidR="004F5E01" w:rsidRDefault="004F5E01">
            <w:pPr>
              <w:jc w:val="right"/>
              <w:rPr>
                <w:rFonts w:ascii="Verdana" w:hAnsi="Verdana" w:cs="Arial"/>
                <w:sz w:val="21"/>
                <w:szCs w:val="21"/>
              </w:rPr>
            </w:pPr>
          </w:p>
        </w:tc>
        <w:tc>
          <w:tcPr>
            <w:tcW w:w="1836" w:type="dxa"/>
          </w:tcPr>
          <w:p w14:paraId="4995E39D" w14:textId="77777777" w:rsidR="004F5E01" w:rsidRDefault="004F5E01">
            <w:pPr>
              <w:jc w:val="right"/>
              <w:rPr>
                <w:rFonts w:ascii="Verdana" w:hAnsi="Verdana" w:cs="Arial"/>
                <w:sz w:val="21"/>
                <w:szCs w:val="21"/>
              </w:rPr>
            </w:pPr>
          </w:p>
        </w:tc>
      </w:tr>
      <w:tr w:rsidR="004F5E01" w14:paraId="6B7AFAD5" w14:textId="77777777" w:rsidTr="004F5E01">
        <w:tc>
          <w:tcPr>
            <w:tcW w:w="4106"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552" w:type="dxa"/>
          </w:tcPr>
          <w:p w14:paraId="2A4CB057" w14:textId="1FC8DA35" w:rsidR="004F5E01" w:rsidRDefault="001A0767">
            <w:pPr>
              <w:jc w:val="right"/>
              <w:rPr>
                <w:rFonts w:ascii="Verdana" w:hAnsi="Verdana" w:cs="Arial"/>
                <w:sz w:val="21"/>
                <w:szCs w:val="21"/>
              </w:rPr>
            </w:pPr>
            <w:r>
              <w:rPr>
                <w:rFonts w:ascii="Verdana" w:hAnsi="Verdana" w:cs="Arial"/>
                <w:sz w:val="21"/>
                <w:szCs w:val="21"/>
              </w:rPr>
              <w:t>249,298</w:t>
            </w:r>
          </w:p>
        </w:tc>
        <w:tc>
          <w:tcPr>
            <w:tcW w:w="1836"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14:paraId="756469CE" w14:textId="77777777" w:rsidTr="004F5E01">
        <w:tc>
          <w:tcPr>
            <w:tcW w:w="4106" w:type="dxa"/>
            <w:hideMark/>
          </w:tcPr>
          <w:p w14:paraId="67F59D36" w14:textId="77777777" w:rsidR="004F5E01" w:rsidRDefault="004F5E01">
            <w:pPr>
              <w:rPr>
                <w:rFonts w:ascii="Verdana" w:hAnsi="Verdana" w:cs="Arial"/>
                <w:sz w:val="21"/>
                <w:szCs w:val="21"/>
              </w:rPr>
            </w:pPr>
            <w:r>
              <w:rPr>
                <w:rFonts w:ascii="Verdana" w:hAnsi="Verdana" w:cs="Arial"/>
                <w:sz w:val="21"/>
                <w:szCs w:val="21"/>
              </w:rPr>
              <w:t>Comisiones ganadas</w:t>
            </w:r>
          </w:p>
        </w:tc>
        <w:tc>
          <w:tcPr>
            <w:tcW w:w="2552" w:type="dxa"/>
          </w:tcPr>
          <w:p w14:paraId="549D06BE" w14:textId="6E1E27F8" w:rsidR="004F5E01" w:rsidRPr="001A0767" w:rsidRDefault="001A0767" w:rsidP="001A0767">
            <w:pPr>
              <w:jc w:val="center"/>
              <w:rPr>
                <w:rFonts w:ascii="Verdana" w:hAnsi="Verdana" w:cs="Arial"/>
                <w:sz w:val="21"/>
                <w:szCs w:val="21"/>
                <w:u w:val="single"/>
              </w:rPr>
            </w:pPr>
            <w:r>
              <w:rPr>
                <w:rFonts w:ascii="Verdana" w:hAnsi="Verdana" w:cs="Arial"/>
                <w:sz w:val="21"/>
                <w:szCs w:val="21"/>
              </w:rPr>
              <w:t xml:space="preserve">                   </w:t>
            </w:r>
            <w:r w:rsidRPr="001A0767">
              <w:rPr>
                <w:rFonts w:ascii="Verdana" w:hAnsi="Verdana" w:cs="Arial"/>
                <w:sz w:val="21"/>
                <w:szCs w:val="21"/>
                <w:u w:val="single"/>
              </w:rPr>
              <w:t xml:space="preserve">  20,715</w:t>
            </w:r>
          </w:p>
        </w:tc>
        <w:tc>
          <w:tcPr>
            <w:tcW w:w="1836" w:type="dxa"/>
            <w:hideMark/>
          </w:tcPr>
          <w:p w14:paraId="271896F8" w14:textId="44489FBF" w:rsidR="004F5E01" w:rsidRPr="004249CE" w:rsidRDefault="004249CE" w:rsidP="004249CE">
            <w:pPr>
              <w:jc w:val="center"/>
              <w:rPr>
                <w:rFonts w:ascii="Verdana" w:hAnsi="Verdana" w:cs="Arial"/>
                <w:sz w:val="21"/>
                <w:szCs w:val="21"/>
                <w:u w:val="single"/>
              </w:rPr>
            </w:pPr>
            <w:r>
              <w:rPr>
                <w:rFonts w:ascii="Verdana" w:hAnsi="Verdana" w:cs="Arial"/>
                <w:sz w:val="21"/>
                <w:szCs w:val="21"/>
              </w:rPr>
              <w:t xml:space="preserve">       </w:t>
            </w:r>
            <w:r w:rsidRPr="004249CE">
              <w:rPr>
                <w:rFonts w:ascii="Verdana" w:hAnsi="Verdana" w:cs="Arial"/>
                <w:sz w:val="21"/>
                <w:szCs w:val="21"/>
                <w:u w:val="single"/>
              </w:rPr>
              <w:t xml:space="preserve">   </w:t>
            </w:r>
            <w:r w:rsidR="004F5E01" w:rsidRPr="004249CE">
              <w:rPr>
                <w:rFonts w:ascii="Verdana" w:hAnsi="Verdana" w:cs="Arial"/>
                <w:sz w:val="21"/>
                <w:szCs w:val="21"/>
                <w:u w:val="single"/>
              </w:rPr>
              <w:t>113,619</w:t>
            </w:r>
          </w:p>
        </w:tc>
      </w:tr>
      <w:tr w:rsidR="004F5E01" w14:paraId="6E9D4023" w14:textId="77777777" w:rsidTr="004F5E01">
        <w:tc>
          <w:tcPr>
            <w:tcW w:w="4106" w:type="dxa"/>
          </w:tcPr>
          <w:p w14:paraId="49A59B64" w14:textId="77777777" w:rsidR="004F5E01" w:rsidRDefault="004F5E01">
            <w:pPr>
              <w:rPr>
                <w:rFonts w:ascii="Verdana" w:hAnsi="Verdana" w:cs="Arial"/>
                <w:sz w:val="21"/>
                <w:szCs w:val="21"/>
              </w:rPr>
            </w:pPr>
          </w:p>
          <w:p w14:paraId="714736D9" w14:textId="77777777" w:rsidR="004F5E01" w:rsidRDefault="004F5E01">
            <w:pPr>
              <w:rPr>
                <w:rFonts w:ascii="Verdana" w:hAnsi="Verdana" w:cs="Arial"/>
                <w:sz w:val="21"/>
                <w:szCs w:val="21"/>
              </w:rPr>
            </w:pPr>
            <w:r>
              <w:rPr>
                <w:rFonts w:ascii="Verdana" w:hAnsi="Verdana" w:cs="Arial"/>
                <w:sz w:val="21"/>
                <w:szCs w:val="21"/>
              </w:rPr>
              <w:t>Total</w:t>
            </w:r>
          </w:p>
        </w:tc>
        <w:tc>
          <w:tcPr>
            <w:tcW w:w="2552" w:type="dxa"/>
          </w:tcPr>
          <w:p w14:paraId="541015C5" w14:textId="77777777" w:rsidR="004F5E01" w:rsidRDefault="004F5E01">
            <w:pPr>
              <w:jc w:val="right"/>
              <w:rPr>
                <w:rFonts w:ascii="Verdana" w:hAnsi="Verdana" w:cs="Arial"/>
                <w:sz w:val="21"/>
                <w:szCs w:val="21"/>
              </w:rPr>
            </w:pPr>
          </w:p>
          <w:p w14:paraId="082018FC" w14:textId="222BD80C" w:rsidR="004F5E01" w:rsidRPr="001A0767" w:rsidRDefault="001A0767">
            <w:pPr>
              <w:jc w:val="right"/>
              <w:rPr>
                <w:rFonts w:ascii="Verdana" w:hAnsi="Verdana" w:cs="Arial"/>
                <w:sz w:val="21"/>
                <w:szCs w:val="21"/>
                <w:u w:val="double"/>
              </w:rPr>
            </w:pPr>
            <w:r w:rsidRPr="001A0767">
              <w:rPr>
                <w:rFonts w:ascii="Verdana" w:hAnsi="Verdana" w:cs="Arial"/>
                <w:sz w:val="21"/>
                <w:szCs w:val="21"/>
                <w:u w:val="double"/>
              </w:rPr>
              <w:t>270,013</w:t>
            </w:r>
          </w:p>
        </w:tc>
        <w:tc>
          <w:tcPr>
            <w:tcW w:w="1836" w:type="dxa"/>
          </w:tcPr>
          <w:p w14:paraId="526B3D09" w14:textId="77777777" w:rsidR="004F5E01" w:rsidRDefault="004F5E01">
            <w:pPr>
              <w:jc w:val="right"/>
              <w:rPr>
                <w:rFonts w:ascii="Verdana" w:hAnsi="Verdana" w:cs="Arial"/>
                <w:sz w:val="21"/>
                <w:szCs w:val="21"/>
              </w:rPr>
            </w:pPr>
          </w:p>
          <w:p w14:paraId="771152AA" w14:textId="77777777" w:rsidR="004F5E01" w:rsidRDefault="004F5E01">
            <w:pPr>
              <w:jc w:val="right"/>
              <w:rPr>
                <w:rFonts w:ascii="Verdana" w:hAnsi="Verdana" w:cs="Arial"/>
                <w:sz w:val="21"/>
                <w:szCs w:val="21"/>
                <w:u w:val="double"/>
              </w:rPr>
            </w:pPr>
            <w:r>
              <w:rPr>
                <w:rFonts w:ascii="Verdana" w:hAnsi="Verdana" w:cs="Arial"/>
                <w:sz w:val="21"/>
                <w:szCs w:val="21"/>
                <w:u w:val="double"/>
              </w:rPr>
              <w:t>1,252,249</w:t>
            </w:r>
          </w:p>
        </w:tc>
      </w:tr>
    </w:tbl>
    <w:p w14:paraId="21B26CA3" w14:textId="5D4C8D1D" w:rsidR="00B55214" w:rsidRDefault="00B55214" w:rsidP="004F5E01">
      <w:pPr>
        <w:rPr>
          <w:rFonts w:ascii="Verdana" w:hAnsi="Verdana" w:cs="Arial"/>
          <w:sz w:val="18"/>
          <w:szCs w:val="18"/>
        </w:rPr>
      </w:pPr>
    </w:p>
    <w:p w14:paraId="5CCE7171" w14:textId="77777777" w:rsidR="00482E24" w:rsidRDefault="00482E24" w:rsidP="004F5E01">
      <w:pPr>
        <w:rPr>
          <w:rFonts w:ascii="Verdana" w:hAnsi="Verdana" w:cs="Arial"/>
          <w:sz w:val="18"/>
          <w:szCs w:val="18"/>
        </w:rPr>
      </w:pPr>
    </w:p>
    <w:p w14:paraId="54FE6EAC" w14:textId="77777777" w:rsidR="00B55214" w:rsidRDefault="00B55214" w:rsidP="00B55214">
      <w:pPr>
        <w:rPr>
          <w:rFonts w:ascii="Verdana" w:hAnsi="Verdana" w:cs="Arial"/>
          <w:sz w:val="18"/>
          <w:szCs w:val="18"/>
        </w:rPr>
      </w:pPr>
      <w:r>
        <w:rPr>
          <w:rFonts w:ascii="Verdana" w:hAnsi="Verdana" w:cs="Arial"/>
          <w:b/>
          <w:color w:val="000000"/>
          <w:sz w:val="21"/>
          <w:szCs w:val="21"/>
        </w:rPr>
        <w:t xml:space="preserve">17. </w:t>
      </w:r>
      <w:r>
        <w:rPr>
          <w:rFonts w:ascii="Verdana" w:hAnsi="Verdana" w:cs="Arial"/>
          <w:b/>
          <w:color w:val="000000"/>
          <w:sz w:val="21"/>
          <w:szCs w:val="21"/>
        </w:rPr>
        <w:tab/>
        <w:t>COSTO DE VENTAS</w:t>
      </w:r>
    </w:p>
    <w:p w14:paraId="00FD83BA" w14:textId="77777777" w:rsidR="00B55214" w:rsidRDefault="00B55214" w:rsidP="00B55214">
      <w:pPr>
        <w:rPr>
          <w:rFonts w:ascii="Verdana" w:hAnsi="Verdana" w:cs="Arial"/>
          <w:sz w:val="18"/>
          <w:szCs w:val="18"/>
        </w:rPr>
      </w:pPr>
    </w:p>
    <w:tbl>
      <w:tblPr>
        <w:tblStyle w:val="Tablaconcuadrcula"/>
        <w:tblW w:w="8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2669"/>
        <w:gridCol w:w="1920"/>
      </w:tblGrid>
      <w:tr w:rsidR="00B55214" w14:paraId="6353C09E" w14:textId="77777777" w:rsidTr="004249CE">
        <w:trPr>
          <w:trHeight w:val="259"/>
        </w:trPr>
        <w:tc>
          <w:tcPr>
            <w:tcW w:w="4294" w:type="dxa"/>
          </w:tcPr>
          <w:p w14:paraId="18B31AC3" w14:textId="77777777" w:rsidR="00B55214" w:rsidRDefault="00B55214">
            <w:pPr>
              <w:rPr>
                <w:rFonts w:ascii="Verdana" w:hAnsi="Verdana" w:cs="Arial"/>
                <w:sz w:val="21"/>
                <w:szCs w:val="21"/>
              </w:rPr>
            </w:pPr>
          </w:p>
        </w:tc>
        <w:tc>
          <w:tcPr>
            <w:tcW w:w="2669"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20" w:type="dxa"/>
            <w:hideMark/>
          </w:tcPr>
          <w:p w14:paraId="3B63161A" w14:textId="77777777" w:rsidR="00B55214" w:rsidRDefault="00B55214">
            <w:pPr>
              <w:jc w:val="right"/>
              <w:rPr>
                <w:rFonts w:ascii="Verdana" w:hAnsi="Verdana" w:cs="Arial"/>
                <w:sz w:val="21"/>
                <w:szCs w:val="21"/>
                <w:u w:val="single"/>
              </w:rPr>
            </w:pPr>
            <w:r>
              <w:rPr>
                <w:rFonts w:ascii="Verdana" w:hAnsi="Verdana" w:cs="Arial"/>
                <w:sz w:val="21"/>
                <w:szCs w:val="21"/>
                <w:u w:val="single"/>
              </w:rPr>
              <w:t>2020</w:t>
            </w:r>
          </w:p>
        </w:tc>
      </w:tr>
      <w:tr w:rsidR="00B55214" w14:paraId="73C97E43" w14:textId="77777777" w:rsidTr="004249CE">
        <w:trPr>
          <w:trHeight w:val="259"/>
        </w:trPr>
        <w:tc>
          <w:tcPr>
            <w:tcW w:w="4294" w:type="dxa"/>
          </w:tcPr>
          <w:p w14:paraId="1F115567" w14:textId="77777777" w:rsidR="00B55214" w:rsidRDefault="00B55214">
            <w:pPr>
              <w:rPr>
                <w:rFonts w:ascii="Verdana" w:hAnsi="Verdana" w:cs="Arial"/>
                <w:sz w:val="21"/>
                <w:szCs w:val="21"/>
              </w:rPr>
            </w:pPr>
          </w:p>
        </w:tc>
        <w:tc>
          <w:tcPr>
            <w:tcW w:w="2669" w:type="dxa"/>
          </w:tcPr>
          <w:p w14:paraId="77060863" w14:textId="77777777" w:rsidR="00B55214" w:rsidRDefault="00B55214">
            <w:pPr>
              <w:jc w:val="right"/>
              <w:rPr>
                <w:rFonts w:ascii="Verdana" w:hAnsi="Verdana" w:cs="Arial"/>
                <w:sz w:val="21"/>
                <w:szCs w:val="21"/>
              </w:rPr>
            </w:pPr>
          </w:p>
        </w:tc>
        <w:tc>
          <w:tcPr>
            <w:tcW w:w="1920" w:type="dxa"/>
          </w:tcPr>
          <w:p w14:paraId="3D7CB21B" w14:textId="77777777" w:rsidR="00B55214" w:rsidRDefault="00B55214">
            <w:pPr>
              <w:jc w:val="right"/>
              <w:rPr>
                <w:rFonts w:ascii="Verdana" w:hAnsi="Verdana" w:cs="Arial"/>
                <w:sz w:val="21"/>
                <w:szCs w:val="21"/>
              </w:rPr>
            </w:pPr>
          </w:p>
        </w:tc>
      </w:tr>
      <w:tr w:rsidR="00B55214" w14:paraId="73380565" w14:textId="77777777" w:rsidTr="004249CE">
        <w:trPr>
          <w:trHeight w:val="259"/>
        </w:trPr>
        <w:tc>
          <w:tcPr>
            <w:tcW w:w="4294" w:type="dxa"/>
            <w:hideMark/>
          </w:tcPr>
          <w:p w14:paraId="13FDC2FC" w14:textId="77777777" w:rsidR="00B55214" w:rsidRDefault="00B55214">
            <w:pPr>
              <w:rPr>
                <w:rFonts w:ascii="Verdana" w:hAnsi="Verdana" w:cs="Arial"/>
                <w:sz w:val="21"/>
                <w:szCs w:val="21"/>
              </w:rPr>
            </w:pPr>
            <w:r>
              <w:rPr>
                <w:rFonts w:ascii="Verdana" w:hAnsi="Verdana" w:cs="Arial"/>
                <w:sz w:val="21"/>
                <w:szCs w:val="21"/>
              </w:rPr>
              <w:t>Servicios de iluminación y stands</w:t>
            </w:r>
          </w:p>
        </w:tc>
        <w:tc>
          <w:tcPr>
            <w:tcW w:w="2669" w:type="dxa"/>
          </w:tcPr>
          <w:p w14:paraId="092DEDBB" w14:textId="77777777" w:rsidR="00B55214" w:rsidRDefault="00B55214">
            <w:pPr>
              <w:jc w:val="right"/>
              <w:rPr>
                <w:rFonts w:ascii="Verdana" w:hAnsi="Verdana" w:cs="Arial"/>
                <w:sz w:val="21"/>
                <w:szCs w:val="21"/>
              </w:rPr>
            </w:pPr>
          </w:p>
        </w:tc>
        <w:tc>
          <w:tcPr>
            <w:tcW w:w="1920" w:type="dxa"/>
            <w:hideMark/>
          </w:tcPr>
          <w:p w14:paraId="4205CA8B" w14:textId="77777777" w:rsidR="00B55214" w:rsidRDefault="002C1A3F">
            <w:pPr>
              <w:jc w:val="right"/>
              <w:rPr>
                <w:rFonts w:ascii="Verdana" w:hAnsi="Verdana" w:cs="Arial"/>
                <w:sz w:val="21"/>
                <w:szCs w:val="21"/>
              </w:rPr>
            </w:pPr>
            <w:r>
              <w:rPr>
                <w:rFonts w:ascii="Verdana" w:hAnsi="Verdana" w:cs="Arial"/>
                <w:sz w:val="21"/>
                <w:szCs w:val="21"/>
              </w:rPr>
              <w:t>401,659</w:t>
            </w:r>
          </w:p>
        </w:tc>
      </w:tr>
      <w:tr w:rsidR="00B55214" w14:paraId="3DB16B09" w14:textId="77777777" w:rsidTr="004249CE">
        <w:trPr>
          <w:trHeight w:val="259"/>
        </w:trPr>
        <w:tc>
          <w:tcPr>
            <w:tcW w:w="4294" w:type="dxa"/>
            <w:hideMark/>
          </w:tcPr>
          <w:p w14:paraId="4733D7CC" w14:textId="77777777" w:rsidR="00B55214" w:rsidRDefault="00B55214">
            <w:pPr>
              <w:rPr>
                <w:rFonts w:ascii="Verdana" w:hAnsi="Verdana" w:cs="Arial"/>
                <w:sz w:val="21"/>
                <w:szCs w:val="21"/>
              </w:rPr>
            </w:pPr>
            <w:r>
              <w:rPr>
                <w:rFonts w:ascii="Verdana" w:hAnsi="Verdana" w:cs="Arial"/>
                <w:sz w:val="21"/>
                <w:szCs w:val="21"/>
              </w:rPr>
              <w:t>Materiales de producción</w:t>
            </w:r>
          </w:p>
        </w:tc>
        <w:tc>
          <w:tcPr>
            <w:tcW w:w="2669" w:type="dxa"/>
          </w:tcPr>
          <w:p w14:paraId="2AEA7A5D" w14:textId="77777777" w:rsidR="00B55214" w:rsidRDefault="00B55214">
            <w:pPr>
              <w:jc w:val="right"/>
              <w:rPr>
                <w:rFonts w:ascii="Verdana" w:hAnsi="Verdana" w:cs="Arial"/>
                <w:sz w:val="21"/>
                <w:szCs w:val="21"/>
              </w:rPr>
            </w:pPr>
          </w:p>
        </w:tc>
        <w:tc>
          <w:tcPr>
            <w:tcW w:w="1920" w:type="dxa"/>
            <w:hideMark/>
          </w:tcPr>
          <w:p w14:paraId="0064FFAE" w14:textId="77777777" w:rsidR="00B55214" w:rsidRDefault="002C1A3F">
            <w:pPr>
              <w:jc w:val="right"/>
              <w:rPr>
                <w:rFonts w:ascii="Verdana" w:hAnsi="Verdana" w:cs="Arial"/>
                <w:sz w:val="21"/>
                <w:szCs w:val="21"/>
              </w:rPr>
            </w:pPr>
            <w:r>
              <w:rPr>
                <w:rFonts w:ascii="Verdana" w:hAnsi="Verdana" w:cs="Arial"/>
                <w:sz w:val="21"/>
                <w:szCs w:val="21"/>
              </w:rPr>
              <w:t>151,941</w:t>
            </w:r>
          </w:p>
        </w:tc>
      </w:tr>
      <w:tr w:rsidR="00240F37" w14:paraId="53548FF8" w14:textId="77777777" w:rsidTr="004249CE">
        <w:trPr>
          <w:trHeight w:val="259"/>
        </w:trPr>
        <w:tc>
          <w:tcPr>
            <w:tcW w:w="4294" w:type="dxa"/>
          </w:tcPr>
          <w:p w14:paraId="67F03D86" w14:textId="0D7C8D4C" w:rsidR="00240F37" w:rsidRDefault="00BB7C83">
            <w:pPr>
              <w:rPr>
                <w:rFonts w:ascii="Verdana" w:hAnsi="Verdana" w:cs="Arial"/>
                <w:sz w:val="21"/>
                <w:szCs w:val="21"/>
              </w:rPr>
            </w:pPr>
            <w:r>
              <w:rPr>
                <w:rFonts w:ascii="Verdana" w:hAnsi="Verdana" w:cs="Arial"/>
                <w:sz w:val="21"/>
                <w:szCs w:val="21"/>
              </w:rPr>
              <w:t>Sueldos y beneficios de trabajadores</w:t>
            </w:r>
          </w:p>
        </w:tc>
        <w:tc>
          <w:tcPr>
            <w:tcW w:w="2669" w:type="dxa"/>
          </w:tcPr>
          <w:p w14:paraId="067533D8" w14:textId="77777777" w:rsidR="00240F37" w:rsidRDefault="00240F37">
            <w:pPr>
              <w:jc w:val="right"/>
              <w:rPr>
                <w:rFonts w:ascii="Verdana" w:hAnsi="Verdana" w:cs="Arial"/>
                <w:sz w:val="21"/>
                <w:szCs w:val="21"/>
              </w:rPr>
            </w:pPr>
          </w:p>
        </w:tc>
        <w:tc>
          <w:tcPr>
            <w:tcW w:w="1920" w:type="dxa"/>
          </w:tcPr>
          <w:p w14:paraId="5952AA1A" w14:textId="130D2ECF" w:rsidR="00240F37" w:rsidRDefault="00231BB8">
            <w:pPr>
              <w:jc w:val="right"/>
              <w:rPr>
                <w:rFonts w:ascii="Verdana" w:hAnsi="Verdana" w:cs="Arial"/>
                <w:sz w:val="21"/>
                <w:szCs w:val="21"/>
              </w:rPr>
            </w:pPr>
            <w:r>
              <w:rPr>
                <w:rFonts w:ascii="Verdana" w:hAnsi="Verdana" w:cs="Arial"/>
                <w:sz w:val="21"/>
                <w:szCs w:val="21"/>
              </w:rPr>
              <w:t>133,967</w:t>
            </w:r>
          </w:p>
        </w:tc>
      </w:tr>
      <w:tr w:rsidR="00BB7C83" w14:paraId="02F72791" w14:textId="77777777" w:rsidTr="004249CE">
        <w:trPr>
          <w:trHeight w:val="259"/>
        </w:trPr>
        <w:tc>
          <w:tcPr>
            <w:tcW w:w="4294"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9" w:type="dxa"/>
          </w:tcPr>
          <w:p w14:paraId="7F8F374D" w14:textId="77777777" w:rsidR="00BB7C83" w:rsidRDefault="00BB7C83">
            <w:pPr>
              <w:jc w:val="right"/>
              <w:rPr>
                <w:rFonts w:ascii="Verdana" w:hAnsi="Verdana" w:cs="Arial"/>
                <w:sz w:val="21"/>
                <w:szCs w:val="21"/>
              </w:rPr>
            </w:pPr>
          </w:p>
        </w:tc>
        <w:tc>
          <w:tcPr>
            <w:tcW w:w="1920"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4249CE">
        <w:trPr>
          <w:trHeight w:val="259"/>
        </w:trPr>
        <w:tc>
          <w:tcPr>
            <w:tcW w:w="4294"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9" w:type="dxa"/>
          </w:tcPr>
          <w:p w14:paraId="1823B223" w14:textId="77777777" w:rsidR="00BB7C83" w:rsidRDefault="00BB7C83">
            <w:pPr>
              <w:jc w:val="right"/>
              <w:rPr>
                <w:rFonts w:ascii="Verdana" w:hAnsi="Verdana" w:cs="Arial"/>
                <w:sz w:val="21"/>
                <w:szCs w:val="21"/>
              </w:rPr>
            </w:pPr>
          </w:p>
        </w:tc>
        <w:tc>
          <w:tcPr>
            <w:tcW w:w="1920"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BB7C83" w14:paraId="0A99C8B2" w14:textId="77777777" w:rsidTr="004249CE">
        <w:trPr>
          <w:trHeight w:val="259"/>
        </w:trPr>
        <w:tc>
          <w:tcPr>
            <w:tcW w:w="4294" w:type="dxa"/>
          </w:tcPr>
          <w:p w14:paraId="6FE9F8CE" w14:textId="601EA634" w:rsidR="00BB7C83" w:rsidRDefault="00BB7C83">
            <w:pPr>
              <w:rPr>
                <w:rFonts w:ascii="Verdana" w:hAnsi="Verdana" w:cs="Arial"/>
                <w:sz w:val="21"/>
                <w:szCs w:val="21"/>
              </w:rPr>
            </w:pPr>
            <w:r>
              <w:rPr>
                <w:rFonts w:ascii="Verdana" w:hAnsi="Verdana" w:cs="Arial"/>
                <w:sz w:val="21"/>
                <w:szCs w:val="21"/>
              </w:rPr>
              <w:t>Otros costos de producción y ventas</w:t>
            </w:r>
          </w:p>
        </w:tc>
        <w:tc>
          <w:tcPr>
            <w:tcW w:w="2669" w:type="dxa"/>
          </w:tcPr>
          <w:p w14:paraId="7DFAFBE8" w14:textId="77777777" w:rsidR="00BB7C83" w:rsidRDefault="00BB7C83">
            <w:pPr>
              <w:jc w:val="right"/>
              <w:rPr>
                <w:rFonts w:ascii="Verdana" w:hAnsi="Verdana" w:cs="Arial"/>
                <w:sz w:val="21"/>
                <w:szCs w:val="21"/>
              </w:rPr>
            </w:pPr>
          </w:p>
        </w:tc>
        <w:tc>
          <w:tcPr>
            <w:tcW w:w="1920" w:type="dxa"/>
          </w:tcPr>
          <w:p w14:paraId="209EE3E7" w14:textId="018CA5CC" w:rsidR="00BB7C83" w:rsidRPr="004777FC" w:rsidRDefault="004777FC" w:rsidP="004777FC">
            <w:pPr>
              <w:jc w:val="center"/>
              <w:rPr>
                <w:rFonts w:ascii="Verdana" w:hAnsi="Verdana" w:cs="Arial"/>
                <w:sz w:val="21"/>
                <w:szCs w:val="21"/>
                <w:u w:val="single"/>
              </w:rPr>
            </w:pPr>
            <w:r>
              <w:rPr>
                <w:rFonts w:ascii="Verdana" w:hAnsi="Verdana" w:cs="Arial"/>
                <w:sz w:val="21"/>
                <w:szCs w:val="21"/>
              </w:rPr>
              <w:t xml:space="preserve">        </w:t>
            </w:r>
            <w:r w:rsidRPr="004777FC">
              <w:rPr>
                <w:rFonts w:ascii="Verdana" w:hAnsi="Verdana" w:cs="Arial"/>
                <w:sz w:val="21"/>
                <w:szCs w:val="21"/>
                <w:u w:val="single"/>
              </w:rPr>
              <w:t xml:space="preserve">   </w:t>
            </w:r>
            <w:r w:rsidR="00231BB8" w:rsidRPr="004777FC">
              <w:rPr>
                <w:rFonts w:ascii="Verdana" w:hAnsi="Verdana" w:cs="Arial"/>
                <w:sz w:val="21"/>
                <w:szCs w:val="21"/>
                <w:u w:val="single"/>
              </w:rPr>
              <w:t>181,034</w:t>
            </w:r>
          </w:p>
        </w:tc>
      </w:tr>
      <w:tr w:rsidR="00B55214" w14:paraId="6EA22C6D" w14:textId="77777777" w:rsidTr="004249CE">
        <w:trPr>
          <w:trHeight w:val="518"/>
        </w:trPr>
        <w:tc>
          <w:tcPr>
            <w:tcW w:w="4294" w:type="dxa"/>
          </w:tcPr>
          <w:p w14:paraId="57B2EBFF" w14:textId="77777777" w:rsidR="00B55214" w:rsidRDefault="00B55214">
            <w:pPr>
              <w:rPr>
                <w:rFonts w:ascii="Verdana" w:hAnsi="Verdana" w:cs="Arial"/>
                <w:sz w:val="21"/>
                <w:szCs w:val="21"/>
              </w:rPr>
            </w:pPr>
          </w:p>
          <w:p w14:paraId="061473E6" w14:textId="77777777" w:rsidR="00B55214" w:rsidRDefault="002C1A3F">
            <w:pPr>
              <w:rPr>
                <w:rFonts w:ascii="Verdana" w:hAnsi="Verdana" w:cs="Arial"/>
                <w:sz w:val="21"/>
                <w:szCs w:val="21"/>
              </w:rPr>
            </w:pPr>
            <w:r>
              <w:rPr>
                <w:rFonts w:ascii="Verdana" w:hAnsi="Verdana" w:cs="Arial"/>
                <w:sz w:val="21"/>
                <w:szCs w:val="21"/>
              </w:rPr>
              <w:t>Total</w:t>
            </w:r>
          </w:p>
        </w:tc>
        <w:tc>
          <w:tcPr>
            <w:tcW w:w="2669" w:type="dxa"/>
          </w:tcPr>
          <w:p w14:paraId="59AF055C" w14:textId="77777777" w:rsidR="00B55214" w:rsidRDefault="00B55214">
            <w:pPr>
              <w:jc w:val="right"/>
              <w:rPr>
                <w:rFonts w:ascii="Verdana" w:hAnsi="Verdana" w:cs="Arial"/>
                <w:sz w:val="21"/>
                <w:szCs w:val="21"/>
              </w:rPr>
            </w:pPr>
          </w:p>
          <w:p w14:paraId="2A6D8D37" w14:textId="77777777" w:rsidR="00B55214" w:rsidRDefault="00B55214">
            <w:pPr>
              <w:jc w:val="right"/>
              <w:rPr>
                <w:rFonts w:ascii="Verdana" w:hAnsi="Verdana" w:cs="Arial"/>
                <w:sz w:val="21"/>
                <w:szCs w:val="21"/>
                <w:u w:val="single"/>
              </w:rPr>
            </w:pPr>
          </w:p>
        </w:tc>
        <w:tc>
          <w:tcPr>
            <w:tcW w:w="1920" w:type="dxa"/>
          </w:tcPr>
          <w:p w14:paraId="47CF34F2" w14:textId="77777777" w:rsidR="00B55214" w:rsidRDefault="00B55214">
            <w:pPr>
              <w:jc w:val="right"/>
              <w:rPr>
                <w:rFonts w:ascii="Verdana" w:hAnsi="Verdana" w:cs="Arial"/>
                <w:sz w:val="21"/>
                <w:szCs w:val="21"/>
              </w:rPr>
            </w:pPr>
          </w:p>
          <w:p w14:paraId="732F0A11" w14:textId="77777777" w:rsidR="00B55214" w:rsidRDefault="003B7EC7">
            <w:pPr>
              <w:jc w:val="right"/>
              <w:rPr>
                <w:rFonts w:ascii="Verdana" w:hAnsi="Verdana" w:cs="Arial"/>
                <w:sz w:val="21"/>
                <w:szCs w:val="21"/>
                <w:u w:val="double"/>
              </w:rPr>
            </w:pPr>
            <w:r>
              <w:rPr>
                <w:rFonts w:ascii="Verdana" w:hAnsi="Verdana" w:cs="Arial"/>
                <w:sz w:val="21"/>
                <w:szCs w:val="21"/>
                <w:u w:val="double"/>
              </w:rPr>
              <w:t>1,087,497</w:t>
            </w:r>
          </w:p>
        </w:tc>
      </w:tr>
    </w:tbl>
    <w:p w14:paraId="5E8F5459" w14:textId="76E2E912" w:rsidR="003B7EC7" w:rsidRDefault="003B7EC7" w:rsidP="00B55214">
      <w:pPr>
        <w:rPr>
          <w:rFonts w:ascii="Verdana" w:hAnsi="Verdana" w:cs="Arial"/>
          <w:sz w:val="18"/>
          <w:szCs w:val="18"/>
        </w:rPr>
      </w:pPr>
    </w:p>
    <w:p w14:paraId="7A143C64" w14:textId="755DB50C" w:rsidR="00482E24" w:rsidRDefault="00482E24" w:rsidP="00B55214">
      <w:pPr>
        <w:rPr>
          <w:rFonts w:ascii="Verdana" w:hAnsi="Verdana" w:cs="Arial"/>
          <w:sz w:val="18"/>
          <w:szCs w:val="18"/>
        </w:rPr>
      </w:pPr>
    </w:p>
    <w:p w14:paraId="26F77CC8" w14:textId="7F7ABC06" w:rsidR="00482E24" w:rsidRDefault="00482E24" w:rsidP="00B55214">
      <w:pPr>
        <w:rPr>
          <w:rFonts w:ascii="Verdana" w:hAnsi="Verdana" w:cs="Arial"/>
          <w:sz w:val="18"/>
          <w:szCs w:val="18"/>
        </w:rPr>
      </w:pPr>
    </w:p>
    <w:p w14:paraId="228C3B4D" w14:textId="77777777" w:rsidR="00482E24" w:rsidRDefault="00482E24" w:rsidP="00B55214">
      <w:pPr>
        <w:rPr>
          <w:rFonts w:ascii="Verdana" w:hAnsi="Verdana" w:cs="Arial"/>
          <w:sz w:val="18"/>
          <w:szCs w:val="18"/>
        </w:rPr>
      </w:pPr>
    </w:p>
    <w:p w14:paraId="3BA3B2D3" w14:textId="77777777" w:rsidR="003B7EC7" w:rsidRDefault="003B7EC7" w:rsidP="003B7EC7">
      <w:pPr>
        <w:tabs>
          <w:tab w:val="num" w:pos="567"/>
        </w:tabs>
        <w:ind w:left="567" w:hanging="567"/>
        <w:jc w:val="both"/>
        <w:rPr>
          <w:rFonts w:ascii="Verdana" w:hAnsi="Verdana" w:cs="Arial"/>
          <w:b/>
          <w:color w:val="000000"/>
          <w:sz w:val="21"/>
          <w:szCs w:val="21"/>
        </w:rPr>
      </w:pPr>
      <w:r>
        <w:rPr>
          <w:rFonts w:ascii="Verdana" w:hAnsi="Verdana" w:cs="Arial"/>
          <w:b/>
          <w:sz w:val="21"/>
          <w:szCs w:val="21"/>
        </w:rPr>
        <w:lastRenderedPageBreak/>
        <w:t xml:space="preserve">18. </w:t>
      </w:r>
      <w:r>
        <w:rPr>
          <w:rFonts w:ascii="Verdana" w:hAnsi="Verdana" w:cs="Arial"/>
          <w:b/>
          <w:sz w:val="21"/>
          <w:szCs w:val="21"/>
        </w:rPr>
        <w:tab/>
      </w:r>
      <w:r>
        <w:rPr>
          <w:rFonts w:ascii="Verdana" w:hAnsi="Verdana" w:cs="Arial"/>
          <w:b/>
          <w:color w:val="000000"/>
          <w:sz w:val="21"/>
          <w:szCs w:val="21"/>
        </w:rPr>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7777777" w:rsidR="003B7EC7" w:rsidRDefault="003B7EC7">
            <w:pPr>
              <w:jc w:val="right"/>
              <w:rPr>
                <w:rFonts w:ascii="Verdana" w:hAnsi="Verdana" w:cs="Arial"/>
                <w:sz w:val="21"/>
                <w:szCs w:val="21"/>
              </w:rPr>
            </w:pP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3B7EC7" w14:paraId="3166F6AB" w14:textId="77777777" w:rsidTr="004777FC">
        <w:trPr>
          <w:trHeight w:val="260"/>
        </w:trPr>
        <w:tc>
          <w:tcPr>
            <w:tcW w:w="4898" w:type="dxa"/>
            <w:hideMark/>
          </w:tcPr>
          <w:p w14:paraId="4A3EF2D6" w14:textId="77777777" w:rsidR="003B7EC7" w:rsidRDefault="003B7EC7">
            <w:pPr>
              <w:rPr>
                <w:rFonts w:ascii="Verdana" w:hAnsi="Verdana" w:cs="Arial"/>
                <w:sz w:val="21"/>
                <w:szCs w:val="21"/>
              </w:rPr>
            </w:pPr>
            <w:r>
              <w:rPr>
                <w:rFonts w:ascii="Verdana" w:hAnsi="Verdana" w:cs="Arial"/>
                <w:sz w:val="21"/>
                <w:szCs w:val="21"/>
              </w:rPr>
              <w:t>Arriendos (Nota 21 y 22.2)</w:t>
            </w:r>
          </w:p>
        </w:tc>
        <w:tc>
          <w:tcPr>
            <w:tcW w:w="2124" w:type="dxa"/>
          </w:tcPr>
          <w:p w14:paraId="6BF6CA1D" w14:textId="77777777" w:rsidR="003B7EC7" w:rsidRDefault="003B7EC7">
            <w:pPr>
              <w:jc w:val="right"/>
              <w:rPr>
                <w:rFonts w:ascii="Verdana" w:hAnsi="Verdana" w:cs="Arial"/>
                <w:sz w:val="21"/>
                <w:szCs w:val="21"/>
              </w:rPr>
            </w:pP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7FEF0ABA" w14:textId="77777777" w:rsidTr="004777FC">
        <w:trPr>
          <w:trHeight w:val="260"/>
        </w:trPr>
        <w:tc>
          <w:tcPr>
            <w:tcW w:w="4898" w:type="dxa"/>
          </w:tcPr>
          <w:p w14:paraId="2CAA99B4" w14:textId="0B94EB7A" w:rsidR="004777FC" w:rsidRDefault="004777FC">
            <w:pPr>
              <w:rPr>
                <w:rFonts w:ascii="Verdana" w:hAnsi="Verdana" w:cs="Arial"/>
                <w:sz w:val="21"/>
                <w:szCs w:val="21"/>
              </w:rPr>
            </w:pPr>
            <w:r>
              <w:rPr>
                <w:rFonts w:ascii="Verdana" w:hAnsi="Verdana" w:cs="Arial"/>
                <w:sz w:val="21"/>
                <w:szCs w:val="21"/>
              </w:rPr>
              <w:t>Honorarios por servicios a terceros</w:t>
            </w:r>
          </w:p>
        </w:tc>
        <w:tc>
          <w:tcPr>
            <w:tcW w:w="2124" w:type="dxa"/>
          </w:tcPr>
          <w:p w14:paraId="27D74B16" w14:textId="77777777" w:rsidR="004777FC" w:rsidRDefault="004777FC">
            <w:pPr>
              <w:jc w:val="right"/>
              <w:rPr>
                <w:rFonts w:ascii="Verdana" w:hAnsi="Verdana" w:cs="Arial"/>
                <w:sz w:val="21"/>
                <w:szCs w:val="21"/>
              </w:rPr>
            </w:pPr>
          </w:p>
        </w:tc>
        <w:tc>
          <w:tcPr>
            <w:tcW w:w="1936" w:type="dxa"/>
          </w:tcPr>
          <w:p w14:paraId="0968436B" w14:textId="6F176418" w:rsidR="004777FC" w:rsidRDefault="005F13F0">
            <w:pPr>
              <w:jc w:val="right"/>
              <w:rPr>
                <w:rFonts w:ascii="Verdana" w:hAnsi="Verdana" w:cs="Arial"/>
                <w:sz w:val="21"/>
                <w:szCs w:val="21"/>
              </w:rPr>
            </w:pPr>
            <w:r>
              <w:rPr>
                <w:rFonts w:ascii="Verdana" w:hAnsi="Verdana" w:cs="Arial"/>
                <w:sz w:val="21"/>
                <w:szCs w:val="21"/>
              </w:rPr>
              <w:t>17,644</w:t>
            </w:r>
          </w:p>
        </w:tc>
      </w:tr>
      <w:tr w:rsidR="004777FC" w14:paraId="15DB59D8" w14:textId="77777777" w:rsidTr="004777FC">
        <w:trPr>
          <w:trHeight w:val="260"/>
        </w:trPr>
        <w:tc>
          <w:tcPr>
            <w:tcW w:w="4898" w:type="dxa"/>
          </w:tcPr>
          <w:p w14:paraId="4A856880" w14:textId="7DE0CBCD" w:rsidR="004777FC" w:rsidRDefault="004777FC">
            <w:pPr>
              <w:rPr>
                <w:rFonts w:ascii="Verdana" w:hAnsi="Verdana" w:cs="Arial"/>
                <w:sz w:val="21"/>
                <w:szCs w:val="21"/>
              </w:rPr>
            </w:pPr>
            <w:r>
              <w:rPr>
                <w:rFonts w:ascii="Verdana" w:hAnsi="Verdana" w:cs="Arial"/>
                <w:sz w:val="21"/>
                <w:szCs w:val="21"/>
              </w:rPr>
              <w:t>Depreciación (Nota 10)</w:t>
            </w:r>
          </w:p>
        </w:tc>
        <w:tc>
          <w:tcPr>
            <w:tcW w:w="2124" w:type="dxa"/>
          </w:tcPr>
          <w:p w14:paraId="7B06D4AE" w14:textId="77777777" w:rsidR="004777FC" w:rsidRDefault="004777FC">
            <w:pPr>
              <w:jc w:val="right"/>
              <w:rPr>
                <w:rFonts w:ascii="Verdana" w:hAnsi="Verdana" w:cs="Arial"/>
                <w:sz w:val="21"/>
                <w:szCs w:val="21"/>
              </w:rPr>
            </w:pP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35B4FC15"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77777777" w:rsidR="004777FC" w:rsidRDefault="004777FC">
            <w:pPr>
              <w:jc w:val="right"/>
              <w:rPr>
                <w:rFonts w:ascii="Verdana" w:hAnsi="Verdana" w:cs="Arial"/>
                <w:sz w:val="21"/>
                <w:szCs w:val="21"/>
              </w:rPr>
            </w:pP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77777777" w:rsidR="004777FC" w:rsidRDefault="004777FC">
            <w:pPr>
              <w:jc w:val="right"/>
              <w:rPr>
                <w:rFonts w:ascii="Verdana" w:hAnsi="Verdana" w:cs="Arial"/>
                <w:sz w:val="21"/>
                <w:szCs w:val="21"/>
              </w:rPr>
            </w:pP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14:paraId="7DBF29C4" w14:textId="77777777" w:rsidTr="004777FC">
        <w:trPr>
          <w:trHeight w:val="260"/>
        </w:trPr>
        <w:tc>
          <w:tcPr>
            <w:tcW w:w="4898" w:type="dxa"/>
          </w:tcPr>
          <w:p w14:paraId="5411A9CF" w14:textId="5AF33433" w:rsidR="004777FC" w:rsidRDefault="004777FC">
            <w:pPr>
              <w:rPr>
                <w:rFonts w:ascii="Verdana" w:hAnsi="Verdana" w:cs="Arial"/>
                <w:sz w:val="21"/>
                <w:szCs w:val="21"/>
              </w:rPr>
            </w:pPr>
            <w:r>
              <w:rPr>
                <w:rFonts w:ascii="Verdana" w:hAnsi="Verdana" w:cs="Arial"/>
                <w:sz w:val="21"/>
                <w:szCs w:val="21"/>
              </w:rPr>
              <w:t>Otros gastos de administración y ventas</w:t>
            </w:r>
          </w:p>
        </w:tc>
        <w:tc>
          <w:tcPr>
            <w:tcW w:w="2124" w:type="dxa"/>
          </w:tcPr>
          <w:p w14:paraId="44AC5D5D" w14:textId="77777777" w:rsidR="004777FC" w:rsidRDefault="004777FC">
            <w:pPr>
              <w:jc w:val="right"/>
              <w:rPr>
                <w:rFonts w:ascii="Verdana" w:hAnsi="Verdana" w:cs="Arial"/>
                <w:sz w:val="21"/>
                <w:szCs w:val="21"/>
              </w:rPr>
            </w:pPr>
          </w:p>
        </w:tc>
        <w:tc>
          <w:tcPr>
            <w:tcW w:w="1936" w:type="dxa"/>
          </w:tcPr>
          <w:p w14:paraId="23869998" w14:textId="74A37CE7" w:rsidR="004777FC" w:rsidRPr="005F13F0" w:rsidRDefault="005F13F0" w:rsidP="005F13F0">
            <w:pPr>
              <w:jc w:val="center"/>
              <w:rPr>
                <w:rFonts w:ascii="Verdana" w:hAnsi="Verdana" w:cs="Arial"/>
                <w:sz w:val="21"/>
                <w:szCs w:val="21"/>
                <w:u w:val="single"/>
              </w:rPr>
            </w:pPr>
            <w:r>
              <w:rPr>
                <w:rFonts w:ascii="Verdana" w:hAnsi="Verdana" w:cs="Arial"/>
                <w:sz w:val="21"/>
                <w:szCs w:val="21"/>
              </w:rPr>
              <w:t xml:space="preserve">           </w:t>
            </w:r>
            <w:r w:rsidRPr="005F13F0">
              <w:rPr>
                <w:rFonts w:ascii="Verdana" w:hAnsi="Verdana" w:cs="Arial"/>
                <w:sz w:val="21"/>
                <w:szCs w:val="21"/>
                <w:u w:val="single"/>
              </w:rPr>
              <w:t xml:space="preserve">  16,851</w:t>
            </w:r>
          </w:p>
        </w:tc>
      </w:tr>
      <w:tr w:rsidR="003B7EC7" w14:paraId="360ACD1C" w14:textId="77777777" w:rsidTr="004777FC">
        <w:trPr>
          <w:trHeight w:val="521"/>
        </w:trPr>
        <w:tc>
          <w:tcPr>
            <w:tcW w:w="4898" w:type="dxa"/>
          </w:tcPr>
          <w:p w14:paraId="2C729787" w14:textId="77777777" w:rsidR="003B7EC7" w:rsidRDefault="003B7EC7">
            <w:pPr>
              <w:rPr>
                <w:rFonts w:ascii="Verdana" w:hAnsi="Verdana" w:cs="Arial"/>
                <w:sz w:val="21"/>
                <w:szCs w:val="21"/>
              </w:rPr>
            </w:pPr>
          </w:p>
          <w:p w14:paraId="432BEB3D" w14:textId="77777777" w:rsidR="003B7EC7" w:rsidRDefault="003B7EC7">
            <w:pPr>
              <w:rPr>
                <w:rFonts w:ascii="Verdana" w:hAnsi="Verdana" w:cs="Arial"/>
                <w:sz w:val="21"/>
                <w:szCs w:val="21"/>
              </w:rPr>
            </w:pPr>
            <w:r>
              <w:rPr>
                <w:rFonts w:ascii="Verdana" w:hAnsi="Verdana" w:cs="Arial"/>
                <w:sz w:val="21"/>
                <w:szCs w:val="21"/>
              </w:rPr>
              <w:t>Total</w:t>
            </w:r>
          </w:p>
        </w:tc>
        <w:tc>
          <w:tcPr>
            <w:tcW w:w="2124" w:type="dxa"/>
          </w:tcPr>
          <w:p w14:paraId="06EC4ACC" w14:textId="77777777" w:rsidR="003B7EC7" w:rsidRDefault="003B7EC7">
            <w:pPr>
              <w:jc w:val="right"/>
              <w:rPr>
                <w:rFonts w:ascii="Verdana" w:hAnsi="Verdana" w:cs="Arial"/>
                <w:sz w:val="21"/>
                <w:szCs w:val="21"/>
              </w:rPr>
            </w:pPr>
          </w:p>
          <w:p w14:paraId="31FE1A19" w14:textId="77777777" w:rsidR="003B7EC7" w:rsidRDefault="003B7EC7">
            <w:pPr>
              <w:jc w:val="right"/>
              <w:rPr>
                <w:rFonts w:ascii="Verdana" w:hAnsi="Verdana" w:cs="Arial"/>
                <w:sz w:val="21"/>
                <w:szCs w:val="21"/>
                <w:u w:val="single"/>
              </w:rPr>
            </w:pPr>
          </w:p>
        </w:tc>
        <w:tc>
          <w:tcPr>
            <w:tcW w:w="1936" w:type="dxa"/>
          </w:tcPr>
          <w:p w14:paraId="7C3C0E70" w14:textId="77777777" w:rsidR="003B7EC7" w:rsidRDefault="003B7EC7">
            <w:pPr>
              <w:jc w:val="right"/>
              <w:rPr>
                <w:rFonts w:ascii="Verdana" w:hAnsi="Verdana" w:cs="Arial"/>
                <w:sz w:val="21"/>
                <w:szCs w:val="21"/>
              </w:rPr>
            </w:pPr>
          </w:p>
          <w:p w14:paraId="2702EB54" w14:textId="77777777" w:rsidR="003B7EC7" w:rsidRDefault="00BF100F">
            <w:pPr>
              <w:jc w:val="right"/>
              <w:rPr>
                <w:rFonts w:ascii="Verdana" w:hAnsi="Verdana" w:cs="Arial"/>
                <w:sz w:val="21"/>
                <w:szCs w:val="21"/>
                <w:u w:val="double"/>
              </w:rPr>
            </w:pPr>
            <w:r>
              <w:rPr>
                <w:rFonts w:ascii="Verdana" w:hAnsi="Verdana" w:cs="Arial"/>
                <w:sz w:val="21"/>
                <w:szCs w:val="21"/>
                <w:u w:val="double"/>
              </w:rPr>
              <w:t>175,066</w:t>
            </w:r>
          </w:p>
        </w:tc>
      </w:tr>
    </w:tbl>
    <w:p w14:paraId="576B6B9C" w14:textId="77777777" w:rsidR="003B7EC7" w:rsidRDefault="003B7EC7" w:rsidP="003B7EC7">
      <w:pPr>
        <w:rPr>
          <w:rFonts w:ascii="Verdana" w:hAnsi="Verdana" w:cs="Arial"/>
          <w:sz w:val="18"/>
          <w:szCs w:val="18"/>
        </w:rPr>
      </w:pPr>
    </w:p>
    <w:p w14:paraId="4F0C219A" w14:textId="77777777" w:rsidR="00BF100F" w:rsidRDefault="00BF100F" w:rsidP="00BF100F">
      <w:pPr>
        <w:tabs>
          <w:tab w:val="num" w:pos="567"/>
        </w:tabs>
        <w:jc w:val="both"/>
        <w:rPr>
          <w:rFonts w:ascii="Verdana" w:hAnsi="Verdana" w:cs="Arial"/>
          <w:b/>
          <w:color w:val="000000"/>
          <w:sz w:val="21"/>
          <w:szCs w:val="21"/>
        </w:rPr>
      </w:pPr>
      <w:r>
        <w:rPr>
          <w:rFonts w:ascii="Verdana" w:hAnsi="Verdana" w:cs="Arial"/>
          <w:b/>
          <w:color w:val="000000"/>
          <w:sz w:val="21"/>
          <w:szCs w:val="21"/>
        </w:rPr>
        <w:t xml:space="preserve">19. </w:t>
      </w:r>
      <w:r>
        <w:rPr>
          <w:rFonts w:ascii="Verdana" w:hAnsi="Verdana" w:cs="Arial"/>
          <w:b/>
          <w:color w:val="00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77777777" w:rsidR="00BF100F" w:rsidRDefault="00BF100F" w:rsidP="00BF100F">
      <w:pPr>
        <w:tabs>
          <w:tab w:val="num" w:pos="567"/>
        </w:tabs>
        <w:ind w:left="567" w:hanging="567"/>
        <w:jc w:val="both"/>
        <w:rPr>
          <w:rFonts w:ascii="Verdana" w:hAnsi="Verdana" w:cs="Arial"/>
          <w:b/>
          <w:i/>
          <w:iCs/>
          <w:color w:val="000000"/>
          <w:sz w:val="21"/>
          <w:szCs w:val="21"/>
        </w:rPr>
      </w:pPr>
      <w:bookmarkStart w:id="20" w:name="_Hlk31213165"/>
      <w:r>
        <w:rPr>
          <w:rFonts w:ascii="Verdana" w:hAnsi="Verdana" w:cs="Arial"/>
          <w:b/>
          <w:color w:val="000000"/>
          <w:sz w:val="21"/>
          <w:szCs w:val="21"/>
        </w:rPr>
        <w:t>19.1.</w:t>
      </w:r>
      <w:r>
        <w:rPr>
          <w:rFonts w:ascii="Verdana" w:hAnsi="Verdana" w:cs="Arial"/>
          <w:b/>
          <w:i/>
          <w:iCs/>
          <w:color w:val="000000"/>
          <w:sz w:val="21"/>
          <w:szCs w:val="21"/>
        </w:rPr>
        <w:t xml:space="preserve"> Gasto de Impuesto a la Renta</w:t>
      </w:r>
    </w:p>
    <w:bookmarkEnd w:id="20"/>
    <w:p w14:paraId="6482E90E" w14:textId="77777777" w:rsidR="00BF100F" w:rsidRDefault="00BF100F" w:rsidP="00BF100F">
      <w:pPr>
        <w:tabs>
          <w:tab w:val="num" w:pos="567"/>
        </w:tabs>
        <w:ind w:left="567" w:hanging="567"/>
        <w:jc w:val="both"/>
        <w:rPr>
          <w:rFonts w:ascii="Verdana" w:hAnsi="Verdana" w:cs="Arial"/>
          <w:b/>
          <w:color w:val="000000"/>
          <w:sz w:val="21"/>
          <w:szCs w:val="21"/>
        </w:rPr>
      </w:pPr>
    </w:p>
    <w:p w14:paraId="0D33B381" w14:textId="65103A85" w:rsidR="00BF100F" w:rsidRDefault="00BF100F" w:rsidP="005F13F0">
      <w:pPr>
        <w:tabs>
          <w:tab w:val="num" w:pos="567"/>
        </w:tabs>
        <w:jc w:val="both"/>
        <w:rPr>
          <w:rFonts w:ascii="Verdana" w:hAnsi="Verdana" w:cs="Arial"/>
          <w:bCs/>
          <w:color w:val="000000"/>
          <w:sz w:val="21"/>
          <w:szCs w:val="21"/>
        </w:rPr>
      </w:pPr>
      <w:r>
        <w:rPr>
          <w:rFonts w:ascii="Verdana" w:hAnsi="Verdana" w:cs="Arial"/>
          <w:bCs/>
          <w:color w:val="000000"/>
          <w:sz w:val="21"/>
          <w:szCs w:val="21"/>
        </w:rPr>
        <w:t>A continuación, se presenta un resumen de la conciliación entre la utilidad contable y la utilidad tributable (base imponible), y el cálculo del gasto de impuesto a la renta corriente:</w:t>
      </w:r>
    </w:p>
    <w:p w14:paraId="4A8C06B8" w14:textId="77777777" w:rsidR="00EF2CBA" w:rsidRDefault="00EF2CBA" w:rsidP="00EF2CBA">
      <w:pPr>
        <w:rPr>
          <w:rFonts w:ascii="Verdana" w:hAnsi="Verdana" w:cs="Arial"/>
          <w:sz w:val="18"/>
          <w:szCs w:val="18"/>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77777777" w:rsidR="00EF2CBA" w:rsidRDefault="00EF2CBA">
            <w:pPr>
              <w:jc w:val="right"/>
              <w:rPr>
                <w:rFonts w:ascii="Verdana" w:hAnsi="Verdana" w:cs="Arial"/>
                <w:sz w:val="21"/>
                <w:szCs w:val="21"/>
                <w:u w:val="single"/>
              </w:rPr>
            </w:pPr>
            <w:r>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77777777" w:rsidR="00EF2CBA" w:rsidRDefault="00EF2CBA">
            <w:pPr>
              <w:jc w:val="right"/>
              <w:rPr>
                <w:rFonts w:ascii="Verdana" w:hAnsi="Verdana" w:cs="Arial"/>
                <w:sz w:val="21"/>
                <w:szCs w:val="21"/>
              </w:rPr>
            </w:pP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EF2CBA" w14:paraId="2DA09F3F" w14:textId="77777777" w:rsidTr="001C4074">
        <w:trPr>
          <w:trHeight w:val="542"/>
        </w:trPr>
        <w:tc>
          <w:tcPr>
            <w:tcW w:w="5006" w:type="dxa"/>
            <w:hideMark/>
          </w:tcPr>
          <w:p w14:paraId="03081562" w14:textId="77777777" w:rsidR="00EF2CBA" w:rsidRDefault="00EF2CBA">
            <w:pPr>
              <w:rPr>
                <w:rFonts w:ascii="Verdana" w:hAnsi="Verdana" w:cs="Arial"/>
                <w:sz w:val="21"/>
                <w:szCs w:val="21"/>
              </w:rPr>
            </w:pPr>
            <w:r>
              <w:rPr>
                <w:rFonts w:ascii="Verdana" w:hAnsi="Verdana" w:cs="Arial"/>
                <w:sz w:val="21"/>
                <w:szCs w:val="21"/>
              </w:rPr>
              <w:t>Más: Gastos no deducibles</w:t>
            </w:r>
          </w:p>
          <w:p w14:paraId="682903A0" w14:textId="77777777" w:rsidR="00EF2CBA" w:rsidRDefault="00063A24">
            <w:pPr>
              <w:rPr>
                <w:rFonts w:ascii="Verdana" w:hAnsi="Verdana" w:cs="Arial"/>
                <w:sz w:val="21"/>
                <w:szCs w:val="21"/>
              </w:rPr>
            </w:pPr>
            <w:r>
              <w:rPr>
                <w:rFonts w:ascii="Verdana" w:hAnsi="Verdana" w:cs="Arial"/>
                <w:sz w:val="21"/>
                <w:szCs w:val="21"/>
              </w:rPr>
              <w:t>Base imponible</w:t>
            </w:r>
          </w:p>
        </w:tc>
        <w:tc>
          <w:tcPr>
            <w:tcW w:w="1957" w:type="dxa"/>
          </w:tcPr>
          <w:p w14:paraId="087D05B8" w14:textId="77777777" w:rsidR="00EF2CBA" w:rsidRDefault="00EF2CBA">
            <w:pPr>
              <w:jc w:val="right"/>
              <w:rPr>
                <w:rFonts w:ascii="Verdana" w:hAnsi="Verdana" w:cs="Arial"/>
                <w:sz w:val="21"/>
                <w:szCs w:val="21"/>
              </w:rPr>
            </w:pPr>
          </w:p>
        </w:tc>
        <w:tc>
          <w:tcPr>
            <w:tcW w:w="1919" w:type="dxa"/>
            <w:hideMark/>
          </w:tcPr>
          <w:p w14:paraId="3F51203C" w14:textId="3DAA63AB" w:rsidR="00EF2CBA" w:rsidRPr="00063A24"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sidRPr="00063A24">
              <w:rPr>
                <w:rFonts w:ascii="Verdana" w:hAnsi="Verdana" w:cs="Arial"/>
                <w:sz w:val="21"/>
                <w:szCs w:val="21"/>
                <w:u w:val="single"/>
              </w:rPr>
              <w:t>9,744</w:t>
            </w:r>
          </w:p>
          <w:p w14:paraId="264E8713" w14:textId="38058DED" w:rsidR="00EF2CBA"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Pr>
                <w:rFonts w:ascii="Verdana" w:hAnsi="Verdana" w:cs="Arial"/>
                <w:sz w:val="21"/>
                <w:szCs w:val="21"/>
                <w:u w:val="single"/>
              </w:rPr>
              <w:t>6,079</w:t>
            </w:r>
          </w:p>
        </w:tc>
      </w:tr>
      <w:tr w:rsidR="00EF2CBA" w14:paraId="29C1744A" w14:textId="77777777" w:rsidTr="001C4074">
        <w:trPr>
          <w:trHeight w:val="542"/>
        </w:trPr>
        <w:tc>
          <w:tcPr>
            <w:tcW w:w="5006" w:type="dxa"/>
          </w:tcPr>
          <w:p w14:paraId="060A0856" w14:textId="77777777" w:rsidR="00EF2CBA" w:rsidRDefault="00EF2CBA">
            <w:pPr>
              <w:rPr>
                <w:rFonts w:ascii="Verdana" w:hAnsi="Verdana" w:cs="Arial"/>
                <w:sz w:val="21"/>
                <w:szCs w:val="21"/>
              </w:rPr>
            </w:pPr>
          </w:p>
          <w:p w14:paraId="49EE738E" w14:textId="77777777" w:rsidR="00EF2CBA" w:rsidRDefault="00063A24">
            <w:pPr>
              <w:rPr>
                <w:rFonts w:ascii="Verdana" w:hAnsi="Verdana" w:cs="Arial"/>
                <w:sz w:val="21"/>
                <w:szCs w:val="21"/>
              </w:rPr>
            </w:pPr>
            <w:r>
              <w:rPr>
                <w:rFonts w:ascii="Verdana" w:hAnsi="Verdana" w:cs="Arial"/>
                <w:sz w:val="21"/>
                <w:szCs w:val="21"/>
              </w:rPr>
              <w:t>25% impuesto a la renta</w:t>
            </w:r>
          </w:p>
        </w:tc>
        <w:tc>
          <w:tcPr>
            <w:tcW w:w="1957" w:type="dxa"/>
          </w:tcPr>
          <w:p w14:paraId="5BD3DDC9" w14:textId="77777777" w:rsidR="00EF2CBA" w:rsidRDefault="00EF2CBA">
            <w:pPr>
              <w:jc w:val="right"/>
              <w:rPr>
                <w:rFonts w:ascii="Verdana" w:hAnsi="Verdana" w:cs="Arial"/>
                <w:sz w:val="21"/>
                <w:szCs w:val="21"/>
              </w:rPr>
            </w:pPr>
          </w:p>
          <w:p w14:paraId="69F041A2" w14:textId="77777777" w:rsidR="00EF2CBA" w:rsidRDefault="00EF2CBA">
            <w:pPr>
              <w:jc w:val="right"/>
              <w:rPr>
                <w:rFonts w:ascii="Verdana" w:hAnsi="Verdana" w:cs="Arial"/>
                <w:sz w:val="21"/>
                <w:szCs w:val="21"/>
                <w:u w:val="single"/>
              </w:rPr>
            </w:pPr>
          </w:p>
        </w:tc>
        <w:tc>
          <w:tcPr>
            <w:tcW w:w="1919" w:type="dxa"/>
          </w:tcPr>
          <w:p w14:paraId="4112C6FB" w14:textId="77777777" w:rsidR="00EF2CBA" w:rsidRDefault="00EF2CBA">
            <w:pPr>
              <w:jc w:val="right"/>
              <w:rPr>
                <w:rFonts w:ascii="Verdana" w:hAnsi="Verdana" w:cs="Arial"/>
                <w:sz w:val="21"/>
                <w:szCs w:val="21"/>
              </w:rPr>
            </w:pPr>
          </w:p>
          <w:p w14:paraId="086870F1" w14:textId="3FD4C284" w:rsidR="00EF2CBA" w:rsidRDefault="001C4074" w:rsidP="001C4074">
            <w:pPr>
              <w:jc w:val="center"/>
              <w:rPr>
                <w:rFonts w:ascii="Verdana" w:hAnsi="Verdana" w:cs="Arial"/>
                <w:sz w:val="21"/>
                <w:szCs w:val="21"/>
                <w:u w:val="double"/>
              </w:rPr>
            </w:pPr>
            <w:r w:rsidRPr="001C4074">
              <w:rPr>
                <w:rFonts w:ascii="Verdana" w:hAnsi="Verdana" w:cs="Arial"/>
                <w:sz w:val="21"/>
                <w:szCs w:val="21"/>
              </w:rPr>
              <w:t xml:space="preserve">           </w:t>
            </w:r>
            <w:r>
              <w:rPr>
                <w:rFonts w:ascii="Verdana" w:hAnsi="Verdana" w:cs="Arial"/>
                <w:sz w:val="21"/>
                <w:szCs w:val="21"/>
                <w:u w:val="double"/>
              </w:rPr>
              <w:t xml:space="preserve"> </w:t>
            </w:r>
            <w:r w:rsidR="00063A24">
              <w:rPr>
                <w:rFonts w:ascii="Verdana" w:hAnsi="Verdana" w:cs="Arial"/>
                <w:sz w:val="21"/>
                <w:szCs w:val="21"/>
                <w:u w:val="double"/>
              </w:rPr>
              <w:t>1,520</w:t>
            </w:r>
          </w:p>
        </w:tc>
      </w:tr>
    </w:tbl>
    <w:p w14:paraId="7D971132" w14:textId="77777777" w:rsidR="00063A24" w:rsidRDefault="00063A24" w:rsidP="00EF2CBA">
      <w:pPr>
        <w:rPr>
          <w:rFonts w:ascii="Verdana" w:hAnsi="Verdana" w:cs="Arial"/>
          <w:sz w:val="18"/>
          <w:szCs w:val="18"/>
        </w:rPr>
      </w:pPr>
    </w:p>
    <w:p w14:paraId="277BB4F6" w14:textId="77777777" w:rsidR="00063A24" w:rsidRDefault="00063A24" w:rsidP="00063A24">
      <w:pPr>
        <w:rPr>
          <w:rFonts w:ascii="Verdana" w:hAnsi="Verdana" w:cs="Arial"/>
          <w:sz w:val="18"/>
          <w:szCs w:val="18"/>
        </w:rPr>
      </w:pPr>
    </w:p>
    <w:p w14:paraId="4FD9F657" w14:textId="38960C5F" w:rsidR="00063A24" w:rsidRDefault="00063A24" w:rsidP="00063A24">
      <w:pPr>
        <w:tabs>
          <w:tab w:val="num" w:pos="567"/>
        </w:tabs>
        <w:ind w:left="567" w:hanging="567"/>
        <w:jc w:val="both"/>
        <w:rPr>
          <w:rFonts w:ascii="Verdana" w:hAnsi="Verdana" w:cs="Arial"/>
          <w:b/>
          <w:i/>
          <w:iCs/>
          <w:color w:val="000000"/>
          <w:sz w:val="21"/>
          <w:szCs w:val="21"/>
        </w:rPr>
      </w:pPr>
      <w:r>
        <w:rPr>
          <w:rFonts w:ascii="Verdana" w:hAnsi="Verdana" w:cs="Arial"/>
          <w:b/>
          <w:color w:val="000000"/>
          <w:sz w:val="21"/>
          <w:szCs w:val="21"/>
        </w:rPr>
        <w:t>19.2.</w:t>
      </w:r>
      <w:r>
        <w:rPr>
          <w:rFonts w:ascii="Verdana" w:hAnsi="Verdana" w:cs="Arial"/>
          <w:b/>
          <w:i/>
          <w:iCs/>
          <w:color w:val="000000"/>
          <w:sz w:val="21"/>
          <w:szCs w:val="21"/>
        </w:rPr>
        <w:t xml:space="preserve"> Determinación del Impuesto a la Renta por Pagar</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1872"/>
        <w:gridCol w:w="1672"/>
      </w:tblGrid>
      <w:tr w:rsidR="00063A24" w14:paraId="3308C4DD" w14:textId="77777777" w:rsidTr="00336551">
        <w:tc>
          <w:tcPr>
            <w:tcW w:w="5211" w:type="dxa"/>
          </w:tcPr>
          <w:p w14:paraId="74618847" w14:textId="77777777" w:rsidR="00063A24" w:rsidRDefault="00063A24">
            <w:pPr>
              <w:rPr>
                <w:rFonts w:ascii="Verdana" w:hAnsi="Verdana" w:cs="Arial"/>
                <w:sz w:val="21"/>
                <w:szCs w:val="21"/>
              </w:rPr>
            </w:pPr>
          </w:p>
        </w:tc>
        <w:tc>
          <w:tcPr>
            <w:tcW w:w="1872"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2" w:type="dxa"/>
            <w:hideMark/>
          </w:tcPr>
          <w:p w14:paraId="4E5BCE5E" w14:textId="77777777" w:rsidR="00063A24" w:rsidRDefault="00063A24">
            <w:pPr>
              <w:jc w:val="right"/>
              <w:rPr>
                <w:rFonts w:ascii="Verdana" w:hAnsi="Verdana" w:cs="Arial"/>
                <w:sz w:val="21"/>
                <w:szCs w:val="21"/>
                <w:u w:val="single"/>
              </w:rPr>
            </w:pPr>
            <w:r>
              <w:rPr>
                <w:rFonts w:ascii="Verdana" w:hAnsi="Verdana" w:cs="Arial"/>
                <w:sz w:val="21"/>
                <w:szCs w:val="21"/>
                <w:u w:val="single"/>
              </w:rPr>
              <w:t>2020</w:t>
            </w:r>
          </w:p>
        </w:tc>
      </w:tr>
      <w:tr w:rsidR="00063A24" w14:paraId="64DFDE74" w14:textId="77777777" w:rsidTr="00336551">
        <w:tc>
          <w:tcPr>
            <w:tcW w:w="5211" w:type="dxa"/>
          </w:tcPr>
          <w:p w14:paraId="72752E85" w14:textId="77777777" w:rsidR="00063A24" w:rsidRDefault="00063A24">
            <w:pPr>
              <w:rPr>
                <w:rFonts w:ascii="Verdana" w:hAnsi="Verdana" w:cs="Arial"/>
                <w:sz w:val="21"/>
                <w:szCs w:val="21"/>
              </w:rPr>
            </w:pPr>
          </w:p>
        </w:tc>
        <w:tc>
          <w:tcPr>
            <w:tcW w:w="1872" w:type="dxa"/>
          </w:tcPr>
          <w:p w14:paraId="14869529" w14:textId="77777777" w:rsidR="00063A24" w:rsidRDefault="00063A24">
            <w:pPr>
              <w:jc w:val="right"/>
              <w:rPr>
                <w:rFonts w:ascii="Verdana" w:hAnsi="Verdana" w:cs="Arial"/>
                <w:sz w:val="21"/>
                <w:szCs w:val="21"/>
              </w:rPr>
            </w:pPr>
          </w:p>
        </w:tc>
        <w:tc>
          <w:tcPr>
            <w:tcW w:w="1672" w:type="dxa"/>
          </w:tcPr>
          <w:p w14:paraId="0A150EA7" w14:textId="77777777" w:rsidR="00063A24" w:rsidRDefault="00063A24">
            <w:pPr>
              <w:jc w:val="right"/>
              <w:rPr>
                <w:rFonts w:ascii="Verdana" w:hAnsi="Verdana" w:cs="Arial"/>
                <w:sz w:val="21"/>
                <w:szCs w:val="21"/>
              </w:rPr>
            </w:pPr>
          </w:p>
        </w:tc>
      </w:tr>
      <w:tr w:rsidR="00063A24" w14:paraId="7FDCBE63" w14:textId="77777777" w:rsidTr="00336551">
        <w:tc>
          <w:tcPr>
            <w:tcW w:w="5211"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2" w:type="dxa"/>
          </w:tcPr>
          <w:p w14:paraId="69980B0D" w14:textId="77777777" w:rsidR="00063A24" w:rsidRDefault="00063A24">
            <w:pPr>
              <w:jc w:val="right"/>
              <w:rPr>
                <w:rFonts w:ascii="Verdana" w:hAnsi="Verdana" w:cs="Arial"/>
                <w:sz w:val="21"/>
                <w:szCs w:val="21"/>
              </w:rPr>
            </w:pPr>
          </w:p>
        </w:tc>
        <w:tc>
          <w:tcPr>
            <w:tcW w:w="1672"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336551">
        <w:tc>
          <w:tcPr>
            <w:tcW w:w="5211"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2" w:type="dxa"/>
          </w:tcPr>
          <w:p w14:paraId="31B9AFC1" w14:textId="77777777" w:rsidR="00063A24" w:rsidRDefault="00063A24">
            <w:pPr>
              <w:jc w:val="right"/>
              <w:rPr>
                <w:rFonts w:ascii="Verdana" w:hAnsi="Verdana" w:cs="Arial"/>
                <w:sz w:val="21"/>
                <w:szCs w:val="21"/>
              </w:rPr>
            </w:pPr>
          </w:p>
        </w:tc>
        <w:tc>
          <w:tcPr>
            <w:tcW w:w="1672" w:type="dxa"/>
            <w:hideMark/>
          </w:tcPr>
          <w:p w14:paraId="3B985714" w14:textId="77777777" w:rsidR="00063A24" w:rsidRDefault="00063A24">
            <w:pPr>
              <w:jc w:val="right"/>
              <w:rPr>
                <w:rFonts w:ascii="Verdana" w:hAnsi="Verdana" w:cs="Arial"/>
                <w:sz w:val="21"/>
                <w:szCs w:val="21"/>
              </w:rPr>
            </w:pPr>
          </w:p>
        </w:tc>
      </w:tr>
      <w:tr w:rsidR="00063A24" w14:paraId="15974C82" w14:textId="77777777" w:rsidTr="00336551">
        <w:tc>
          <w:tcPr>
            <w:tcW w:w="5211" w:type="dxa"/>
            <w:hideMark/>
          </w:tcPr>
          <w:p w14:paraId="774A312F" w14:textId="77777777" w:rsidR="00063A24" w:rsidRDefault="00063A24">
            <w:pPr>
              <w:rPr>
                <w:rFonts w:ascii="Verdana" w:hAnsi="Verdana" w:cs="Arial"/>
                <w:sz w:val="21"/>
                <w:szCs w:val="21"/>
              </w:rPr>
            </w:pPr>
            <w:r>
              <w:rPr>
                <w:rFonts w:ascii="Verdana" w:hAnsi="Verdana" w:cs="Arial"/>
                <w:sz w:val="21"/>
                <w:szCs w:val="21"/>
              </w:rPr>
              <w:t>- Retenciones en la fuente realizadas en el año</w:t>
            </w:r>
          </w:p>
          <w:p w14:paraId="744DC34B" w14:textId="77777777" w:rsidR="00063A24" w:rsidRDefault="00063A24">
            <w:pPr>
              <w:rPr>
                <w:rFonts w:ascii="Verdana" w:hAnsi="Verdana" w:cs="Arial"/>
                <w:sz w:val="21"/>
                <w:szCs w:val="21"/>
              </w:rPr>
            </w:pPr>
            <w:r>
              <w:rPr>
                <w:rFonts w:ascii="Verdana" w:hAnsi="Verdana" w:cs="Arial"/>
                <w:sz w:val="21"/>
                <w:szCs w:val="21"/>
              </w:rPr>
              <w:t>- Crédito tributario de años anteriores</w:t>
            </w:r>
          </w:p>
        </w:tc>
        <w:tc>
          <w:tcPr>
            <w:tcW w:w="1872" w:type="dxa"/>
          </w:tcPr>
          <w:p w14:paraId="664A11C0" w14:textId="77777777" w:rsidR="00063A24" w:rsidRDefault="00063A24">
            <w:pPr>
              <w:jc w:val="right"/>
              <w:rPr>
                <w:rFonts w:ascii="Verdana" w:hAnsi="Verdana" w:cs="Arial"/>
                <w:sz w:val="21"/>
                <w:szCs w:val="21"/>
              </w:rPr>
            </w:pPr>
          </w:p>
        </w:tc>
        <w:tc>
          <w:tcPr>
            <w:tcW w:w="1672" w:type="dxa"/>
            <w:hideMark/>
          </w:tcPr>
          <w:p w14:paraId="4297D62E" w14:textId="77777777" w:rsidR="00063A24" w:rsidRDefault="00063A24">
            <w:pPr>
              <w:jc w:val="right"/>
              <w:rPr>
                <w:rFonts w:ascii="Verdana" w:hAnsi="Verdana" w:cs="Arial"/>
                <w:sz w:val="21"/>
                <w:szCs w:val="21"/>
              </w:rPr>
            </w:pPr>
            <w:r>
              <w:rPr>
                <w:rFonts w:ascii="Verdana" w:hAnsi="Verdana" w:cs="Arial"/>
                <w:sz w:val="21"/>
                <w:szCs w:val="21"/>
              </w:rPr>
              <w:t>19,758</w:t>
            </w:r>
          </w:p>
          <w:p w14:paraId="6BED9C6F" w14:textId="7819A5A9" w:rsidR="00063A24" w:rsidRDefault="00100E11" w:rsidP="00100E11">
            <w:pPr>
              <w:rPr>
                <w:rFonts w:ascii="Verdana" w:hAnsi="Verdana" w:cs="Arial"/>
                <w:sz w:val="21"/>
                <w:szCs w:val="21"/>
                <w:u w:val="single"/>
              </w:rPr>
            </w:pPr>
            <w:r w:rsidRPr="00100E11">
              <w:rPr>
                <w:rFonts w:ascii="Verdana" w:hAnsi="Verdana" w:cs="Arial"/>
                <w:sz w:val="21"/>
                <w:szCs w:val="21"/>
              </w:rPr>
              <w:t xml:space="preserve">         </w:t>
            </w:r>
            <w:r w:rsidR="00063A24">
              <w:rPr>
                <w:rFonts w:ascii="Verdana" w:hAnsi="Verdana" w:cs="Arial"/>
                <w:sz w:val="21"/>
                <w:szCs w:val="21"/>
                <w:u w:val="single"/>
              </w:rPr>
              <w:t>34,918</w:t>
            </w:r>
          </w:p>
        </w:tc>
      </w:tr>
      <w:tr w:rsidR="00063A24" w14:paraId="486E0AB5" w14:textId="77777777" w:rsidTr="00336551">
        <w:tc>
          <w:tcPr>
            <w:tcW w:w="5211" w:type="dxa"/>
          </w:tcPr>
          <w:p w14:paraId="685EC634" w14:textId="77777777" w:rsidR="00063A24" w:rsidRDefault="00063A24">
            <w:pPr>
              <w:rPr>
                <w:rFonts w:ascii="Verdana" w:hAnsi="Verdana" w:cs="Arial"/>
                <w:sz w:val="21"/>
                <w:szCs w:val="21"/>
              </w:rPr>
            </w:pPr>
          </w:p>
          <w:p w14:paraId="16E6B4D3" w14:textId="77777777" w:rsidR="00063A24" w:rsidRDefault="00063A24">
            <w:pPr>
              <w:rPr>
                <w:rFonts w:ascii="Verdana" w:hAnsi="Verdana" w:cs="Arial"/>
                <w:sz w:val="21"/>
                <w:szCs w:val="21"/>
              </w:rPr>
            </w:pPr>
            <w:r>
              <w:rPr>
                <w:rFonts w:ascii="Verdana" w:hAnsi="Verdana" w:cs="Arial"/>
                <w:sz w:val="21"/>
                <w:szCs w:val="21"/>
              </w:rPr>
              <w:t>Saldo a favor de la Compañía</w:t>
            </w:r>
          </w:p>
        </w:tc>
        <w:tc>
          <w:tcPr>
            <w:tcW w:w="1872" w:type="dxa"/>
          </w:tcPr>
          <w:p w14:paraId="2BB3C6C4" w14:textId="77777777" w:rsidR="00063A24" w:rsidRDefault="00063A24">
            <w:pPr>
              <w:jc w:val="right"/>
              <w:rPr>
                <w:rFonts w:ascii="Verdana" w:hAnsi="Verdana" w:cs="Arial"/>
                <w:sz w:val="21"/>
                <w:szCs w:val="21"/>
              </w:rPr>
            </w:pPr>
          </w:p>
          <w:p w14:paraId="2ADD04F4" w14:textId="77777777" w:rsidR="00063A24" w:rsidRDefault="00063A24">
            <w:pPr>
              <w:jc w:val="right"/>
              <w:rPr>
                <w:rFonts w:ascii="Verdana" w:hAnsi="Verdana" w:cs="Arial"/>
                <w:sz w:val="21"/>
                <w:szCs w:val="21"/>
                <w:u w:val="single"/>
              </w:rPr>
            </w:pPr>
          </w:p>
        </w:tc>
        <w:tc>
          <w:tcPr>
            <w:tcW w:w="1672" w:type="dxa"/>
          </w:tcPr>
          <w:p w14:paraId="7C13BD82" w14:textId="77777777" w:rsidR="00063A24" w:rsidRDefault="00063A24">
            <w:pPr>
              <w:jc w:val="right"/>
              <w:rPr>
                <w:rFonts w:ascii="Verdana" w:hAnsi="Verdana" w:cs="Arial"/>
                <w:sz w:val="21"/>
                <w:szCs w:val="21"/>
              </w:rPr>
            </w:pPr>
          </w:p>
          <w:p w14:paraId="1C5A1F43" w14:textId="77777777" w:rsidR="00063A24" w:rsidRDefault="00063A24">
            <w:pPr>
              <w:jc w:val="right"/>
              <w:rPr>
                <w:rFonts w:ascii="Verdana" w:hAnsi="Verdana" w:cs="Arial"/>
                <w:sz w:val="21"/>
                <w:szCs w:val="21"/>
                <w:u w:val="double"/>
              </w:rPr>
            </w:pPr>
            <w:r>
              <w:rPr>
                <w:rFonts w:ascii="Verdana" w:hAnsi="Verdana" w:cs="Arial"/>
                <w:sz w:val="21"/>
                <w:szCs w:val="21"/>
                <w:u w:val="double"/>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7777777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Del impuesto determinado como se explica en la nota 19.1. Se deducen las retenciones de impuesto a la renta realizadas a la Compañía durante el ejercicio y los créditos tributarios a su favor.</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77777777" w:rsidR="00F82A0F" w:rsidRDefault="00F82A0F" w:rsidP="00F82A0F">
      <w:pPr>
        <w:tabs>
          <w:tab w:val="num" w:pos="567"/>
        </w:tabs>
        <w:jc w:val="both"/>
        <w:rPr>
          <w:rFonts w:ascii="Verdana" w:hAnsi="Verdana" w:cs="Arial"/>
          <w:b/>
          <w:i/>
          <w:iCs/>
          <w:color w:val="000000"/>
          <w:sz w:val="21"/>
          <w:szCs w:val="21"/>
        </w:rPr>
      </w:pPr>
      <w:r>
        <w:rPr>
          <w:rFonts w:ascii="Verdana" w:hAnsi="Verdana" w:cs="Arial"/>
          <w:b/>
          <w:color w:val="000000"/>
          <w:sz w:val="21"/>
          <w:szCs w:val="21"/>
        </w:rPr>
        <w:t>19.3.</w:t>
      </w:r>
      <w:r>
        <w:rPr>
          <w:rFonts w:ascii="Verdana" w:hAnsi="Verdana" w:cs="Arial"/>
          <w:b/>
          <w:i/>
          <w:iCs/>
          <w:color w:val="000000"/>
          <w:sz w:val="21"/>
          <w:szCs w:val="21"/>
        </w:rPr>
        <w:t xml:space="preserve"> Tasa de Impuesto a la Renta</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tarifa general de impuesto a la renta para las sociedades es del 25%; sin embargo, la tarifa impositiva será del 28% en el caso de que la compañía tenga 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7777777" w:rsidR="00F82A0F" w:rsidRDefault="00F82A0F" w:rsidP="00F82A0F">
      <w:pPr>
        <w:autoSpaceDE w:val="0"/>
        <w:autoSpaceDN w:val="0"/>
        <w:adjustRightInd w:val="0"/>
        <w:jc w:val="both"/>
        <w:rPr>
          <w:rFonts w:ascii="Verdana" w:hAnsi="Verdana" w:cs="Arial"/>
          <w:b/>
          <w:bCs/>
          <w:sz w:val="21"/>
          <w:szCs w:val="21"/>
          <w:lang w:val="es-EC" w:eastAsia="es-EC"/>
        </w:rPr>
      </w:pPr>
      <w:bookmarkStart w:id="21" w:name="_Hlk31213668"/>
      <w:r>
        <w:rPr>
          <w:rFonts w:ascii="Verdana" w:hAnsi="Verdana" w:cs="Arial"/>
          <w:b/>
          <w:bCs/>
          <w:sz w:val="21"/>
          <w:szCs w:val="21"/>
          <w:lang w:val="es-EC" w:eastAsia="es-EC"/>
        </w:rPr>
        <w:t xml:space="preserve">19.4. </w:t>
      </w:r>
      <w:r>
        <w:rPr>
          <w:rFonts w:ascii="Verdana" w:hAnsi="Verdana" w:cs="Arial"/>
          <w:b/>
          <w:bCs/>
          <w:i/>
          <w:iCs/>
          <w:sz w:val="21"/>
          <w:szCs w:val="21"/>
          <w:lang w:val="es-EC" w:eastAsia="es-EC"/>
        </w:rPr>
        <w:t>Dividendos en Efectivo</w:t>
      </w:r>
    </w:p>
    <w:bookmarkEnd w:id="21"/>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23B621BB" w14:textId="77777777" w:rsidR="00F82A0F" w:rsidRDefault="00F82A0F" w:rsidP="00F82A0F">
      <w:pPr>
        <w:autoSpaceDE w:val="0"/>
        <w:autoSpaceDN w:val="0"/>
        <w:adjustRightInd w:val="0"/>
        <w:ind w:left="705"/>
        <w:jc w:val="both"/>
        <w:rPr>
          <w:rFonts w:ascii="Verdana" w:hAnsi="Verdana" w:cs="Arial"/>
          <w:sz w:val="21"/>
          <w:szCs w:val="21"/>
          <w:highlight w:val="yellow"/>
          <w:lang w:val="es-EC" w:eastAsia="es-EC"/>
        </w:rPr>
      </w:pPr>
    </w:p>
    <w:p w14:paraId="1D38B83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sidRPr="009F2826">
        <w:rPr>
          <w:rFonts w:ascii="Verdana" w:hAnsi="Verdana" w:cs="Arial"/>
          <w:b/>
          <w:bCs/>
          <w:sz w:val="21"/>
          <w:szCs w:val="21"/>
          <w:highlight w:val="yellow"/>
          <w:lang w:val="es-EC" w:eastAsia="es-EC"/>
        </w:rPr>
        <w:t xml:space="preserve">19.5. </w:t>
      </w:r>
      <w:r w:rsidRPr="009F2826">
        <w:rPr>
          <w:rFonts w:ascii="Verdana" w:hAnsi="Verdana" w:cs="Arial"/>
          <w:b/>
          <w:bCs/>
          <w:i/>
          <w:iCs/>
          <w:sz w:val="21"/>
          <w:szCs w:val="21"/>
          <w:highlight w:val="yellow"/>
          <w:lang w:val="es-EC" w:eastAsia="es-EC"/>
        </w:rPr>
        <w:t>Crédito Tributario por Amortización de Pérdidas</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Las Sociedades pueden amortizar las pérdidas tributarias de un periodo con las utilidades gravables que se obtuvieren dentro de los cinco periodos económicos siguientes, sin exceder, en cada periodo,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2018 y 2017, por US$100 mil y US$204 mil, respectivamente.</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sz w:val="21"/>
          <w:szCs w:val="21"/>
          <w:lang w:val="es-EC" w:eastAsia="es-EC"/>
        </w:rPr>
        <w:t>19.6.</w:t>
      </w:r>
      <w:r>
        <w:rPr>
          <w:rFonts w:ascii="Verdana" w:hAnsi="Verdana" w:cs="Arial"/>
          <w:b/>
          <w:bCs/>
          <w:i/>
          <w:iCs/>
          <w:sz w:val="21"/>
          <w:szCs w:val="21"/>
          <w:lang w:val="es-EC" w:eastAsia="es-EC"/>
        </w:rPr>
        <w:t xml:space="preserve"> Activo por Impuesto Diferido no Reconocido</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6E13F2E6"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.5), el mismo que no ha sido reconocido debido a la incertidumbre en el uso de sus beneficios en los periodos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77777777" w:rsidR="00F82A0F" w:rsidRDefault="00F82A0F" w:rsidP="00F82A0F">
      <w:pPr>
        <w:tabs>
          <w:tab w:val="num" w:pos="567"/>
        </w:tabs>
        <w:ind w:left="567" w:hanging="567"/>
        <w:jc w:val="both"/>
        <w:rPr>
          <w:rFonts w:ascii="Verdana" w:hAnsi="Verdana" w:cs="Arial"/>
          <w:b/>
          <w:i/>
          <w:iCs/>
          <w:color w:val="000000"/>
          <w:sz w:val="21"/>
          <w:szCs w:val="21"/>
        </w:rPr>
      </w:pPr>
      <w:bookmarkStart w:id="22" w:name="_Hlk31300483"/>
      <w:r>
        <w:rPr>
          <w:rFonts w:ascii="Verdana" w:hAnsi="Verdana" w:cs="Arial"/>
          <w:b/>
          <w:color w:val="000000"/>
          <w:sz w:val="21"/>
          <w:szCs w:val="21"/>
        </w:rPr>
        <w:t>19.7</w:t>
      </w:r>
      <w:r>
        <w:rPr>
          <w:rFonts w:ascii="Verdana" w:hAnsi="Verdana" w:cs="Arial"/>
          <w:b/>
          <w:i/>
          <w:iCs/>
          <w:color w:val="000000"/>
          <w:sz w:val="21"/>
          <w:szCs w:val="21"/>
        </w:rPr>
        <w:t>. Revisión Tributaria</w:t>
      </w:r>
    </w:p>
    <w:bookmarkEnd w:id="22"/>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2016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77777777" w:rsidR="00F82A0F" w:rsidRDefault="00F82A0F" w:rsidP="00F82A0F">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20.  </w:t>
      </w:r>
      <w:r>
        <w:rPr>
          <w:rFonts w:ascii="Verdana" w:hAnsi="Verdana" w:cs="Arial"/>
          <w:b/>
          <w:color w:val="000000"/>
          <w:sz w:val="21"/>
          <w:szCs w:val="21"/>
        </w:rPr>
        <w:tab/>
        <w:t>SALDOS Y TRANSACCIONES CON PARTES RELACIONADAS</w:t>
      </w:r>
    </w:p>
    <w:p w14:paraId="0548E508" w14:textId="77777777" w:rsidR="00336509" w:rsidRDefault="00336509" w:rsidP="00F82A0F">
      <w:pPr>
        <w:rPr>
          <w:rFonts w:ascii="Verdana" w:hAnsi="Verdana" w:cs="Arial"/>
          <w:sz w:val="18"/>
          <w:szCs w:val="18"/>
        </w:rPr>
      </w:pPr>
    </w:p>
    <w:p w14:paraId="58870420" w14:textId="77777777" w:rsidR="00336509" w:rsidRDefault="00336509" w:rsidP="00336509">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014"/>
        <w:gridCol w:w="1836"/>
      </w:tblGrid>
      <w:tr w:rsidR="00336509" w14:paraId="66CE9DDF" w14:textId="77777777" w:rsidTr="007C6CE0">
        <w:tc>
          <w:tcPr>
            <w:tcW w:w="4644" w:type="dxa"/>
          </w:tcPr>
          <w:p w14:paraId="4EB61D82" w14:textId="77777777" w:rsidR="00336509" w:rsidRDefault="00336509">
            <w:pPr>
              <w:rPr>
                <w:rFonts w:ascii="Verdana" w:hAnsi="Verdana" w:cs="Arial"/>
                <w:sz w:val="21"/>
                <w:szCs w:val="21"/>
              </w:rPr>
            </w:pPr>
          </w:p>
        </w:tc>
        <w:tc>
          <w:tcPr>
            <w:tcW w:w="2014"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293EBC68" w14:textId="77777777" w:rsidR="00336509" w:rsidRDefault="00336509">
            <w:pPr>
              <w:jc w:val="right"/>
              <w:rPr>
                <w:rFonts w:ascii="Verdana" w:hAnsi="Verdana" w:cs="Arial"/>
                <w:sz w:val="21"/>
                <w:szCs w:val="21"/>
                <w:u w:val="single"/>
              </w:rPr>
            </w:pPr>
            <w:r>
              <w:rPr>
                <w:rFonts w:ascii="Verdana" w:hAnsi="Verdana" w:cs="Arial"/>
                <w:sz w:val="21"/>
                <w:szCs w:val="21"/>
                <w:u w:val="single"/>
              </w:rPr>
              <w:t>2020</w:t>
            </w:r>
          </w:p>
        </w:tc>
      </w:tr>
      <w:tr w:rsidR="00336509" w14:paraId="208A7704" w14:textId="77777777" w:rsidTr="007C6CE0">
        <w:tc>
          <w:tcPr>
            <w:tcW w:w="4644" w:type="dxa"/>
          </w:tcPr>
          <w:p w14:paraId="1F8B67C7" w14:textId="77777777" w:rsidR="00336509" w:rsidRDefault="00336509">
            <w:pPr>
              <w:rPr>
                <w:rFonts w:ascii="Verdana" w:hAnsi="Verdana" w:cs="Arial"/>
                <w:sz w:val="21"/>
                <w:szCs w:val="21"/>
              </w:rPr>
            </w:pPr>
          </w:p>
        </w:tc>
        <w:tc>
          <w:tcPr>
            <w:tcW w:w="2014" w:type="dxa"/>
          </w:tcPr>
          <w:p w14:paraId="4219091F" w14:textId="77777777" w:rsidR="00336509" w:rsidRDefault="00336509">
            <w:pPr>
              <w:jc w:val="right"/>
              <w:rPr>
                <w:rFonts w:ascii="Verdana" w:hAnsi="Verdana" w:cs="Arial"/>
                <w:sz w:val="21"/>
                <w:szCs w:val="21"/>
              </w:rPr>
            </w:pPr>
          </w:p>
        </w:tc>
        <w:tc>
          <w:tcPr>
            <w:tcW w:w="1836" w:type="dxa"/>
          </w:tcPr>
          <w:p w14:paraId="557FBD35" w14:textId="77777777" w:rsidR="00336509" w:rsidRDefault="00336509">
            <w:pPr>
              <w:jc w:val="right"/>
              <w:rPr>
                <w:rFonts w:ascii="Verdana" w:hAnsi="Verdana" w:cs="Arial"/>
                <w:sz w:val="21"/>
                <w:szCs w:val="21"/>
              </w:rPr>
            </w:pPr>
          </w:p>
        </w:tc>
      </w:tr>
      <w:tr w:rsidR="00336509" w14:paraId="37938DC2" w14:textId="77777777" w:rsidTr="007C6CE0">
        <w:tc>
          <w:tcPr>
            <w:tcW w:w="4644" w:type="dxa"/>
            <w:hideMark/>
          </w:tcPr>
          <w:p w14:paraId="7B04A958" w14:textId="77777777" w:rsidR="00336509" w:rsidRPr="00336509" w:rsidRDefault="00336509">
            <w:pPr>
              <w:rPr>
                <w:rFonts w:ascii="Verdana" w:hAnsi="Verdana" w:cs="Arial"/>
                <w:sz w:val="21"/>
                <w:szCs w:val="21"/>
                <w:u w:val="single"/>
              </w:rPr>
            </w:pPr>
            <w:r w:rsidRPr="00336509">
              <w:rPr>
                <w:rFonts w:ascii="Verdana" w:hAnsi="Verdana" w:cs="Arial"/>
                <w:sz w:val="21"/>
                <w:szCs w:val="21"/>
                <w:u w:val="single"/>
              </w:rPr>
              <w:t>Saldos:</w:t>
            </w:r>
          </w:p>
        </w:tc>
        <w:tc>
          <w:tcPr>
            <w:tcW w:w="2014" w:type="dxa"/>
          </w:tcPr>
          <w:p w14:paraId="7CE18D73" w14:textId="77777777" w:rsidR="00336509" w:rsidRDefault="00336509">
            <w:pPr>
              <w:jc w:val="right"/>
              <w:rPr>
                <w:rFonts w:ascii="Verdana" w:hAnsi="Verdana" w:cs="Arial"/>
                <w:sz w:val="21"/>
                <w:szCs w:val="21"/>
              </w:rPr>
            </w:pPr>
          </w:p>
        </w:tc>
        <w:tc>
          <w:tcPr>
            <w:tcW w:w="1836" w:type="dxa"/>
            <w:hideMark/>
          </w:tcPr>
          <w:p w14:paraId="73FC77F9" w14:textId="77777777" w:rsidR="00336509" w:rsidRDefault="00336509">
            <w:pPr>
              <w:jc w:val="right"/>
              <w:rPr>
                <w:rFonts w:ascii="Verdana" w:hAnsi="Verdana" w:cs="Arial"/>
                <w:sz w:val="21"/>
                <w:szCs w:val="21"/>
              </w:rPr>
            </w:pPr>
          </w:p>
        </w:tc>
      </w:tr>
      <w:tr w:rsidR="00336509" w14:paraId="3B7E3148" w14:textId="77777777" w:rsidTr="007C6CE0">
        <w:tc>
          <w:tcPr>
            <w:tcW w:w="4644" w:type="dxa"/>
            <w:hideMark/>
          </w:tcPr>
          <w:p w14:paraId="32B22085" w14:textId="77777777" w:rsidR="00336509" w:rsidRDefault="00336509">
            <w:pPr>
              <w:rPr>
                <w:rFonts w:ascii="Verdana" w:hAnsi="Verdana" w:cs="Arial"/>
                <w:sz w:val="21"/>
                <w:szCs w:val="21"/>
              </w:rPr>
            </w:pPr>
            <w:r>
              <w:rPr>
                <w:rFonts w:ascii="Verdana" w:hAnsi="Verdana" w:cs="Arial"/>
                <w:sz w:val="21"/>
                <w:szCs w:val="21"/>
              </w:rPr>
              <w:t>Cuentas por pagar a partes relacionadas:</w:t>
            </w:r>
          </w:p>
        </w:tc>
        <w:tc>
          <w:tcPr>
            <w:tcW w:w="2014" w:type="dxa"/>
          </w:tcPr>
          <w:p w14:paraId="76966E5F" w14:textId="77777777" w:rsidR="00336509" w:rsidRDefault="00336509">
            <w:pPr>
              <w:jc w:val="right"/>
              <w:rPr>
                <w:rFonts w:ascii="Verdana" w:hAnsi="Verdana" w:cs="Arial"/>
                <w:sz w:val="21"/>
                <w:szCs w:val="21"/>
              </w:rPr>
            </w:pPr>
          </w:p>
        </w:tc>
        <w:tc>
          <w:tcPr>
            <w:tcW w:w="1836"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DD2575">
        <w:tc>
          <w:tcPr>
            <w:tcW w:w="4644" w:type="dxa"/>
          </w:tcPr>
          <w:p w14:paraId="77B14E3F" w14:textId="1E07D46F" w:rsidR="00336509" w:rsidRPr="00336509" w:rsidRDefault="00DD2575">
            <w:pPr>
              <w:rPr>
                <w:rFonts w:ascii="Verdana" w:hAnsi="Verdana" w:cs="Arial"/>
                <w:sz w:val="21"/>
                <w:szCs w:val="21"/>
              </w:rPr>
            </w:pPr>
            <w:r>
              <w:rPr>
                <w:rFonts w:ascii="Verdana" w:hAnsi="Verdana" w:cs="Arial"/>
                <w:sz w:val="21"/>
                <w:szCs w:val="21"/>
              </w:rPr>
              <w:t>…María Dolores Casal, Accionista</w:t>
            </w:r>
          </w:p>
        </w:tc>
        <w:tc>
          <w:tcPr>
            <w:tcW w:w="2014" w:type="dxa"/>
          </w:tcPr>
          <w:p w14:paraId="6813B03C" w14:textId="1415A50E" w:rsidR="00DD2575" w:rsidRDefault="00DD2575">
            <w:pPr>
              <w:jc w:val="right"/>
              <w:rPr>
                <w:rFonts w:ascii="Verdana" w:hAnsi="Verdana" w:cs="Arial"/>
                <w:sz w:val="21"/>
                <w:szCs w:val="21"/>
              </w:rPr>
            </w:pPr>
            <w:r>
              <w:rPr>
                <w:rFonts w:ascii="Verdana" w:hAnsi="Verdana" w:cs="Arial"/>
                <w:sz w:val="21"/>
                <w:szCs w:val="21"/>
              </w:rPr>
              <w:t>185,611</w:t>
            </w:r>
          </w:p>
        </w:tc>
        <w:tc>
          <w:tcPr>
            <w:tcW w:w="1836" w:type="dxa"/>
          </w:tcPr>
          <w:p w14:paraId="5FAA1E5D" w14:textId="44C12CE0" w:rsidR="007C6CE0" w:rsidRPr="00DD2575" w:rsidRDefault="00DD2575" w:rsidP="007C6CE0">
            <w:pPr>
              <w:jc w:val="right"/>
              <w:rPr>
                <w:rFonts w:ascii="Verdana" w:hAnsi="Verdana" w:cs="Arial"/>
                <w:sz w:val="21"/>
                <w:szCs w:val="21"/>
              </w:rPr>
            </w:pPr>
            <w:r w:rsidRPr="00DD2575">
              <w:rPr>
                <w:rFonts w:ascii="Verdana" w:hAnsi="Verdana" w:cs="Arial"/>
                <w:sz w:val="21"/>
                <w:szCs w:val="21"/>
              </w:rPr>
              <w:t>220,911</w:t>
            </w:r>
          </w:p>
        </w:tc>
      </w:tr>
      <w:tr w:rsidR="00DD2575" w14:paraId="6F079387" w14:textId="77777777" w:rsidTr="00DD2575">
        <w:tc>
          <w:tcPr>
            <w:tcW w:w="4644" w:type="dxa"/>
          </w:tcPr>
          <w:p w14:paraId="0BBD3ED9" w14:textId="5BA42AE5" w:rsidR="00DD2575" w:rsidRDefault="00DD2575">
            <w:pPr>
              <w:rPr>
                <w:rFonts w:ascii="Verdana" w:hAnsi="Verdana" w:cs="Arial"/>
                <w:sz w:val="21"/>
                <w:szCs w:val="21"/>
              </w:rPr>
            </w:pPr>
            <w:r>
              <w:rPr>
                <w:rFonts w:ascii="Verdana" w:hAnsi="Verdana" w:cs="Arial"/>
                <w:sz w:val="21"/>
                <w:szCs w:val="21"/>
              </w:rPr>
              <w:t>…María Paula Casal, Parte relacionada</w:t>
            </w:r>
          </w:p>
        </w:tc>
        <w:tc>
          <w:tcPr>
            <w:tcW w:w="2014" w:type="dxa"/>
          </w:tcPr>
          <w:p w14:paraId="7620CD07" w14:textId="48D4CA66" w:rsidR="00DD2575" w:rsidRPr="00DD2575" w:rsidRDefault="00DD2575" w:rsidP="00DD2575">
            <w:pPr>
              <w:jc w:val="center"/>
              <w:rPr>
                <w:rFonts w:ascii="Verdana" w:hAnsi="Verdana" w:cs="Arial"/>
                <w:sz w:val="21"/>
                <w:szCs w:val="21"/>
                <w:u w:val="single"/>
              </w:rPr>
            </w:pPr>
            <w:r>
              <w:rPr>
                <w:rFonts w:ascii="Verdana" w:hAnsi="Verdana" w:cs="Arial"/>
                <w:sz w:val="21"/>
                <w:szCs w:val="21"/>
              </w:rPr>
              <w:t xml:space="preserve">            </w:t>
            </w:r>
            <w:r w:rsidRPr="00DD2575">
              <w:rPr>
                <w:rFonts w:ascii="Verdana" w:hAnsi="Verdana" w:cs="Arial"/>
                <w:sz w:val="21"/>
                <w:szCs w:val="21"/>
                <w:u w:val="single"/>
              </w:rPr>
              <w:t xml:space="preserve">          0</w:t>
            </w:r>
          </w:p>
        </w:tc>
        <w:tc>
          <w:tcPr>
            <w:tcW w:w="1836" w:type="dxa"/>
          </w:tcPr>
          <w:p w14:paraId="636684F5" w14:textId="7ABFD3EC" w:rsidR="00DD2575" w:rsidRPr="007C6CE0" w:rsidRDefault="00DD2575" w:rsidP="00DD2575">
            <w:pPr>
              <w:jc w:val="center"/>
              <w:rPr>
                <w:rFonts w:ascii="Verdana" w:hAnsi="Verdana" w:cs="Arial"/>
                <w:sz w:val="21"/>
                <w:szCs w:val="21"/>
                <w:u w:val="single"/>
              </w:rPr>
            </w:pPr>
            <w:r w:rsidRPr="00DD2575">
              <w:rPr>
                <w:rFonts w:ascii="Verdana" w:hAnsi="Verdana" w:cs="Arial"/>
                <w:sz w:val="21"/>
                <w:szCs w:val="21"/>
              </w:rPr>
              <w:t xml:space="preserve">         </w:t>
            </w:r>
            <w:r>
              <w:rPr>
                <w:rFonts w:ascii="Verdana" w:hAnsi="Verdana" w:cs="Arial"/>
                <w:sz w:val="21"/>
                <w:szCs w:val="21"/>
                <w:u w:val="single"/>
              </w:rPr>
              <w:t xml:space="preserve">  28,242</w:t>
            </w:r>
          </w:p>
        </w:tc>
      </w:tr>
      <w:tr w:rsidR="00DD2575" w14:paraId="76E5C88B" w14:textId="77777777" w:rsidTr="00DD2575">
        <w:tc>
          <w:tcPr>
            <w:tcW w:w="4644" w:type="dxa"/>
          </w:tcPr>
          <w:p w14:paraId="4AD56F07" w14:textId="77777777" w:rsidR="00DD2575" w:rsidRDefault="00DD2575">
            <w:pPr>
              <w:rPr>
                <w:rFonts w:ascii="Verdana" w:hAnsi="Verdana" w:cs="Arial"/>
                <w:sz w:val="21"/>
                <w:szCs w:val="21"/>
              </w:rPr>
            </w:pPr>
          </w:p>
        </w:tc>
        <w:tc>
          <w:tcPr>
            <w:tcW w:w="2014" w:type="dxa"/>
          </w:tcPr>
          <w:p w14:paraId="79114A03" w14:textId="77777777" w:rsidR="00DD2575" w:rsidRDefault="00DD2575" w:rsidP="00DD2575">
            <w:pPr>
              <w:jc w:val="center"/>
              <w:rPr>
                <w:rFonts w:ascii="Verdana" w:hAnsi="Verdana" w:cs="Arial"/>
                <w:sz w:val="21"/>
                <w:szCs w:val="21"/>
              </w:rPr>
            </w:pPr>
          </w:p>
        </w:tc>
        <w:tc>
          <w:tcPr>
            <w:tcW w:w="1836" w:type="dxa"/>
          </w:tcPr>
          <w:p w14:paraId="27515991" w14:textId="77777777" w:rsidR="00DD2575" w:rsidRPr="00DD2575" w:rsidRDefault="00DD2575" w:rsidP="00DD2575">
            <w:pPr>
              <w:jc w:val="center"/>
              <w:rPr>
                <w:rFonts w:ascii="Verdana" w:hAnsi="Verdana" w:cs="Arial"/>
                <w:sz w:val="21"/>
                <w:szCs w:val="21"/>
              </w:rPr>
            </w:pPr>
          </w:p>
        </w:tc>
      </w:tr>
      <w:tr w:rsidR="00DD2575" w14:paraId="77AE68B8" w14:textId="77777777" w:rsidTr="00DD2575">
        <w:tc>
          <w:tcPr>
            <w:tcW w:w="4644" w:type="dxa"/>
          </w:tcPr>
          <w:p w14:paraId="31541F32" w14:textId="1A3FB5C8" w:rsidR="00DD2575" w:rsidRDefault="00DD2575">
            <w:pPr>
              <w:rPr>
                <w:rFonts w:ascii="Verdana" w:hAnsi="Verdana" w:cs="Arial"/>
                <w:sz w:val="21"/>
                <w:szCs w:val="21"/>
              </w:rPr>
            </w:pPr>
            <w:r>
              <w:rPr>
                <w:rFonts w:ascii="Verdana" w:hAnsi="Verdana" w:cs="Arial"/>
                <w:sz w:val="21"/>
                <w:szCs w:val="21"/>
              </w:rPr>
              <w:t>TOTAL</w:t>
            </w:r>
          </w:p>
        </w:tc>
        <w:tc>
          <w:tcPr>
            <w:tcW w:w="2014" w:type="dxa"/>
          </w:tcPr>
          <w:p w14:paraId="033D98E9" w14:textId="37ABC3EF" w:rsidR="00DD2575" w:rsidRPr="00DD2575" w:rsidRDefault="00DD2575" w:rsidP="00DD2575">
            <w:pPr>
              <w:jc w:val="center"/>
              <w:rPr>
                <w:rFonts w:ascii="Verdana" w:hAnsi="Verdana" w:cs="Arial"/>
                <w:sz w:val="21"/>
                <w:szCs w:val="21"/>
                <w:u w:val="double"/>
              </w:rPr>
            </w:pPr>
            <w:r>
              <w:rPr>
                <w:rFonts w:ascii="Verdana" w:hAnsi="Verdana" w:cs="Arial"/>
                <w:sz w:val="21"/>
                <w:szCs w:val="21"/>
              </w:rPr>
              <w:t xml:space="preserve">            </w:t>
            </w:r>
            <w:r w:rsidRPr="00DD2575">
              <w:rPr>
                <w:rFonts w:ascii="Verdana" w:hAnsi="Verdana" w:cs="Arial"/>
                <w:sz w:val="21"/>
                <w:szCs w:val="21"/>
                <w:u w:val="double"/>
              </w:rPr>
              <w:t>185,611</w:t>
            </w:r>
          </w:p>
        </w:tc>
        <w:tc>
          <w:tcPr>
            <w:tcW w:w="1836" w:type="dxa"/>
          </w:tcPr>
          <w:p w14:paraId="6D1FCAA7" w14:textId="7EC33644" w:rsidR="00DD2575" w:rsidRPr="00DD2575" w:rsidRDefault="00DD2575" w:rsidP="00DD2575">
            <w:pPr>
              <w:rPr>
                <w:rFonts w:ascii="Verdana" w:hAnsi="Verdana" w:cs="Arial"/>
                <w:sz w:val="21"/>
                <w:szCs w:val="21"/>
                <w:u w:val="double"/>
              </w:rPr>
            </w:pPr>
            <w:r>
              <w:rPr>
                <w:rFonts w:ascii="Verdana" w:hAnsi="Verdana" w:cs="Arial"/>
                <w:sz w:val="21"/>
                <w:szCs w:val="21"/>
              </w:rPr>
              <w:t xml:space="preserve">          </w:t>
            </w:r>
            <w:r w:rsidRPr="00DD2575">
              <w:rPr>
                <w:rFonts w:ascii="Verdana" w:hAnsi="Verdana" w:cs="Arial"/>
                <w:sz w:val="21"/>
                <w:szCs w:val="21"/>
                <w:u w:val="double"/>
              </w:rPr>
              <w:t>249,153</w:t>
            </w:r>
          </w:p>
        </w:tc>
      </w:tr>
      <w:tr w:rsidR="00336509" w14:paraId="01F63CEB" w14:textId="77777777" w:rsidTr="007C6CE0">
        <w:tc>
          <w:tcPr>
            <w:tcW w:w="4644" w:type="dxa"/>
          </w:tcPr>
          <w:p w14:paraId="7EC05E4E" w14:textId="2D3B9BB5" w:rsidR="00336509" w:rsidRDefault="00336509">
            <w:pPr>
              <w:rPr>
                <w:rFonts w:ascii="Verdana" w:hAnsi="Verdana" w:cs="Arial"/>
                <w:sz w:val="21"/>
                <w:szCs w:val="21"/>
              </w:rPr>
            </w:pPr>
          </w:p>
        </w:tc>
        <w:tc>
          <w:tcPr>
            <w:tcW w:w="2014" w:type="dxa"/>
          </w:tcPr>
          <w:p w14:paraId="4B330C16" w14:textId="77777777" w:rsidR="00336509" w:rsidRDefault="00336509">
            <w:pPr>
              <w:jc w:val="right"/>
              <w:rPr>
                <w:rFonts w:ascii="Verdana" w:hAnsi="Verdana" w:cs="Arial"/>
                <w:sz w:val="21"/>
                <w:szCs w:val="21"/>
                <w:u w:val="single"/>
              </w:rPr>
            </w:pPr>
          </w:p>
        </w:tc>
        <w:tc>
          <w:tcPr>
            <w:tcW w:w="1836" w:type="dxa"/>
          </w:tcPr>
          <w:p w14:paraId="06082814" w14:textId="416A7C9E" w:rsidR="00336509" w:rsidRDefault="00336509">
            <w:pPr>
              <w:jc w:val="right"/>
              <w:rPr>
                <w:rFonts w:ascii="Verdana" w:hAnsi="Verdana" w:cs="Arial"/>
                <w:sz w:val="21"/>
                <w:szCs w:val="21"/>
                <w:u w:val="double"/>
              </w:rPr>
            </w:pPr>
          </w:p>
        </w:tc>
      </w:tr>
    </w:tbl>
    <w:p w14:paraId="5E8BC751" w14:textId="77777777" w:rsidR="007C6CE0" w:rsidRDefault="007C6CE0" w:rsidP="00336509">
      <w:pPr>
        <w:rPr>
          <w:rFonts w:ascii="Verdana" w:hAnsi="Verdana" w:cs="Arial"/>
          <w:sz w:val="18"/>
          <w:szCs w:val="18"/>
        </w:rPr>
      </w:pPr>
    </w:p>
    <w:p w14:paraId="336A4E14" w14:textId="25E64954" w:rsidR="007C6CE0" w:rsidRPr="00D6774B" w:rsidRDefault="00D6774B" w:rsidP="007C6CE0">
      <w:pPr>
        <w:rPr>
          <w:rFonts w:ascii="Verdana" w:hAnsi="Verdana" w:cs="Arial"/>
          <w:sz w:val="21"/>
          <w:szCs w:val="21"/>
        </w:rPr>
      </w:pPr>
      <w:r w:rsidRPr="00D6774B">
        <w:rPr>
          <w:rFonts w:ascii="Verdana" w:hAnsi="Verdana" w:cs="Arial"/>
          <w:sz w:val="21"/>
          <w:szCs w:val="21"/>
        </w:rPr>
        <w:lastRenderedPageBreak/>
        <w:t>Vencimientos:</w:t>
      </w:r>
    </w:p>
    <w:p w14:paraId="46B2CBF2" w14:textId="7AB7179C" w:rsidR="00D6774B" w:rsidRPr="00D6774B" w:rsidRDefault="00D6774B" w:rsidP="007C6CE0">
      <w:pPr>
        <w:rPr>
          <w:rFonts w:ascii="Verdana" w:hAnsi="Verdana" w:cs="Arial"/>
          <w:sz w:val="21"/>
          <w:szCs w:val="21"/>
        </w:rPr>
      </w:pPr>
      <w:r>
        <w:rPr>
          <w:rFonts w:ascii="Verdana" w:hAnsi="Verdana" w:cs="Arial"/>
          <w:sz w:val="21"/>
          <w:szCs w:val="21"/>
        </w:rPr>
        <w:t>…Corto plazo</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proofErr w:type="gramStart"/>
      <w:r>
        <w:rPr>
          <w:rFonts w:ascii="Verdana" w:hAnsi="Verdana" w:cs="Arial"/>
          <w:sz w:val="21"/>
          <w:szCs w:val="21"/>
        </w:rPr>
        <w:tab/>
        <w:t xml:space="preserve">  75,156</w:t>
      </w:r>
      <w:proofErr w:type="gramEnd"/>
      <w:r>
        <w:rPr>
          <w:rFonts w:ascii="Verdana" w:hAnsi="Verdana" w:cs="Arial"/>
          <w:sz w:val="21"/>
          <w:szCs w:val="21"/>
        </w:rPr>
        <w:tab/>
        <w:t>124,576</w:t>
      </w:r>
    </w:p>
    <w:p w14:paraId="3B2B6555" w14:textId="769FF171" w:rsidR="00D6774B" w:rsidRDefault="00D6774B" w:rsidP="007C6CE0">
      <w:pPr>
        <w:rPr>
          <w:rFonts w:ascii="Verdana" w:hAnsi="Verdana" w:cs="Arial"/>
          <w:sz w:val="21"/>
          <w:szCs w:val="21"/>
        </w:rPr>
      </w:pPr>
      <w:r>
        <w:rPr>
          <w:rFonts w:ascii="Verdana" w:hAnsi="Verdana" w:cs="Arial"/>
          <w:sz w:val="21"/>
          <w:szCs w:val="21"/>
        </w:rPr>
        <w:t>…Largo plazo</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Pr="00D6774B">
        <w:rPr>
          <w:rFonts w:ascii="Verdana" w:hAnsi="Verdana" w:cs="Arial"/>
          <w:sz w:val="21"/>
          <w:szCs w:val="21"/>
          <w:u w:val="single"/>
        </w:rPr>
        <w:t>110,455</w:t>
      </w:r>
      <w:r w:rsidRPr="00D6774B">
        <w:rPr>
          <w:rFonts w:ascii="Verdana" w:hAnsi="Verdana" w:cs="Arial"/>
          <w:sz w:val="21"/>
          <w:szCs w:val="21"/>
        </w:rPr>
        <w:tab/>
      </w:r>
      <w:r>
        <w:rPr>
          <w:rFonts w:ascii="Verdana" w:hAnsi="Verdana" w:cs="Arial"/>
          <w:sz w:val="21"/>
          <w:szCs w:val="21"/>
          <w:u w:val="single"/>
        </w:rPr>
        <w:t>124,577</w:t>
      </w:r>
    </w:p>
    <w:p w14:paraId="44BABCF4" w14:textId="54471C2B" w:rsidR="00D6774B" w:rsidRDefault="00D6774B" w:rsidP="007C6CE0">
      <w:pPr>
        <w:rPr>
          <w:rFonts w:ascii="Verdana" w:hAnsi="Verdana" w:cs="Arial"/>
          <w:sz w:val="21"/>
          <w:szCs w:val="21"/>
        </w:rPr>
      </w:pPr>
    </w:p>
    <w:p w14:paraId="471075F6" w14:textId="088453D6" w:rsidR="00D6774B" w:rsidRDefault="00D6774B" w:rsidP="007C6CE0">
      <w:pPr>
        <w:rPr>
          <w:rFonts w:ascii="Verdana" w:hAnsi="Verdana" w:cs="Arial"/>
          <w:sz w:val="21"/>
          <w:szCs w:val="21"/>
        </w:rPr>
      </w:pPr>
      <w:r>
        <w:rPr>
          <w:rFonts w:ascii="Verdana" w:hAnsi="Verdana" w:cs="Arial"/>
          <w:sz w:val="21"/>
          <w:szCs w:val="21"/>
        </w:rPr>
        <w:t>TOTAL</w:t>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Pr>
          <w:rFonts w:ascii="Verdana" w:hAnsi="Verdana" w:cs="Arial"/>
          <w:sz w:val="21"/>
          <w:szCs w:val="21"/>
        </w:rPr>
        <w:tab/>
      </w:r>
      <w:r w:rsidRPr="00D6774B">
        <w:rPr>
          <w:rFonts w:ascii="Verdana" w:hAnsi="Verdana" w:cs="Arial"/>
          <w:sz w:val="21"/>
          <w:szCs w:val="21"/>
          <w:u w:val="double"/>
        </w:rPr>
        <w:t>185,611</w:t>
      </w:r>
      <w:r w:rsidRPr="00D6774B">
        <w:rPr>
          <w:rFonts w:ascii="Verdana" w:hAnsi="Verdana" w:cs="Arial"/>
          <w:sz w:val="21"/>
          <w:szCs w:val="21"/>
        </w:rPr>
        <w:tab/>
      </w:r>
      <w:r>
        <w:rPr>
          <w:rFonts w:ascii="Verdana" w:hAnsi="Verdana" w:cs="Arial"/>
          <w:sz w:val="21"/>
          <w:szCs w:val="21"/>
          <w:u w:val="double"/>
        </w:rPr>
        <w:t>249,153</w:t>
      </w:r>
    </w:p>
    <w:p w14:paraId="1B7E30B6" w14:textId="77777777" w:rsidR="00D6774B" w:rsidRPr="00D6774B" w:rsidRDefault="00D6774B" w:rsidP="007C6CE0">
      <w:pPr>
        <w:rPr>
          <w:rFonts w:ascii="Verdana" w:hAnsi="Verdana" w:cs="Arial"/>
          <w:sz w:val="21"/>
          <w:szCs w:val="21"/>
        </w:rPr>
      </w:pPr>
    </w:p>
    <w:p w14:paraId="10423554" w14:textId="77777777" w:rsidR="007C6CE0" w:rsidRDefault="007C6CE0" w:rsidP="009F2826">
      <w:pPr>
        <w:pStyle w:val="BodyText22"/>
        <w:widowControl/>
        <w:tabs>
          <w:tab w:val="clear" w:pos="7655"/>
          <w:tab w:val="left" w:pos="851"/>
          <w:tab w:val="left" w:pos="6305"/>
          <w:tab w:val="right" w:pos="7513"/>
          <w:tab w:val="right" w:pos="7560"/>
          <w:tab w:val="left" w:pos="7740"/>
          <w:tab w:val="right" w:pos="8930"/>
          <w:tab w:val="right" w:pos="8987"/>
        </w:tabs>
        <w:ind w:left="0" w:right="140"/>
        <w:rPr>
          <w:rFonts w:ascii="Verdana" w:hAnsi="Verdana" w:cs="Arial"/>
          <w:bCs/>
          <w:sz w:val="21"/>
          <w:szCs w:val="21"/>
        </w:rPr>
      </w:pPr>
      <w:r w:rsidRPr="00D6774B">
        <w:rPr>
          <w:rFonts w:ascii="Verdana" w:hAnsi="Verdana" w:cs="Arial"/>
          <w:bCs/>
          <w:sz w:val="21"/>
          <w:szCs w:val="21"/>
        </w:rPr>
        <w:t xml:space="preserve">Las deudas con Accionista y parte relacionada se originan en la provisión de </w:t>
      </w:r>
      <w:r>
        <w:rPr>
          <w:rFonts w:ascii="Verdana" w:hAnsi="Verdana" w:cs="Arial"/>
          <w:bCs/>
          <w:sz w:val="21"/>
          <w:szCs w:val="21"/>
        </w:rPr>
        <w:t>fondos para capital de trabajo, se encuentran amparadas en pagarés firmados por la Compañía a favor de éstas y no generan intereses por financiamiento.</w:t>
      </w:r>
    </w:p>
    <w:p w14:paraId="638BCCFF" w14:textId="77777777" w:rsidR="007C6CE0" w:rsidRDefault="007C6CE0" w:rsidP="007C6CE0">
      <w:pPr>
        <w:rPr>
          <w:rFonts w:ascii="Verdana" w:hAnsi="Verdana" w:cs="Arial"/>
          <w:sz w:val="18"/>
          <w:szCs w:val="18"/>
          <w:lang w:val="es-ES_tradnl"/>
        </w:rPr>
      </w:pPr>
    </w:p>
    <w:tbl>
      <w:tblPr>
        <w:tblStyle w:val="Tablaconcuadrcula"/>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275"/>
        <w:gridCol w:w="1560"/>
      </w:tblGrid>
      <w:tr w:rsidR="007C6CE0" w14:paraId="6D50DEB3" w14:textId="77777777" w:rsidTr="00FF23E6">
        <w:tc>
          <w:tcPr>
            <w:tcW w:w="5637" w:type="dxa"/>
          </w:tcPr>
          <w:p w14:paraId="05443FF6" w14:textId="77777777" w:rsidR="007C6CE0" w:rsidRDefault="007C6CE0">
            <w:pPr>
              <w:rPr>
                <w:rFonts w:ascii="Verdana" w:hAnsi="Verdana" w:cs="Arial"/>
                <w:sz w:val="21"/>
                <w:szCs w:val="21"/>
              </w:rPr>
            </w:pPr>
          </w:p>
        </w:tc>
        <w:tc>
          <w:tcPr>
            <w:tcW w:w="1275" w:type="dxa"/>
            <w:hideMark/>
          </w:tcPr>
          <w:p w14:paraId="2656745F" w14:textId="77777777" w:rsidR="007C6CE0" w:rsidRDefault="007C6CE0">
            <w:pPr>
              <w:jc w:val="right"/>
              <w:rPr>
                <w:rFonts w:ascii="Verdana" w:hAnsi="Verdana" w:cs="Arial"/>
                <w:sz w:val="21"/>
                <w:szCs w:val="21"/>
                <w:u w:val="single"/>
              </w:rPr>
            </w:pPr>
            <w:r>
              <w:rPr>
                <w:rFonts w:ascii="Verdana" w:hAnsi="Verdana" w:cs="Arial"/>
                <w:sz w:val="21"/>
                <w:szCs w:val="21"/>
                <w:u w:val="single"/>
              </w:rPr>
              <w:t>2021</w:t>
            </w:r>
          </w:p>
        </w:tc>
        <w:tc>
          <w:tcPr>
            <w:tcW w:w="1560" w:type="dxa"/>
            <w:hideMark/>
          </w:tcPr>
          <w:p w14:paraId="5DBB163C" w14:textId="77777777" w:rsidR="007C6CE0" w:rsidRDefault="007C6CE0">
            <w:pPr>
              <w:jc w:val="right"/>
              <w:rPr>
                <w:rFonts w:ascii="Verdana" w:hAnsi="Verdana" w:cs="Arial"/>
                <w:sz w:val="21"/>
                <w:szCs w:val="21"/>
                <w:u w:val="single"/>
              </w:rPr>
            </w:pPr>
            <w:r>
              <w:rPr>
                <w:rFonts w:ascii="Verdana" w:hAnsi="Verdana" w:cs="Arial"/>
                <w:sz w:val="21"/>
                <w:szCs w:val="21"/>
                <w:u w:val="single"/>
              </w:rPr>
              <w:t>2020</w:t>
            </w:r>
          </w:p>
        </w:tc>
      </w:tr>
      <w:tr w:rsidR="007C6CE0" w14:paraId="43738350" w14:textId="77777777" w:rsidTr="00FF23E6">
        <w:tc>
          <w:tcPr>
            <w:tcW w:w="5637" w:type="dxa"/>
          </w:tcPr>
          <w:p w14:paraId="527C703D" w14:textId="77777777" w:rsidR="007C6CE0" w:rsidRDefault="007C6CE0">
            <w:pPr>
              <w:rPr>
                <w:rFonts w:ascii="Verdana" w:hAnsi="Verdana" w:cs="Arial"/>
                <w:sz w:val="21"/>
                <w:szCs w:val="21"/>
              </w:rPr>
            </w:pPr>
          </w:p>
        </w:tc>
        <w:tc>
          <w:tcPr>
            <w:tcW w:w="1275" w:type="dxa"/>
          </w:tcPr>
          <w:p w14:paraId="0AEAADB4" w14:textId="77777777" w:rsidR="007C6CE0" w:rsidRDefault="007C6CE0">
            <w:pPr>
              <w:jc w:val="right"/>
              <w:rPr>
                <w:rFonts w:ascii="Verdana" w:hAnsi="Verdana" w:cs="Arial"/>
                <w:sz w:val="21"/>
                <w:szCs w:val="21"/>
              </w:rPr>
            </w:pPr>
          </w:p>
        </w:tc>
        <w:tc>
          <w:tcPr>
            <w:tcW w:w="1560" w:type="dxa"/>
          </w:tcPr>
          <w:p w14:paraId="68168830" w14:textId="77777777" w:rsidR="007C6CE0" w:rsidRDefault="007C6CE0">
            <w:pPr>
              <w:jc w:val="right"/>
              <w:rPr>
                <w:rFonts w:ascii="Verdana" w:hAnsi="Verdana" w:cs="Arial"/>
                <w:sz w:val="21"/>
                <w:szCs w:val="21"/>
              </w:rPr>
            </w:pPr>
          </w:p>
        </w:tc>
      </w:tr>
      <w:tr w:rsidR="007C6CE0" w14:paraId="63CB05A0" w14:textId="77777777" w:rsidTr="00FF23E6">
        <w:tc>
          <w:tcPr>
            <w:tcW w:w="5637" w:type="dxa"/>
            <w:hideMark/>
          </w:tcPr>
          <w:p w14:paraId="418160CA" w14:textId="77777777" w:rsidR="007C6CE0" w:rsidRPr="007C6CE0" w:rsidRDefault="00662332">
            <w:pPr>
              <w:rPr>
                <w:rFonts w:ascii="Verdana" w:hAnsi="Verdana" w:cs="Arial"/>
                <w:sz w:val="21"/>
                <w:szCs w:val="21"/>
                <w:u w:val="single"/>
              </w:rPr>
            </w:pPr>
            <w:r>
              <w:rPr>
                <w:rFonts w:ascii="Verdana" w:hAnsi="Verdana" w:cs="Arial"/>
                <w:sz w:val="21"/>
                <w:szCs w:val="21"/>
                <w:u w:val="single"/>
              </w:rPr>
              <w:t>Transacciones</w:t>
            </w:r>
            <w:r w:rsidR="007C6CE0">
              <w:rPr>
                <w:rFonts w:ascii="Verdana" w:hAnsi="Verdana" w:cs="Arial"/>
                <w:sz w:val="21"/>
                <w:szCs w:val="21"/>
                <w:u w:val="single"/>
              </w:rPr>
              <w:t xml:space="preserve"> con efecto en gastos operaci</w:t>
            </w:r>
            <w:r>
              <w:rPr>
                <w:rFonts w:ascii="Verdana" w:hAnsi="Verdana" w:cs="Arial"/>
                <w:sz w:val="21"/>
                <w:szCs w:val="21"/>
                <w:u w:val="single"/>
              </w:rPr>
              <w:t>onales:</w:t>
            </w:r>
          </w:p>
        </w:tc>
        <w:tc>
          <w:tcPr>
            <w:tcW w:w="1275" w:type="dxa"/>
          </w:tcPr>
          <w:p w14:paraId="1B6AFF39" w14:textId="77777777" w:rsidR="007C6CE0" w:rsidRDefault="007C6CE0">
            <w:pPr>
              <w:jc w:val="right"/>
              <w:rPr>
                <w:rFonts w:ascii="Verdana" w:hAnsi="Verdana" w:cs="Arial"/>
                <w:sz w:val="21"/>
                <w:szCs w:val="21"/>
              </w:rPr>
            </w:pPr>
          </w:p>
        </w:tc>
        <w:tc>
          <w:tcPr>
            <w:tcW w:w="1560" w:type="dxa"/>
            <w:hideMark/>
          </w:tcPr>
          <w:p w14:paraId="72CDFF60" w14:textId="77777777" w:rsidR="007C6CE0" w:rsidRDefault="007C6CE0">
            <w:pPr>
              <w:jc w:val="right"/>
              <w:rPr>
                <w:rFonts w:ascii="Verdana" w:hAnsi="Verdana" w:cs="Arial"/>
                <w:sz w:val="21"/>
                <w:szCs w:val="21"/>
              </w:rPr>
            </w:pPr>
          </w:p>
        </w:tc>
      </w:tr>
      <w:tr w:rsidR="00FF23E6" w14:paraId="426972B8" w14:textId="77777777" w:rsidTr="00FF23E6">
        <w:tc>
          <w:tcPr>
            <w:tcW w:w="5637" w:type="dxa"/>
          </w:tcPr>
          <w:p w14:paraId="78EEB3F5" w14:textId="1586CFB0" w:rsidR="00FF23E6" w:rsidRDefault="00FF23E6">
            <w:pPr>
              <w:rPr>
                <w:rFonts w:ascii="Verdana" w:hAnsi="Verdana" w:cs="Arial"/>
                <w:sz w:val="21"/>
                <w:szCs w:val="21"/>
              </w:rPr>
            </w:pPr>
            <w:r>
              <w:rPr>
                <w:rFonts w:ascii="Verdana" w:hAnsi="Verdana" w:cs="Arial"/>
                <w:sz w:val="21"/>
                <w:szCs w:val="21"/>
              </w:rPr>
              <w:t>Arriendo de bodega</w:t>
            </w:r>
          </w:p>
        </w:tc>
        <w:tc>
          <w:tcPr>
            <w:tcW w:w="1275" w:type="dxa"/>
          </w:tcPr>
          <w:p w14:paraId="787AB3A3" w14:textId="77777777" w:rsidR="00FF23E6" w:rsidRDefault="00FF23E6">
            <w:pPr>
              <w:jc w:val="right"/>
              <w:rPr>
                <w:rFonts w:ascii="Verdana" w:hAnsi="Verdana" w:cs="Arial"/>
                <w:sz w:val="21"/>
                <w:szCs w:val="21"/>
              </w:rPr>
            </w:pPr>
          </w:p>
        </w:tc>
        <w:tc>
          <w:tcPr>
            <w:tcW w:w="1560" w:type="dxa"/>
          </w:tcPr>
          <w:p w14:paraId="164A7B50" w14:textId="0E6FB67B" w:rsidR="00FF23E6" w:rsidRDefault="00FF23E6">
            <w:pPr>
              <w:jc w:val="right"/>
              <w:rPr>
                <w:rFonts w:ascii="Verdana" w:hAnsi="Verdana" w:cs="Arial"/>
                <w:sz w:val="21"/>
                <w:szCs w:val="21"/>
              </w:rPr>
            </w:pPr>
            <w:r>
              <w:rPr>
                <w:rFonts w:ascii="Verdana" w:hAnsi="Verdana" w:cs="Arial"/>
                <w:sz w:val="21"/>
                <w:szCs w:val="21"/>
              </w:rPr>
              <w:t>12,652</w:t>
            </w:r>
          </w:p>
        </w:tc>
      </w:tr>
      <w:tr w:rsidR="00FF23E6" w14:paraId="6876DDCC" w14:textId="77777777" w:rsidTr="00FF23E6">
        <w:tc>
          <w:tcPr>
            <w:tcW w:w="5637" w:type="dxa"/>
          </w:tcPr>
          <w:p w14:paraId="6CA766C1" w14:textId="6FF31AB4" w:rsidR="00FF23E6" w:rsidRDefault="00FF23E6">
            <w:pPr>
              <w:rPr>
                <w:rFonts w:ascii="Verdana" w:hAnsi="Verdana" w:cs="Arial"/>
                <w:sz w:val="21"/>
                <w:szCs w:val="21"/>
              </w:rPr>
            </w:pPr>
            <w:r>
              <w:rPr>
                <w:rFonts w:ascii="Verdana" w:hAnsi="Verdana" w:cs="Arial"/>
                <w:sz w:val="21"/>
                <w:szCs w:val="21"/>
              </w:rPr>
              <w:t>Ventas de servicios</w:t>
            </w:r>
          </w:p>
        </w:tc>
        <w:tc>
          <w:tcPr>
            <w:tcW w:w="1275" w:type="dxa"/>
          </w:tcPr>
          <w:p w14:paraId="6D1DE436" w14:textId="77777777" w:rsidR="00FF23E6" w:rsidRDefault="00FF23E6">
            <w:pPr>
              <w:jc w:val="right"/>
              <w:rPr>
                <w:rFonts w:ascii="Verdana" w:hAnsi="Verdana" w:cs="Arial"/>
                <w:sz w:val="21"/>
                <w:szCs w:val="21"/>
              </w:rPr>
            </w:pPr>
          </w:p>
        </w:tc>
        <w:tc>
          <w:tcPr>
            <w:tcW w:w="1560" w:type="dxa"/>
          </w:tcPr>
          <w:p w14:paraId="2EC8CD40" w14:textId="230EE091"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13,000</w:t>
            </w:r>
          </w:p>
        </w:tc>
      </w:tr>
      <w:tr w:rsidR="00FF23E6" w14:paraId="2FE1814A" w14:textId="77777777" w:rsidTr="00FF23E6">
        <w:tc>
          <w:tcPr>
            <w:tcW w:w="5637" w:type="dxa"/>
          </w:tcPr>
          <w:p w14:paraId="43094DDD" w14:textId="452826DD" w:rsidR="00FF23E6" w:rsidRDefault="00FF23E6">
            <w:pPr>
              <w:rPr>
                <w:rFonts w:ascii="Verdana" w:hAnsi="Verdana" w:cs="Arial"/>
                <w:sz w:val="21"/>
                <w:szCs w:val="21"/>
              </w:rPr>
            </w:pPr>
            <w:r>
              <w:rPr>
                <w:rFonts w:ascii="Verdana" w:hAnsi="Verdana" w:cs="Arial"/>
                <w:sz w:val="21"/>
                <w:szCs w:val="21"/>
              </w:rPr>
              <w:t>Subtotal</w:t>
            </w:r>
          </w:p>
        </w:tc>
        <w:tc>
          <w:tcPr>
            <w:tcW w:w="1275" w:type="dxa"/>
          </w:tcPr>
          <w:p w14:paraId="56FCFD43" w14:textId="77777777" w:rsidR="00FF23E6" w:rsidRDefault="00FF23E6">
            <w:pPr>
              <w:jc w:val="right"/>
              <w:rPr>
                <w:rFonts w:ascii="Verdana" w:hAnsi="Verdana" w:cs="Arial"/>
                <w:sz w:val="21"/>
                <w:szCs w:val="21"/>
              </w:rPr>
            </w:pPr>
          </w:p>
        </w:tc>
        <w:tc>
          <w:tcPr>
            <w:tcW w:w="1560" w:type="dxa"/>
          </w:tcPr>
          <w:p w14:paraId="428CD559" w14:textId="75ACA176" w:rsidR="00FF23E6" w:rsidRDefault="00FF23E6">
            <w:pPr>
              <w:jc w:val="right"/>
              <w:rPr>
                <w:rFonts w:ascii="Verdana" w:hAnsi="Verdana" w:cs="Arial"/>
                <w:sz w:val="21"/>
                <w:szCs w:val="21"/>
              </w:rPr>
            </w:pPr>
            <w:r>
              <w:rPr>
                <w:rFonts w:ascii="Verdana" w:hAnsi="Verdana" w:cs="Arial"/>
                <w:sz w:val="21"/>
                <w:szCs w:val="21"/>
              </w:rPr>
              <w:t>25,652</w:t>
            </w:r>
          </w:p>
        </w:tc>
      </w:tr>
      <w:tr w:rsidR="00FF23E6" w14:paraId="46A81027" w14:textId="77777777" w:rsidTr="00FF23E6">
        <w:tc>
          <w:tcPr>
            <w:tcW w:w="5637" w:type="dxa"/>
          </w:tcPr>
          <w:p w14:paraId="4219CB47" w14:textId="77777777" w:rsidR="00FF23E6" w:rsidRDefault="00FF23E6">
            <w:pPr>
              <w:rPr>
                <w:rFonts w:ascii="Verdana" w:hAnsi="Verdana" w:cs="Arial"/>
                <w:sz w:val="21"/>
                <w:szCs w:val="21"/>
              </w:rPr>
            </w:pPr>
          </w:p>
        </w:tc>
        <w:tc>
          <w:tcPr>
            <w:tcW w:w="1275" w:type="dxa"/>
          </w:tcPr>
          <w:p w14:paraId="72982EEB" w14:textId="77777777" w:rsidR="00FF23E6" w:rsidRDefault="00FF23E6">
            <w:pPr>
              <w:jc w:val="right"/>
              <w:rPr>
                <w:rFonts w:ascii="Verdana" w:hAnsi="Verdana" w:cs="Arial"/>
                <w:sz w:val="21"/>
                <w:szCs w:val="21"/>
              </w:rPr>
            </w:pPr>
          </w:p>
        </w:tc>
        <w:tc>
          <w:tcPr>
            <w:tcW w:w="1560" w:type="dxa"/>
          </w:tcPr>
          <w:p w14:paraId="534CDC30" w14:textId="77777777" w:rsidR="00FF23E6" w:rsidRDefault="00FF23E6">
            <w:pPr>
              <w:jc w:val="right"/>
              <w:rPr>
                <w:rFonts w:ascii="Verdana" w:hAnsi="Verdana" w:cs="Arial"/>
                <w:sz w:val="21"/>
                <w:szCs w:val="21"/>
              </w:rPr>
            </w:pPr>
          </w:p>
        </w:tc>
      </w:tr>
      <w:tr w:rsidR="00FF23E6" w14:paraId="55F4AFA5" w14:textId="77777777" w:rsidTr="00FF23E6">
        <w:tc>
          <w:tcPr>
            <w:tcW w:w="5637" w:type="dxa"/>
          </w:tcPr>
          <w:p w14:paraId="04001559" w14:textId="18A823BC" w:rsidR="00FF23E6" w:rsidRPr="00FF23E6" w:rsidRDefault="00FF23E6">
            <w:pPr>
              <w:rPr>
                <w:rFonts w:ascii="Verdana" w:hAnsi="Verdana" w:cs="Arial"/>
                <w:sz w:val="21"/>
                <w:szCs w:val="21"/>
                <w:u w:val="single"/>
              </w:rPr>
            </w:pPr>
            <w:r w:rsidRPr="00FF23E6">
              <w:rPr>
                <w:rFonts w:ascii="Verdana" w:hAnsi="Verdana" w:cs="Arial"/>
                <w:sz w:val="21"/>
                <w:szCs w:val="21"/>
                <w:u w:val="single"/>
              </w:rPr>
              <w:t>Otras transacciones:</w:t>
            </w:r>
          </w:p>
        </w:tc>
        <w:tc>
          <w:tcPr>
            <w:tcW w:w="1275" w:type="dxa"/>
          </w:tcPr>
          <w:p w14:paraId="123F9DA0" w14:textId="77777777" w:rsidR="00FF23E6" w:rsidRDefault="00FF23E6">
            <w:pPr>
              <w:jc w:val="right"/>
              <w:rPr>
                <w:rFonts w:ascii="Verdana" w:hAnsi="Verdana" w:cs="Arial"/>
                <w:sz w:val="21"/>
                <w:szCs w:val="21"/>
              </w:rPr>
            </w:pPr>
          </w:p>
        </w:tc>
        <w:tc>
          <w:tcPr>
            <w:tcW w:w="1560" w:type="dxa"/>
          </w:tcPr>
          <w:p w14:paraId="2D8EAFA2" w14:textId="77777777" w:rsidR="00FF23E6" w:rsidRDefault="00FF23E6">
            <w:pPr>
              <w:jc w:val="right"/>
              <w:rPr>
                <w:rFonts w:ascii="Verdana" w:hAnsi="Verdana" w:cs="Arial"/>
                <w:sz w:val="21"/>
                <w:szCs w:val="21"/>
              </w:rPr>
            </w:pPr>
          </w:p>
        </w:tc>
      </w:tr>
      <w:tr w:rsidR="00FF23E6" w14:paraId="372EC982" w14:textId="77777777" w:rsidTr="00FF23E6">
        <w:tc>
          <w:tcPr>
            <w:tcW w:w="5637" w:type="dxa"/>
          </w:tcPr>
          <w:p w14:paraId="245E2C42" w14:textId="2C2DAA25" w:rsidR="00FF23E6" w:rsidRDefault="00FF23E6">
            <w:pPr>
              <w:rPr>
                <w:rFonts w:ascii="Verdana" w:hAnsi="Verdana" w:cs="Arial"/>
                <w:sz w:val="21"/>
                <w:szCs w:val="21"/>
              </w:rPr>
            </w:pPr>
            <w:r>
              <w:rPr>
                <w:rFonts w:ascii="Verdana" w:hAnsi="Verdana" w:cs="Arial"/>
                <w:sz w:val="21"/>
                <w:szCs w:val="21"/>
              </w:rPr>
              <w:t>Préstamos recibidos</w:t>
            </w:r>
          </w:p>
        </w:tc>
        <w:tc>
          <w:tcPr>
            <w:tcW w:w="1275" w:type="dxa"/>
          </w:tcPr>
          <w:p w14:paraId="4BD4A642" w14:textId="074353DE" w:rsidR="00FF23E6" w:rsidRDefault="00D6774B">
            <w:pPr>
              <w:jc w:val="right"/>
              <w:rPr>
                <w:rFonts w:ascii="Verdana" w:hAnsi="Verdana" w:cs="Arial"/>
                <w:sz w:val="21"/>
                <w:szCs w:val="21"/>
              </w:rPr>
            </w:pPr>
            <w:r>
              <w:rPr>
                <w:rFonts w:ascii="Verdana" w:hAnsi="Verdana" w:cs="Arial"/>
                <w:sz w:val="21"/>
                <w:szCs w:val="21"/>
              </w:rPr>
              <w:t>0</w:t>
            </w:r>
          </w:p>
        </w:tc>
        <w:tc>
          <w:tcPr>
            <w:tcW w:w="1560"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14:paraId="56842951" w14:textId="77777777" w:rsidTr="00FF23E6">
        <w:tc>
          <w:tcPr>
            <w:tcW w:w="5637" w:type="dxa"/>
          </w:tcPr>
          <w:p w14:paraId="4D976665" w14:textId="49E432CE" w:rsidR="00FF23E6" w:rsidRDefault="00FF23E6">
            <w:pPr>
              <w:rPr>
                <w:rFonts w:ascii="Verdana" w:hAnsi="Verdana" w:cs="Arial"/>
                <w:sz w:val="21"/>
                <w:szCs w:val="21"/>
              </w:rPr>
            </w:pPr>
            <w:r>
              <w:rPr>
                <w:rFonts w:ascii="Verdana" w:hAnsi="Verdana" w:cs="Arial"/>
                <w:sz w:val="21"/>
                <w:szCs w:val="21"/>
              </w:rPr>
              <w:t>Pagos de préstamos a largo plazo</w:t>
            </w:r>
          </w:p>
        </w:tc>
        <w:tc>
          <w:tcPr>
            <w:tcW w:w="1275" w:type="dxa"/>
          </w:tcPr>
          <w:p w14:paraId="44401878" w14:textId="4086A2F2" w:rsidR="00FF23E6" w:rsidRDefault="00D6774B">
            <w:pPr>
              <w:jc w:val="right"/>
              <w:rPr>
                <w:rFonts w:ascii="Verdana" w:hAnsi="Verdana" w:cs="Arial"/>
                <w:sz w:val="21"/>
                <w:szCs w:val="21"/>
              </w:rPr>
            </w:pPr>
            <w:r>
              <w:rPr>
                <w:rFonts w:ascii="Verdana" w:hAnsi="Verdana" w:cs="Arial"/>
                <w:sz w:val="21"/>
                <w:szCs w:val="21"/>
              </w:rPr>
              <w:t>63,542</w:t>
            </w:r>
          </w:p>
        </w:tc>
        <w:tc>
          <w:tcPr>
            <w:tcW w:w="1560" w:type="dxa"/>
          </w:tcPr>
          <w:p w14:paraId="69F77D05" w14:textId="25B56DC6"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18,000</w:t>
            </w:r>
          </w:p>
        </w:tc>
      </w:tr>
      <w:tr w:rsidR="007C6CE0" w14:paraId="4D6CC673" w14:textId="77777777" w:rsidTr="00FF23E6">
        <w:tc>
          <w:tcPr>
            <w:tcW w:w="5637" w:type="dxa"/>
          </w:tcPr>
          <w:p w14:paraId="692AD678" w14:textId="77777777" w:rsidR="007C6CE0" w:rsidRDefault="007C6CE0">
            <w:pPr>
              <w:rPr>
                <w:rFonts w:ascii="Verdana" w:hAnsi="Verdana" w:cs="Arial"/>
                <w:sz w:val="21"/>
                <w:szCs w:val="21"/>
              </w:rPr>
            </w:pPr>
          </w:p>
          <w:p w14:paraId="2B72B946" w14:textId="77777777" w:rsidR="007C6CE0" w:rsidRDefault="00424808">
            <w:pPr>
              <w:rPr>
                <w:rFonts w:ascii="Verdana" w:hAnsi="Verdana" w:cs="Arial"/>
                <w:sz w:val="21"/>
                <w:szCs w:val="21"/>
              </w:rPr>
            </w:pPr>
            <w:r>
              <w:rPr>
                <w:rFonts w:ascii="Verdana" w:hAnsi="Verdana" w:cs="Arial"/>
                <w:sz w:val="21"/>
                <w:szCs w:val="21"/>
              </w:rPr>
              <w:t>Transacciones totales</w:t>
            </w:r>
          </w:p>
        </w:tc>
        <w:tc>
          <w:tcPr>
            <w:tcW w:w="1275" w:type="dxa"/>
          </w:tcPr>
          <w:p w14:paraId="6B3A79AF" w14:textId="77777777" w:rsidR="007C6CE0" w:rsidRDefault="007C6CE0">
            <w:pPr>
              <w:jc w:val="right"/>
              <w:rPr>
                <w:rFonts w:ascii="Verdana" w:hAnsi="Verdana" w:cs="Arial"/>
                <w:sz w:val="21"/>
                <w:szCs w:val="21"/>
              </w:rPr>
            </w:pPr>
          </w:p>
          <w:p w14:paraId="3D5B24D0" w14:textId="77777777" w:rsidR="007C6CE0" w:rsidRDefault="007C6CE0">
            <w:pPr>
              <w:jc w:val="right"/>
              <w:rPr>
                <w:rFonts w:ascii="Verdana" w:hAnsi="Verdana" w:cs="Arial"/>
                <w:sz w:val="21"/>
                <w:szCs w:val="21"/>
                <w:u w:val="single"/>
              </w:rPr>
            </w:pPr>
          </w:p>
        </w:tc>
        <w:tc>
          <w:tcPr>
            <w:tcW w:w="1560" w:type="dxa"/>
          </w:tcPr>
          <w:p w14:paraId="6CA00B50" w14:textId="77777777" w:rsidR="007C6CE0" w:rsidRDefault="007C6CE0">
            <w:pPr>
              <w:jc w:val="right"/>
              <w:rPr>
                <w:rFonts w:ascii="Verdana" w:hAnsi="Verdana" w:cs="Arial"/>
                <w:sz w:val="21"/>
                <w:szCs w:val="21"/>
              </w:rPr>
            </w:pPr>
          </w:p>
          <w:p w14:paraId="52DEEE67" w14:textId="77777777" w:rsidR="007C6CE0" w:rsidRDefault="00424808">
            <w:pPr>
              <w:jc w:val="right"/>
              <w:rPr>
                <w:rFonts w:ascii="Verdana" w:hAnsi="Verdana" w:cs="Arial"/>
                <w:sz w:val="21"/>
                <w:szCs w:val="21"/>
                <w:u w:val="double"/>
              </w:rPr>
            </w:pPr>
            <w:r>
              <w:rPr>
                <w:rFonts w:ascii="Verdana" w:hAnsi="Verdana" w:cs="Arial"/>
                <w:sz w:val="21"/>
                <w:szCs w:val="21"/>
                <w:u w:val="double"/>
              </w:rPr>
              <w:t>50,652</w:t>
            </w:r>
          </w:p>
        </w:tc>
      </w:tr>
    </w:tbl>
    <w:p w14:paraId="61060C3B" w14:textId="77777777" w:rsidR="00424808" w:rsidRDefault="00424808" w:rsidP="007C6CE0">
      <w:pPr>
        <w:rPr>
          <w:rFonts w:ascii="Verdana" w:hAnsi="Verdana" w:cs="Arial"/>
          <w:sz w:val="18"/>
          <w:szCs w:val="18"/>
          <w:lang w:val="es-ES_tradnl"/>
        </w:rPr>
      </w:pPr>
    </w:p>
    <w:p w14:paraId="40102733" w14:textId="77777777" w:rsidR="00424808" w:rsidRDefault="00424808" w:rsidP="00424808">
      <w:pPr>
        <w:rPr>
          <w:rFonts w:ascii="Verdana" w:hAnsi="Verdana" w:cs="Arial"/>
          <w:sz w:val="18"/>
          <w:szCs w:val="18"/>
          <w:lang w:val="es-ES_tradnl"/>
        </w:rPr>
      </w:pPr>
    </w:p>
    <w:p w14:paraId="46BC9B5B" w14:textId="77777777" w:rsidR="00424808" w:rsidRDefault="00424808" w:rsidP="00424808">
      <w:pPr>
        <w:overflowPunct w:val="0"/>
        <w:autoSpaceDE w:val="0"/>
        <w:autoSpaceDN w:val="0"/>
        <w:adjustRightInd w:val="0"/>
        <w:jc w:val="both"/>
        <w:textAlignment w:val="baseline"/>
        <w:rPr>
          <w:rFonts w:ascii="Verdana" w:hAnsi="Verdana" w:cs="Arial"/>
          <w:sz w:val="21"/>
          <w:szCs w:val="21"/>
          <w:lang w:val="es-EC"/>
        </w:rPr>
      </w:pPr>
      <w:r>
        <w:rPr>
          <w:rFonts w:ascii="Verdana" w:hAnsi="Verdana" w:cs="Arial"/>
          <w:b/>
          <w:color w:val="000000"/>
          <w:sz w:val="21"/>
          <w:szCs w:val="21"/>
        </w:rPr>
        <w:t xml:space="preserve">21. </w:t>
      </w:r>
      <w:r>
        <w:rPr>
          <w:rFonts w:ascii="Verdana" w:hAnsi="Verdana" w:cs="Arial"/>
          <w:b/>
          <w:color w:val="000000"/>
          <w:sz w:val="21"/>
          <w:szCs w:val="21"/>
        </w:rPr>
        <w:tab/>
      </w:r>
      <w:r>
        <w:rPr>
          <w:rFonts w:ascii="Verdana" w:hAnsi="Verdana"/>
          <w:b/>
          <w:color w:val="000000"/>
          <w:sz w:val="21"/>
          <w:szCs w:val="21"/>
        </w:rPr>
        <w:t>COMPROMISOS Y CONTRATOS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4EB29420"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21.1.</w:t>
      </w:r>
      <w:r>
        <w:rPr>
          <w:rFonts w:ascii="Verdana" w:hAnsi="Verdana" w:cs="Arial"/>
          <w:b/>
          <w:bCs/>
          <w:i/>
          <w:iCs/>
          <w:color w:val="000000"/>
          <w:sz w:val="21"/>
          <w:szCs w:val="21"/>
          <w:lang w:val="es-ES"/>
        </w:rPr>
        <w:tab/>
      </w:r>
      <w:r>
        <w:rPr>
          <w:rFonts w:ascii="Verdana" w:hAnsi="Verdana" w:cs="Arial"/>
          <w:b/>
          <w:bCs/>
          <w:i/>
          <w:iCs/>
          <w:color w:val="000000"/>
          <w:sz w:val="21"/>
          <w:szCs w:val="21"/>
          <w:lang w:val="es-ES"/>
        </w:rPr>
        <w:tab/>
        <w:t>Compromisos con Clientes</w:t>
      </w:r>
      <w:r>
        <w:rPr>
          <w:rFonts w:ascii="Verdana" w:hAnsi="Verdana" w:cs="Arial"/>
          <w:color w:val="000000"/>
          <w:sz w:val="21"/>
          <w:szCs w:val="21"/>
          <w:lang w:val="es-ES"/>
        </w:rPr>
        <w:t xml:space="preserve"> - Durante los años 2021 y 2020, y al 31 de diciembre de dichos años, estuvieron vigentes los siguientes compromisos y contratos principales con clientes:</w:t>
      </w:r>
    </w:p>
    <w:p w14:paraId="79FB8472" w14:textId="77777777" w:rsidR="00376A9D"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33E96485" w14:textId="471A05BA" w:rsidR="00424808" w:rsidRDefault="00711B23"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r w:rsidR="00424808">
        <w:rPr>
          <w:rFonts w:ascii="Verdana" w:hAnsi="Verdana" w:cs="Arial"/>
          <w:color w:val="000000"/>
          <w:sz w:val="21"/>
          <w:szCs w:val="21"/>
          <w:lang w:val="es-ES"/>
        </w:rPr>
        <w:t>Contrato firmado el 1º de junio del 2020 con Unilever Andina Ecuador S.A. por</w:t>
      </w:r>
      <w:r w:rsidR="00376A9D">
        <w:rPr>
          <w:rFonts w:ascii="Verdana" w:hAnsi="Verdana" w:cs="Arial"/>
          <w:color w:val="000000"/>
          <w:sz w:val="21"/>
          <w:szCs w:val="21"/>
          <w:lang w:val="es-ES"/>
        </w:rPr>
        <w:t xml:space="preserve"> </w:t>
      </w:r>
      <w:r w:rsidR="00424808">
        <w:rPr>
          <w:rFonts w:ascii="Verdana" w:hAnsi="Verdana" w:cs="Arial"/>
          <w:color w:val="000000"/>
          <w:sz w:val="21"/>
          <w:szCs w:val="21"/>
          <w:lang w:val="es-ES"/>
        </w:rPr>
        <w:t xml:space="preserve">un monto estimado de US$110 mil, para la prestación de servicios de activación y promoción de marcas, organización, montaje y desarrollo de eventos especiales e implementación de estrategias de mercadeo para la categoría de “ice </w:t>
      </w:r>
      <w:proofErr w:type="spellStart"/>
      <w:r w:rsidR="00424808">
        <w:rPr>
          <w:rFonts w:ascii="Verdana" w:hAnsi="Verdana" w:cs="Arial"/>
          <w:color w:val="000000"/>
          <w:sz w:val="21"/>
          <w:szCs w:val="21"/>
          <w:lang w:val="es-ES"/>
        </w:rPr>
        <w:t>cream</w:t>
      </w:r>
      <w:proofErr w:type="spellEnd"/>
      <w:r w:rsidR="00424808">
        <w:rPr>
          <w:rFonts w:ascii="Verdana" w:hAnsi="Verdana" w:cs="Arial"/>
          <w:color w:val="000000"/>
          <w:sz w:val="21"/>
          <w:szCs w:val="21"/>
          <w:lang w:val="es-ES"/>
        </w:rPr>
        <w:t xml:space="preserve">”, de acuerdo con el </w:t>
      </w:r>
      <w:proofErr w:type="spellStart"/>
      <w:r w:rsidR="00424808">
        <w:rPr>
          <w:rFonts w:ascii="Verdana" w:hAnsi="Verdana" w:cs="Arial"/>
          <w:color w:val="000000"/>
          <w:sz w:val="21"/>
          <w:szCs w:val="21"/>
          <w:lang w:val="es-ES"/>
        </w:rPr>
        <w:t>brief</w:t>
      </w:r>
      <w:proofErr w:type="spellEnd"/>
      <w:r w:rsidR="00424808">
        <w:rPr>
          <w:rFonts w:ascii="Verdana" w:hAnsi="Verdana" w:cs="Arial"/>
          <w:color w:val="000000"/>
          <w:sz w:val="21"/>
          <w:szCs w:val="21"/>
          <w:lang w:val="es-ES"/>
        </w:rPr>
        <w:t xml:space="preserve"> y plan de trabajo para cada proyecto y condiciones de las órdenes de compra, así como los precios establecidos en tarifario anexo al contrato. Contrato vigente por un año prorrogable automáticamente salvo decisión de las partes.</w:t>
      </w:r>
    </w:p>
    <w:p w14:paraId="1BC21471"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7F96E98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Contrato con Banco Guayaquil firmado el 23 de octubre del 2020 por un monto de US$167 mil, para prestación de servicios de BTL, iluminación y pintado para implementación de publicidad y otros trabajos de conformidad con la propuesta incorporada como anexo 1, con un plazo de seis semanas a partir de su suscripción.</w:t>
      </w:r>
    </w:p>
    <w:p w14:paraId="5B89958A"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483AC3A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 xml:space="preserve">Contrato de servicios de publicidad con “Productos </w:t>
      </w:r>
      <w:proofErr w:type="spellStart"/>
      <w:r>
        <w:rPr>
          <w:rFonts w:ascii="Verdana" w:hAnsi="Verdana" w:cs="Arial"/>
          <w:color w:val="000000"/>
          <w:sz w:val="21"/>
          <w:szCs w:val="21"/>
          <w:lang w:val="es-ES"/>
        </w:rPr>
        <w:t>Tissue</w:t>
      </w:r>
      <w:proofErr w:type="spellEnd"/>
      <w:r>
        <w:rPr>
          <w:rFonts w:ascii="Verdana" w:hAnsi="Verdana" w:cs="Arial"/>
          <w:color w:val="000000"/>
          <w:sz w:val="21"/>
          <w:szCs w:val="21"/>
          <w:lang w:val="es-ES"/>
        </w:rPr>
        <w:t xml:space="preserve"> del Ecuador S.A.” con el objetivo de promocionar los productos de esta última en varios mercados específicos, al precio y forma de pago establecidos en el anexo al mismo. Este contrato venció el 1º de junio del 2020 por un año adicional y no fue renovado.</w:t>
      </w:r>
    </w:p>
    <w:p w14:paraId="23554E7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1AAF98A7"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 xml:space="preserve">21.2. </w:t>
      </w:r>
      <w:r>
        <w:rPr>
          <w:rFonts w:ascii="Verdana" w:hAnsi="Verdana" w:cs="Arial"/>
          <w:b/>
          <w:bCs/>
          <w:i/>
          <w:iCs/>
          <w:color w:val="000000"/>
          <w:sz w:val="21"/>
          <w:szCs w:val="21"/>
          <w:lang w:val="es-ES"/>
        </w:rPr>
        <w:t>Compromisos por Arrendamientos Operativos</w:t>
      </w:r>
      <w:r>
        <w:rPr>
          <w:rFonts w:ascii="Verdana" w:hAnsi="Verdana" w:cs="Arial"/>
          <w:color w:val="000000"/>
          <w:sz w:val="21"/>
          <w:szCs w:val="21"/>
          <w:lang w:val="es-ES"/>
        </w:rPr>
        <w:t xml:space="preserve"> – La Compañía alquila un inmueble donde funciona su establecimiento permanente, y otro inmueble que es utilizado como bodega; estos contratos son por </w:t>
      </w:r>
      <w:r>
        <w:rPr>
          <w:rFonts w:ascii="Verdana" w:hAnsi="Verdana" w:cs="Arial"/>
          <w:color w:val="000000"/>
          <w:sz w:val="21"/>
          <w:szCs w:val="21"/>
          <w:lang w:val="es-ES"/>
        </w:rPr>
        <w:lastRenderedPageBreak/>
        <w:t>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Los contratos mencionados pueden darse por terminado mediante comunicación por escrito con 30 días de anticipación a la desocupación efectiva del inmueble, debiendo cancelarse una indemnización efectiva equivalente a un mes de arriendo.</w:t>
      </w:r>
    </w:p>
    <w:p w14:paraId="41100F8D"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rPr>
          <w:rFonts w:ascii="Verdana" w:hAnsi="Verdana" w:cs="Arial"/>
          <w:color w:val="000000"/>
          <w:sz w:val="18"/>
          <w:szCs w:val="18"/>
          <w:lang w:val="es-ES"/>
        </w:rPr>
      </w:pPr>
    </w:p>
    <w:p w14:paraId="20315975" w14:textId="77777777" w:rsidR="00424808" w:rsidRDefault="00424808" w:rsidP="00424808">
      <w:pPr>
        <w:tabs>
          <w:tab w:val="left" w:pos="567"/>
          <w:tab w:val="left" w:pos="7655"/>
        </w:tabs>
        <w:ind w:left="567" w:hanging="567"/>
        <w:jc w:val="both"/>
        <w:rPr>
          <w:rFonts w:ascii="Verdana" w:hAnsi="Verdana" w:cs="Arial"/>
          <w:color w:val="000000"/>
          <w:sz w:val="21"/>
          <w:szCs w:val="21"/>
        </w:rPr>
      </w:pPr>
      <w:r w:rsidRPr="00711B23">
        <w:rPr>
          <w:rFonts w:ascii="Verdana" w:hAnsi="Verdana" w:cs="Arial"/>
          <w:b/>
          <w:color w:val="000000"/>
          <w:sz w:val="21"/>
          <w:szCs w:val="21"/>
          <w:highlight w:val="yellow"/>
        </w:rPr>
        <w:t>22.</w:t>
      </w:r>
      <w:r w:rsidRPr="00711B23">
        <w:rPr>
          <w:rFonts w:ascii="Verdana" w:hAnsi="Verdana" w:cs="Arial"/>
          <w:b/>
          <w:color w:val="000000"/>
          <w:sz w:val="21"/>
          <w:szCs w:val="21"/>
          <w:highlight w:val="yellow"/>
        </w:rPr>
        <w:tab/>
        <w:t>REFORMAS TRIBUTARIAS</w:t>
      </w:r>
    </w:p>
    <w:p w14:paraId="2041B10D" w14:textId="77777777" w:rsidR="00424808" w:rsidRDefault="00424808" w:rsidP="00424808">
      <w:pPr>
        <w:ind w:left="567"/>
        <w:jc w:val="both"/>
        <w:rPr>
          <w:rFonts w:ascii="Verdana" w:hAnsi="Verdana"/>
          <w:color w:val="000000"/>
          <w:sz w:val="21"/>
          <w:szCs w:val="21"/>
          <w:lang w:eastAsia="es-EC"/>
        </w:rPr>
      </w:pPr>
    </w:p>
    <w:p w14:paraId="60A0038D" w14:textId="77777777" w:rsidR="00957C4E" w:rsidRDefault="00957C4E" w:rsidP="00957C4E">
      <w:pPr>
        <w:tabs>
          <w:tab w:val="num" w:pos="567"/>
        </w:tabs>
        <w:jc w:val="both"/>
        <w:rPr>
          <w:rFonts w:ascii="Verdana" w:hAnsi="Verdana" w:cs="Arial"/>
          <w:b/>
          <w:color w:val="000000"/>
          <w:sz w:val="21"/>
          <w:szCs w:val="21"/>
        </w:rPr>
      </w:pPr>
    </w:p>
    <w:p w14:paraId="75B516DB" w14:textId="77777777" w:rsidR="00957C4E" w:rsidRDefault="00957C4E" w:rsidP="00957C4E">
      <w:pPr>
        <w:tabs>
          <w:tab w:val="num" w:pos="567"/>
        </w:tabs>
        <w:jc w:val="both"/>
        <w:rPr>
          <w:rFonts w:ascii="Verdana" w:hAnsi="Verdana" w:cs="Arial"/>
          <w:b/>
          <w:color w:val="000000"/>
          <w:sz w:val="21"/>
          <w:szCs w:val="21"/>
        </w:rPr>
      </w:pPr>
      <w:r>
        <w:rPr>
          <w:rFonts w:ascii="Verdana" w:hAnsi="Verdana" w:cs="Arial"/>
          <w:b/>
          <w:color w:val="000000"/>
          <w:sz w:val="21"/>
          <w:szCs w:val="21"/>
        </w:rPr>
        <w:t xml:space="preserve">24.  </w:t>
      </w:r>
      <w:r>
        <w:rPr>
          <w:rFonts w:ascii="Verdana" w:hAnsi="Verdana" w:cs="Arial"/>
          <w:b/>
          <w:color w:val="000000"/>
          <w:sz w:val="21"/>
          <w:szCs w:val="21"/>
        </w:rPr>
        <w:tab/>
        <w:t>EVENTOS SUBSECUENTES</w:t>
      </w:r>
    </w:p>
    <w:p w14:paraId="3F3AB935" w14:textId="77777777" w:rsidR="00957C4E" w:rsidRDefault="00957C4E" w:rsidP="00957C4E">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567"/>
        <w:rPr>
          <w:rFonts w:ascii="Verdana" w:hAnsi="Verdana" w:cs="Arial"/>
          <w:color w:val="000000"/>
          <w:sz w:val="21"/>
          <w:szCs w:val="21"/>
          <w:lang w:val="es-ES"/>
        </w:rPr>
      </w:pPr>
    </w:p>
    <w:p w14:paraId="4AE00497" w14:textId="30EC0C9A" w:rsidR="00957C4E" w:rsidRDefault="00957C4E" w:rsidP="00957C4E">
      <w:pPr>
        <w:ind w:left="567"/>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711B23">
        <w:rPr>
          <w:rFonts w:ascii="Verdana" w:hAnsi="Verdana" w:cs="Arial"/>
          <w:sz w:val="21"/>
          <w:szCs w:val="21"/>
        </w:rPr>
        <w:t>x</w:t>
      </w:r>
      <w:r>
        <w:rPr>
          <w:rFonts w:ascii="Verdana" w:hAnsi="Verdana" w:cs="Arial"/>
          <w:sz w:val="21"/>
          <w:szCs w:val="21"/>
        </w:rPr>
        <w:t xml:space="preserve"> de </w:t>
      </w:r>
      <w:proofErr w:type="spellStart"/>
      <w:r w:rsidR="00711B23">
        <w:rPr>
          <w:rFonts w:ascii="Verdana" w:hAnsi="Verdana" w:cs="Arial"/>
          <w:sz w:val="21"/>
          <w:szCs w:val="21"/>
        </w:rPr>
        <w:t>xx</w:t>
      </w:r>
      <w:proofErr w:type="spellEnd"/>
      <w:r>
        <w:rPr>
          <w:rFonts w:ascii="Verdana" w:hAnsi="Verdana" w:cs="Arial"/>
          <w:sz w:val="21"/>
          <w:szCs w:val="21"/>
        </w:rPr>
        <w:t xml:space="preserve">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w:t>
      </w:r>
      <w:r w:rsidR="001C1F3B">
        <w:rPr>
          <w:rFonts w:ascii="Verdana" w:hAnsi="Verdana" w:cs="Arial"/>
          <w:color w:val="000000"/>
          <w:sz w:val="21"/>
          <w:szCs w:val="21"/>
        </w:rPr>
        <w:t xml:space="preserve"> adicionales a los descritos en la nota 1 b),</w:t>
      </w:r>
      <w:r>
        <w:rPr>
          <w:rFonts w:ascii="Verdana" w:hAnsi="Verdana" w:cs="Arial"/>
          <w:color w:val="000000"/>
          <w:sz w:val="21"/>
          <w:szCs w:val="21"/>
        </w:rPr>
        <w:t xml:space="preserve">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78F326E" w14:textId="77777777" w:rsidR="00711B23" w:rsidRDefault="00711B23" w:rsidP="00711B23">
      <w:pPr>
        <w:jc w:val="both"/>
        <w:rPr>
          <w:rFonts w:ascii="Verdana" w:hAnsi="Verdana" w:cs="Arial"/>
          <w:color w:val="000000"/>
          <w:sz w:val="21"/>
          <w:szCs w:val="21"/>
        </w:rPr>
      </w:pPr>
    </w:p>
    <w:p w14:paraId="0F1CE2A2" w14:textId="77777777" w:rsidR="00957C4E" w:rsidRDefault="00957C4E" w:rsidP="00957C4E">
      <w:pPr>
        <w:tabs>
          <w:tab w:val="left" w:pos="567"/>
        </w:tabs>
        <w:rPr>
          <w:rFonts w:ascii="Verdana" w:hAnsi="Verdana" w:cs="Arial"/>
          <w:color w:val="000000"/>
          <w:sz w:val="18"/>
          <w:szCs w:val="18"/>
        </w:rPr>
      </w:pPr>
    </w:p>
    <w:p w14:paraId="622F2928" w14:textId="77777777" w:rsidR="00BF100F" w:rsidRPr="00424808" w:rsidRDefault="00BF100F" w:rsidP="00957C4E">
      <w:pPr>
        <w:ind w:firstLine="708"/>
        <w:rPr>
          <w:rFonts w:ascii="Verdana" w:hAnsi="Verdana" w:cs="Arial"/>
          <w:sz w:val="18"/>
          <w:szCs w:val="18"/>
        </w:rPr>
      </w:pPr>
    </w:p>
    <w:sectPr w:rsidR="00BF100F"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FAD3" w14:textId="77777777" w:rsidR="00F70F6A" w:rsidRDefault="00F70F6A" w:rsidP="00FB5C72">
      <w:r>
        <w:separator/>
      </w:r>
    </w:p>
  </w:endnote>
  <w:endnote w:type="continuationSeparator" w:id="0">
    <w:p w14:paraId="521984C7" w14:textId="77777777" w:rsidR="00F70F6A" w:rsidRDefault="00F70F6A"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063A24" w:rsidRDefault="0096497E" w:rsidP="00A61C8B">
        <w:pPr>
          <w:pStyle w:val="Piedepgina"/>
          <w:jc w:val="right"/>
        </w:pPr>
        <w:r>
          <w:fldChar w:fldCharType="begin"/>
        </w:r>
        <w:r>
          <w:instrText>PAGE   \* MERGEFORMAT</w:instrText>
        </w:r>
        <w:r>
          <w:fldChar w:fldCharType="separate"/>
        </w:r>
        <w:r w:rsidR="00957C4E">
          <w:rPr>
            <w:noProof/>
          </w:rPr>
          <w:t>27</w:t>
        </w:r>
        <w:r>
          <w:rPr>
            <w:noProof/>
          </w:rPr>
          <w:fldChar w:fldCharType="end"/>
        </w:r>
      </w:p>
    </w:sdtContent>
  </w:sdt>
  <w:p w14:paraId="3C231C1F" w14:textId="77777777" w:rsidR="00063A24" w:rsidRDefault="00063A24"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E786" w14:textId="77777777" w:rsidR="00F70F6A" w:rsidRDefault="00F70F6A" w:rsidP="00FB5C72">
      <w:r>
        <w:separator/>
      </w:r>
    </w:p>
  </w:footnote>
  <w:footnote w:type="continuationSeparator" w:id="0">
    <w:p w14:paraId="2A446367" w14:textId="77777777" w:rsidR="00F70F6A" w:rsidRDefault="00F70F6A"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7"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15E"/>
    <w:rsid w:val="00027B06"/>
    <w:rsid w:val="00031A5A"/>
    <w:rsid w:val="000555DA"/>
    <w:rsid w:val="00063A24"/>
    <w:rsid w:val="00067512"/>
    <w:rsid w:val="000742EC"/>
    <w:rsid w:val="000A6E2B"/>
    <w:rsid w:val="000E44C7"/>
    <w:rsid w:val="000F03F6"/>
    <w:rsid w:val="00100E11"/>
    <w:rsid w:val="00112114"/>
    <w:rsid w:val="00132843"/>
    <w:rsid w:val="001403D9"/>
    <w:rsid w:val="00180E6D"/>
    <w:rsid w:val="001A0767"/>
    <w:rsid w:val="001B0C01"/>
    <w:rsid w:val="001B41C6"/>
    <w:rsid w:val="001C1F3B"/>
    <w:rsid w:val="001C4074"/>
    <w:rsid w:val="00212B06"/>
    <w:rsid w:val="00213A44"/>
    <w:rsid w:val="0022313B"/>
    <w:rsid w:val="00231BB8"/>
    <w:rsid w:val="00237963"/>
    <w:rsid w:val="00240F37"/>
    <w:rsid w:val="00270649"/>
    <w:rsid w:val="00272CED"/>
    <w:rsid w:val="0028434C"/>
    <w:rsid w:val="002A69FC"/>
    <w:rsid w:val="002C1A3F"/>
    <w:rsid w:val="002C451B"/>
    <w:rsid w:val="003267DD"/>
    <w:rsid w:val="0032697C"/>
    <w:rsid w:val="00336509"/>
    <w:rsid w:val="00336551"/>
    <w:rsid w:val="0034007B"/>
    <w:rsid w:val="00376A9D"/>
    <w:rsid w:val="00380BCF"/>
    <w:rsid w:val="00382462"/>
    <w:rsid w:val="003A439E"/>
    <w:rsid w:val="003B7EC7"/>
    <w:rsid w:val="003C010B"/>
    <w:rsid w:val="003C1036"/>
    <w:rsid w:val="003E3123"/>
    <w:rsid w:val="0040015E"/>
    <w:rsid w:val="00410698"/>
    <w:rsid w:val="00424808"/>
    <w:rsid w:val="004249CE"/>
    <w:rsid w:val="00451AAD"/>
    <w:rsid w:val="00471369"/>
    <w:rsid w:val="004777FC"/>
    <w:rsid w:val="00477B51"/>
    <w:rsid w:val="00482E24"/>
    <w:rsid w:val="004D06FC"/>
    <w:rsid w:val="004D158E"/>
    <w:rsid w:val="004F5E01"/>
    <w:rsid w:val="00577E5D"/>
    <w:rsid w:val="005C4603"/>
    <w:rsid w:val="005D47B6"/>
    <w:rsid w:val="005F1284"/>
    <w:rsid w:val="005F13F0"/>
    <w:rsid w:val="00627E09"/>
    <w:rsid w:val="00637C98"/>
    <w:rsid w:val="00662332"/>
    <w:rsid w:val="00681958"/>
    <w:rsid w:val="00711B23"/>
    <w:rsid w:val="007972C2"/>
    <w:rsid w:val="007B467D"/>
    <w:rsid w:val="007C008E"/>
    <w:rsid w:val="007C0192"/>
    <w:rsid w:val="007C2200"/>
    <w:rsid w:val="007C256A"/>
    <w:rsid w:val="007C6CE0"/>
    <w:rsid w:val="007D770B"/>
    <w:rsid w:val="00805FB6"/>
    <w:rsid w:val="0080686D"/>
    <w:rsid w:val="008519AD"/>
    <w:rsid w:val="00885D10"/>
    <w:rsid w:val="008962DB"/>
    <w:rsid w:val="008A78E1"/>
    <w:rsid w:val="008C3ECB"/>
    <w:rsid w:val="008E513A"/>
    <w:rsid w:val="0093349C"/>
    <w:rsid w:val="00957C4E"/>
    <w:rsid w:val="0096497E"/>
    <w:rsid w:val="0099421B"/>
    <w:rsid w:val="009F2826"/>
    <w:rsid w:val="00A41E6B"/>
    <w:rsid w:val="00A43559"/>
    <w:rsid w:val="00A61C8B"/>
    <w:rsid w:val="00A87F95"/>
    <w:rsid w:val="00AB71CC"/>
    <w:rsid w:val="00AE07FA"/>
    <w:rsid w:val="00B41F35"/>
    <w:rsid w:val="00B5398D"/>
    <w:rsid w:val="00B55214"/>
    <w:rsid w:val="00B72D3E"/>
    <w:rsid w:val="00B77661"/>
    <w:rsid w:val="00BB515B"/>
    <w:rsid w:val="00BB7C83"/>
    <w:rsid w:val="00BD0A4E"/>
    <w:rsid w:val="00BF100F"/>
    <w:rsid w:val="00C22B05"/>
    <w:rsid w:val="00C32B62"/>
    <w:rsid w:val="00C5388A"/>
    <w:rsid w:val="00C81450"/>
    <w:rsid w:val="00D2372A"/>
    <w:rsid w:val="00D6774B"/>
    <w:rsid w:val="00D7063D"/>
    <w:rsid w:val="00D75CC7"/>
    <w:rsid w:val="00D91861"/>
    <w:rsid w:val="00DC3946"/>
    <w:rsid w:val="00DD2575"/>
    <w:rsid w:val="00E16FAA"/>
    <w:rsid w:val="00E36780"/>
    <w:rsid w:val="00E64997"/>
    <w:rsid w:val="00E65CC1"/>
    <w:rsid w:val="00ED2C58"/>
    <w:rsid w:val="00EE0162"/>
    <w:rsid w:val="00EF2CBA"/>
    <w:rsid w:val="00F654E4"/>
    <w:rsid w:val="00F70F6A"/>
    <w:rsid w:val="00F82A0F"/>
    <w:rsid w:val="00F865CE"/>
    <w:rsid w:val="00FA523C"/>
    <w:rsid w:val="00FA7A5F"/>
    <w:rsid w:val="00FB5C72"/>
    <w:rsid w:val="00FC621C"/>
    <w:rsid w:val="00FD0919"/>
    <w:rsid w:val="00FF23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9034-E780-4EEF-AC7C-5BCBB93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25</Pages>
  <Words>7985</Words>
  <Characters>43920</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53</cp:revision>
  <dcterms:created xsi:type="dcterms:W3CDTF">2021-11-16T15:28:00Z</dcterms:created>
  <dcterms:modified xsi:type="dcterms:W3CDTF">2022-02-22T17:12:00Z</dcterms:modified>
</cp:coreProperties>
</file>