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D18A1" w14:textId="77777777" w:rsidR="008D4906" w:rsidRDefault="008D4906"/>
    <w:p w14:paraId="568E8573" w14:textId="5901E222" w:rsidR="008D4906" w:rsidRDefault="00FF6DB1">
      <w:r>
        <w:rPr>
          <w:noProof/>
          <w:lang w:eastAsia="es-ES"/>
        </w:rPr>
        <w:drawing>
          <wp:inline distT="0" distB="0" distL="0" distR="0" wp14:anchorId="23853C1A" wp14:editId="495F7E9F">
            <wp:extent cx="4251960" cy="1859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884" t="23855" r="11324" b="17350"/>
                    <a:stretch/>
                  </pic:blipFill>
                  <pic:spPr bwMode="auto">
                    <a:xfrm>
                      <a:off x="0" y="0"/>
                      <a:ext cx="4254760" cy="1860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8691C" w14:textId="7F78AD0A" w:rsidR="00FF6DB1" w:rsidRDefault="00FF6DB1">
      <w:r>
        <w:rPr>
          <w:noProof/>
          <w:lang w:eastAsia="es-ES"/>
        </w:rPr>
        <w:drawing>
          <wp:inline distT="0" distB="0" distL="0" distR="0" wp14:anchorId="6F89770B" wp14:editId="07A8E6AC">
            <wp:extent cx="4259580" cy="1699259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9743" t="35422" r="11324" b="10843"/>
                    <a:stretch/>
                  </pic:blipFill>
                  <pic:spPr bwMode="auto">
                    <a:xfrm>
                      <a:off x="0" y="0"/>
                      <a:ext cx="4262385" cy="1700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7A988" w14:textId="33C90FE4" w:rsidR="008D4906" w:rsidRDefault="008D4906" w:rsidP="000E2A3A">
      <w:pPr>
        <w:spacing w:after="0"/>
        <w:jc w:val="both"/>
      </w:pPr>
      <w:r>
        <w:t>EXAMEN REALIZADO – Búsqueda en la base de datos de la SCVS de otras posibles compañías en las cuales los Socios de Visacom S.A. también pudieran aparecer como Accionistas.</w:t>
      </w:r>
      <w:r w:rsidR="008F297B">
        <w:t xml:space="preserve"> Sin embargo, Maria Dolores Casal, </w:t>
      </w:r>
      <w:proofErr w:type="gramStart"/>
      <w:r w:rsidR="008F297B">
        <w:t>Presidenta</w:t>
      </w:r>
      <w:proofErr w:type="gramEnd"/>
      <w:r w:rsidR="008F297B">
        <w:t xml:space="preserve"> y principal Accionista de la Compañía nos indicó de la constitución de “</w:t>
      </w:r>
      <w:proofErr w:type="spellStart"/>
      <w:r w:rsidR="008F297B">
        <w:t>Envivo</w:t>
      </w:r>
      <w:proofErr w:type="spellEnd"/>
      <w:r w:rsidR="008F297B">
        <w:t xml:space="preserve"> Producciones </w:t>
      </w:r>
      <w:r w:rsidR="00092C07">
        <w:t>S.A.”</w:t>
      </w:r>
    </w:p>
    <w:p w14:paraId="384EF37D" w14:textId="0BFBEACE" w:rsidR="008F297B" w:rsidRDefault="008F297B" w:rsidP="000E2A3A">
      <w:pPr>
        <w:spacing w:after="0"/>
        <w:jc w:val="both"/>
      </w:pPr>
    </w:p>
    <w:p w14:paraId="5A6B9369" w14:textId="25F19499" w:rsidR="008F297B" w:rsidRDefault="008F297B" w:rsidP="000E2A3A">
      <w:pPr>
        <w:spacing w:after="0"/>
        <w:jc w:val="both"/>
      </w:pPr>
      <w:r>
        <w:t xml:space="preserve">REUNION CON LA GERENCIA – Maria Dolores Casal, </w:t>
      </w:r>
      <w:proofErr w:type="gramStart"/>
      <w:r>
        <w:t>Presidenta</w:t>
      </w:r>
      <w:proofErr w:type="gramEnd"/>
      <w:r>
        <w:t xml:space="preserve"> y principal Accionista de la Compañía nos manifestó de la constitución de la sociedad anónima “</w:t>
      </w:r>
      <w:proofErr w:type="spellStart"/>
      <w:r>
        <w:t>Envivo</w:t>
      </w:r>
      <w:proofErr w:type="spellEnd"/>
      <w:r>
        <w:t xml:space="preserve"> Producciones”</w:t>
      </w:r>
      <w:r w:rsidR="00092C07">
        <w:t xml:space="preserve">, la cual se dedicará a la producción de shows, espectáculos, campañas y eventos en general, sin embargo, VISACOM y </w:t>
      </w:r>
      <w:proofErr w:type="spellStart"/>
      <w:r w:rsidR="00092C07">
        <w:t>Envivo</w:t>
      </w:r>
      <w:proofErr w:type="spellEnd"/>
      <w:r w:rsidR="00092C07">
        <w:t xml:space="preserve"> Producciones no han efectuado transacciones entre sí.</w:t>
      </w:r>
    </w:p>
    <w:p w14:paraId="3FDE6FC6" w14:textId="5372CFA0" w:rsidR="00092C07" w:rsidRDefault="00092C07" w:rsidP="000E2A3A">
      <w:pPr>
        <w:spacing w:after="0"/>
        <w:jc w:val="both"/>
      </w:pPr>
    </w:p>
    <w:p w14:paraId="76941F03" w14:textId="4D2282C1" w:rsidR="00092C07" w:rsidRDefault="00BE4D3E" w:rsidP="000E2A3A">
      <w:pPr>
        <w:spacing w:after="0"/>
        <w:jc w:val="both"/>
      </w:pPr>
      <w:r>
        <w:t>Las transacciones que VISACOM S.A. mantiene con partes relacionadas son principalmente con sus Accionistas: a) Aportes recibidos de éstos para financiar las operaciones del negocio, en calidad de préstamos; b) Pagos de tales préstamos; y, c) Sueldo y honorarios profesionales que VISACOM cancela a éstos por sus servicios. Ocasionalmente los Accionistas realizan compras de insumos para la Compañía, valores que son reembolsados, pero se trata de importes mínimos.</w:t>
      </w:r>
    </w:p>
    <w:p w14:paraId="7389E3FA" w14:textId="1785A793" w:rsidR="008F297B" w:rsidRDefault="008F297B" w:rsidP="000E2A3A">
      <w:pPr>
        <w:spacing w:after="0"/>
        <w:jc w:val="both"/>
      </w:pPr>
    </w:p>
    <w:p w14:paraId="7D7A6054" w14:textId="7B5CDB07" w:rsidR="00BE4D3E" w:rsidRDefault="00BE4D3E" w:rsidP="000E2A3A">
      <w:pPr>
        <w:spacing w:after="0"/>
        <w:jc w:val="both"/>
      </w:pPr>
      <w:r>
        <w:t xml:space="preserve">La contabilidad de la empresa identifica de manera clara los aportes (préstamos) recibidos de Accionistas, así como los pagos de </w:t>
      </w:r>
      <w:proofErr w:type="gramStart"/>
      <w:r>
        <w:t>los mismos</w:t>
      </w:r>
      <w:proofErr w:type="gramEnd"/>
      <w:r>
        <w:t>, y los montos que se facturan como “honorarios por servicios de marketing”</w:t>
      </w:r>
    </w:p>
    <w:p w14:paraId="344B91A2" w14:textId="521EB184" w:rsidR="00BE4D3E" w:rsidRDefault="00BE4D3E" w:rsidP="000E2A3A">
      <w:pPr>
        <w:spacing w:after="0"/>
        <w:jc w:val="both"/>
      </w:pPr>
    </w:p>
    <w:p w14:paraId="7E8D0198" w14:textId="028332F6" w:rsidR="00BE4D3E" w:rsidRDefault="00BE4D3E" w:rsidP="000E2A3A">
      <w:pPr>
        <w:spacing w:after="0"/>
        <w:jc w:val="both"/>
      </w:pPr>
    </w:p>
    <w:p w14:paraId="7E46BBE3" w14:textId="77777777" w:rsidR="00BE4D3E" w:rsidRDefault="00BE4D3E" w:rsidP="000E2A3A">
      <w:pPr>
        <w:spacing w:after="0"/>
        <w:jc w:val="both"/>
      </w:pPr>
    </w:p>
    <w:p w14:paraId="3FAA0BA0" w14:textId="77777777" w:rsidR="00BE4D3E" w:rsidRDefault="00BE4D3E" w:rsidP="000E2A3A">
      <w:pPr>
        <w:spacing w:after="0"/>
        <w:jc w:val="both"/>
      </w:pPr>
    </w:p>
    <w:p w14:paraId="53934BCC" w14:textId="52E1C99A" w:rsidR="008D4906" w:rsidRDefault="008D4906" w:rsidP="000E2A3A">
      <w:pPr>
        <w:spacing w:after="0"/>
        <w:jc w:val="both"/>
      </w:pPr>
      <w:r>
        <w:t xml:space="preserve">CONCLUSION – </w:t>
      </w:r>
      <w:r w:rsidR="00BE4D3E">
        <w:t xml:space="preserve">Estaremos atentos a la posibilidad de transacciones con la nueva empresa </w:t>
      </w:r>
      <w:proofErr w:type="spellStart"/>
      <w:r w:rsidR="00BE4D3E">
        <w:t>Envivo</w:t>
      </w:r>
      <w:proofErr w:type="spellEnd"/>
      <w:r w:rsidR="00BE4D3E">
        <w:t xml:space="preserve"> Producciones S.A. Las transacciones por préstamos recibidos y pago de </w:t>
      </w:r>
      <w:proofErr w:type="gramStart"/>
      <w:r w:rsidR="00BE4D3E">
        <w:t>los mismos</w:t>
      </w:r>
      <w:proofErr w:type="gramEnd"/>
      <w:r w:rsidR="00BE4D3E">
        <w:t xml:space="preserve"> generalmente son montos importantes y serán revisadas de manera individual y cuidadosa (Ver 6500)</w:t>
      </w:r>
    </w:p>
    <w:p w14:paraId="3AFFF28F" w14:textId="3CC169FF" w:rsidR="00BE4D3E" w:rsidRDefault="00BE4D3E" w:rsidP="000E2A3A">
      <w:pPr>
        <w:spacing w:after="0"/>
        <w:jc w:val="both"/>
      </w:pPr>
    </w:p>
    <w:p w14:paraId="630C364C" w14:textId="6C0C792B" w:rsidR="002E0D16" w:rsidRDefault="002E0D16" w:rsidP="000E2A3A">
      <w:pPr>
        <w:spacing w:after="0"/>
        <w:jc w:val="both"/>
        <w:rPr>
          <w:b/>
          <w:bCs/>
          <w:i/>
          <w:iCs/>
        </w:rPr>
      </w:pPr>
      <w:r w:rsidRPr="002E0D16">
        <w:rPr>
          <w:b/>
          <w:bCs/>
          <w:i/>
          <w:iCs/>
        </w:rPr>
        <w:t>Preparado por: Carlos G. Almeida – Socio</w:t>
      </w:r>
    </w:p>
    <w:p w14:paraId="359158F6" w14:textId="00A06A48" w:rsidR="002E0D16" w:rsidRPr="002E0D16" w:rsidRDefault="002E0D16" w:rsidP="000E2A3A">
      <w:pPr>
        <w:spacing w:after="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Fecha: 21 de octubre del 2019</w:t>
      </w:r>
    </w:p>
    <w:p w14:paraId="22F22876" w14:textId="77777777" w:rsidR="002E0D16" w:rsidRDefault="002E0D16" w:rsidP="000E2A3A">
      <w:pPr>
        <w:spacing w:after="0"/>
        <w:jc w:val="both"/>
      </w:pPr>
    </w:p>
    <w:p w14:paraId="652C5404" w14:textId="304F9C32" w:rsidR="00BE4D3E" w:rsidRDefault="002E0D16" w:rsidP="000E2A3A">
      <w:pPr>
        <w:spacing w:after="0"/>
        <w:jc w:val="both"/>
      </w:pPr>
      <w:r>
        <w:t>ACTUALIZACION AL FINAL DE LA AUDITORIA – En la conclusión de la auditoria de VISACOM S.A. no se identifi</w:t>
      </w:r>
      <w:bookmarkStart w:id="0" w:name="_GoBack"/>
      <w:bookmarkEnd w:id="0"/>
      <w:r>
        <w:t xml:space="preserve">caron transacciones con </w:t>
      </w:r>
      <w:proofErr w:type="spellStart"/>
      <w:r>
        <w:t>Envivo</w:t>
      </w:r>
      <w:proofErr w:type="spellEnd"/>
      <w:r>
        <w:t xml:space="preserve"> Producciones S.A. y los saldos y transacciones con Accionistas fueron los siguientes:</w:t>
      </w:r>
    </w:p>
    <w:p w14:paraId="7928069F" w14:textId="0F930783" w:rsidR="002E0D16" w:rsidRDefault="002E0D16" w:rsidP="000E2A3A">
      <w:pPr>
        <w:spacing w:after="0"/>
        <w:jc w:val="both"/>
      </w:pPr>
    </w:p>
    <w:p w14:paraId="1693E8E9" w14:textId="05B5492E" w:rsidR="002E0D16" w:rsidRDefault="002E0D16" w:rsidP="000E2A3A">
      <w:pPr>
        <w:spacing w:after="0"/>
        <w:jc w:val="both"/>
      </w:pPr>
      <w:r>
        <w:rPr>
          <w:noProof/>
        </w:rPr>
        <w:drawing>
          <wp:inline distT="0" distB="0" distL="0" distR="0" wp14:anchorId="129FDDD2" wp14:editId="27F63B70">
            <wp:extent cx="5391150" cy="471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52D00" w14:textId="3A90F5BE" w:rsidR="002E0D16" w:rsidRDefault="002E0D16" w:rsidP="000E2A3A">
      <w:pPr>
        <w:spacing w:after="0"/>
        <w:jc w:val="both"/>
      </w:pPr>
    </w:p>
    <w:p w14:paraId="66305FB3" w14:textId="6C9110DB" w:rsidR="002E0D16" w:rsidRPr="002E0D16" w:rsidRDefault="002E0D16" w:rsidP="000E2A3A">
      <w:pPr>
        <w:spacing w:after="0"/>
        <w:jc w:val="both"/>
        <w:rPr>
          <w:b/>
          <w:bCs/>
          <w:i/>
          <w:iCs/>
        </w:rPr>
      </w:pPr>
      <w:r w:rsidRPr="002E0D16">
        <w:rPr>
          <w:b/>
          <w:bCs/>
          <w:i/>
          <w:iCs/>
        </w:rPr>
        <w:t>Preparado por: Carlos G. Almeida - Socio</w:t>
      </w:r>
    </w:p>
    <w:p w14:paraId="127FD653" w14:textId="59715666" w:rsidR="002E0D16" w:rsidRPr="002E0D16" w:rsidRDefault="002E0D16" w:rsidP="000E2A3A">
      <w:pPr>
        <w:spacing w:after="0"/>
        <w:jc w:val="both"/>
        <w:rPr>
          <w:b/>
          <w:bCs/>
          <w:i/>
          <w:iCs/>
        </w:rPr>
      </w:pPr>
      <w:r w:rsidRPr="002E0D16">
        <w:rPr>
          <w:b/>
          <w:bCs/>
          <w:i/>
          <w:iCs/>
        </w:rPr>
        <w:t>Fecha: 6 de marzo del 2020</w:t>
      </w:r>
    </w:p>
    <w:p w14:paraId="3EF8591E" w14:textId="587FB7B4" w:rsidR="002E0D16" w:rsidRDefault="002E0D16" w:rsidP="000E2A3A">
      <w:pPr>
        <w:spacing w:after="0"/>
        <w:jc w:val="both"/>
      </w:pPr>
    </w:p>
    <w:p w14:paraId="36B74C22" w14:textId="77777777" w:rsidR="002E0D16" w:rsidRDefault="002E0D16" w:rsidP="000E2A3A">
      <w:pPr>
        <w:spacing w:after="0"/>
        <w:jc w:val="both"/>
      </w:pPr>
    </w:p>
    <w:p w14:paraId="0005E170" w14:textId="7CA623A8" w:rsidR="002E0D16" w:rsidRDefault="002E0D16" w:rsidP="000E2A3A">
      <w:pPr>
        <w:spacing w:after="0"/>
        <w:jc w:val="both"/>
      </w:pPr>
    </w:p>
    <w:p w14:paraId="0CB2D70D" w14:textId="77777777" w:rsidR="002E0D16" w:rsidRDefault="002E0D16" w:rsidP="000E2A3A">
      <w:pPr>
        <w:spacing w:after="0"/>
        <w:jc w:val="both"/>
      </w:pPr>
    </w:p>
    <w:p w14:paraId="189D464D" w14:textId="77777777" w:rsidR="008F297B" w:rsidRDefault="008F297B" w:rsidP="008F297B">
      <w:pPr>
        <w:spacing w:after="0"/>
      </w:pPr>
    </w:p>
    <w:sectPr w:rsidR="008F297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341CA" w14:textId="77777777" w:rsidR="00B84B9C" w:rsidRDefault="00B84B9C" w:rsidP="008D4906">
      <w:pPr>
        <w:spacing w:after="0" w:line="240" w:lineRule="auto"/>
      </w:pPr>
      <w:r>
        <w:separator/>
      </w:r>
    </w:p>
  </w:endnote>
  <w:endnote w:type="continuationSeparator" w:id="0">
    <w:p w14:paraId="74F12CEB" w14:textId="77777777" w:rsidR="00B84B9C" w:rsidRDefault="00B84B9C" w:rsidP="008D4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D1231" w14:textId="77777777" w:rsidR="00B84B9C" w:rsidRDefault="00B84B9C" w:rsidP="008D4906">
      <w:pPr>
        <w:spacing w:after="0" w:line="240" w:lineRule="auto"/>
      </w:pPr>
      <w:r>
        <w:separator/>
      </w:r>
    </w:p>
  </w:footnote>
  <w:footnote w:type="continuationSeparator" w:id="0">
    <w:p w14:paraId="1CCB0268" w14:textId="77777777" w:rsidR="00B84B9C" w:rsidRDefault="00B84B9C" w:rsidP="008D4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D183C" w14:textId="1306840A" w:rsidR="008D4906" w:rsidRPr="008D4906" w:rsidRDefault="008D4906">
    <w:pPr>
      <w:pStyle w:val="Header"/>
      <w:rPr>
        <w:b/>
        <w:bCs/>
        <w:u w:val="single"/>
        <w:lang w:val="es-EC"/>
      </w:rPr>
    </w:pPr>
    <w:r w:rsidRPr="008D4906">
      <w:rPr>
        <w:b/>
        <w:bCs/>
        <w:u w:val="single"/>
        <w:lang w:val="es-EC"/>
      </w:rPr>
      <w:t>VISACOM SA.</w:t>
    </w:r>
  </w:p>
  <w:p w14:paraId="7C0427EE" w14:textId="7DC0FC1A" w:rsidR="008D4906" w:rsidRPr="008D4906" w:rsidRDefault="008D4906">
    <w:pPr>
      <w:pStyle w:val="Header"/>
      <w:rPr>
        <w:b/>
        <w:bCs/>
        <w:lang w:val="es-EC"/>
      </w:rPr>
    </w:pPr>
    <w:r w:rsidRPr="008D4906">
      <w:rPr>
        <w:b/>
        <w:bCs/>
        <w:lang w:val="es-EC"/>
      </w:rPr>
      <w:t>IDENTIFICACION DE PARTES RELACIONADAS</w:t>
    </w:r>
  </w:p>
  <w:p w14:paraId="6F946BBA" w14:textId="325E1D68" w:rsidR="008D4906" w:rsidRPr="008D4906" w:rsidRDefault="008D4906">
    <w:pPr>
      <w:pStyle w:val="Header"/>
      <w:rPr>
        <w:b/>
        <w:bCs/>
        <w:lang w:val="es-EC"/>
      </w:rPr>
    </w:pPr>
    <w:r w:rsidRPr="008D4906">
      <w:rPr>
        <w:b/>
        <w:bCs/>
        <w:lang w:val="es-EC"/>
      </w:rPr>
      <w:t>Al 31 de diciembre del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DB1"/>
    <w:rsid w:val="00092C07"/>
    <w:rsid w:val="000E2A3A"/>
    <w:rsid w:val="002E0D16"/>
    <w:rsid w:val="00662C66"/>
    <w:rsid w:val="00724F87"/>
    <w:rsid w:val="008D4906"/>
    <w:rsid w:val="008F297B"/>
    <w:rsid w:val="00B84B9C"/>
    <w:rsid w:val="00BE4D3E"/>
    <w:rsid w:val="00F3603A"/>
    <w:rsid w:val="00FB4C85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36EF"/>
  <w15:docId w15:val="{888640BC-3830-4203-AD46-50AAF691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D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49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06"/>
  </w:style>
  <w:style w:type="paragraph" w:styleId="Footer">
    <w:name w:val="footer"/>
    <w:basedOn w:val="Normal"/>
    <w:link w:val="FooterChar"/>
    <w:uiPriority w:val="99"/>
    <w:unhideWhenUsed/>
    <w:rsid w:val="008D49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307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Contadores Públicos Almeida</dc:creator>
  <cp:lastModifiedBy>Carlos-Gustavo Almeida</cp:lastModifiedBy>
  <cp:revision>4</cp:revision>
  <dcterms:created xsi:type="dcterms:W3CDTF">2017-10-10T22:14:00Z</dcterms:created>
  <dcterms:modified xsi:type="dcterms:W3CDTF">2020-03-06T23:14:00Z</dcterms:modified>
</cp:coreProperties>
</file>