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CARLOS JAVIER DELGADO FIGUEROA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67.088,00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tbl>
      <w:tblPr>
        <w:tblW w:w="8500" w:type="dxa"/>
        <w:jc w:val="left"/>
        <w:tblInd w:w="-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1"/>
        <w:gridCol w:w="2157"/>
        <w:gridCol w:w="3678"/>
        <w:gridCol w:w="1304"/>
      </w:tblGrid>
      <w:tr>
        <w:trPr>
          <w:trHeight w:val="293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rFonts w:eastAsia="Calibri" w:ascii="Futura-Light" w:hAnsi="Futura-Light" w:eastAsiaTheme="minorHAnsi"/>
                <w:b/>
                <w:sz w:val="18"/>
                <w:szCs w:val="18"/>
              </w:rPr>
              <w:t>Fecha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 Documento</w:t>
            </w:r>
          </w:p>
        </w:tc>
        <w:tc>
          <w:tcPr>
            <w:tcW w:w="3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Persona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Precio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13/10/20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001-001-000000916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380.00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13/10/20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001-001-000000916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383.00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13/10/20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001-001-000000917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05/10/20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001-001-000000915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1,023.75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05/10/20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001-001-000000915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001-001-000000910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96.25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001-001-000000909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320.00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24/08/20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001-001-000000908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24/08/20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001-001-000000907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001-001-000000901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3,445.00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001-001-000000901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390.00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001-001-000000901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345.00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001-001-000000901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1,625.00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09/03/20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001-001-000000589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2,828.00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09/03/20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001-001-000000588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4,600.00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19/02/20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001-001-000000587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2,350.00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19/02/20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001-001-000000587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19/02/20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001-001-000000584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1,040.00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19/02/20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001-001-000000586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5,850.00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17/02/20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001-001-000000583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4,150.00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03/02/20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001-001-000000582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3,750.00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001-001-000000581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21,600.00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001-001-000000573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2,657.00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001-001-000000573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350.00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001-001-000000573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925.00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001-001-000000571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875.00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001-001-000000571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1,740.00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001-001-000000571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80.00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001-001-000000574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930.00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001-001-000000574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728.00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001-001-000000579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125.00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001-001-000000575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228.00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001-001-000000576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001-001-000000576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874.00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001-001-000000578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780.00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06/01/20</w:t>
            </w:r>
          </w:p>
        </w:tc>
        <w:tc>
          <w:tcPr>
            <w:tcW w:w="21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001-001-000000578</w:t>
            </w:r>
          </w:p>
        </w:tc>
        <w:tc>
          <w:tcPr>
            <w:tcW w:w="3678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500.00</w:t>
            </w:r>
          </w:p>
        </w:tc>
      </w:tr>
      <w:tr>
        <w:trPr>
          <w:trHeight w:val="293" w:hRule="atLeast"/>
        </w:trPr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06/01/20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001-001-000000577</w:t>
            </w:r>
          </w:p>
        </w:tc>
        <w:tc>
          <w:tcPr>
            <w:tcW w:w="367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CARLOS JAVIER DELGADO FIGUEROA</w:t>
            </w:r>
          </w:p>
        </w:tc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340.00</w:t>
            </w:r>
          </w:p>
        </w:tc>
      </w:tr>
    </w:tbl>
    <w:p>
      <w:pPr>
        <w:pStyle w:val="Normal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2</Pages>
  <Words>520</Words>
  <Characters>3803</Characters>
  <CharactersWithSpaces>4144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2020-12-02T04:57:00Z</dcterms:created>
  <dc:creator>Melani Sandoval</dc:creator>
  <dc:description/>
  <dc:language>es-EC</dc:language>
  <cp:lastModifiedBy/>
  <dcterms:modified xsi:type="dcterms:W3CDTF">2020-12-04T12:04:44Z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