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  <w:szCs w:val="22"/>
        </w:rPr>
      </w:pPr>
      <w:r>
        <w:rPr>
          <w:rFonts w:eastAsia="Calibri" w:ascii="Futura light" w:hAnsi="Futura light" w:eastAsiaTheme="minorHAnsi"/>
          <w:b/>
          <w:sz w:val="20"/>
          <w:szCs w:val="22"/>
        </w:rPr>
        <w:t>BANCO GUAYAQUIL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Cs/>
          <w:sz w:val="20"/>
          <w:szCs w:val="22"/>
        </w:rPr>
      </w:pPr>
      <w:r>
        <w:rPr>
          <w:rFonts w:eastAsia="Calibri" w:ascii="Futura light" w:hAnsi="Futura light" w:eastAsiaTheme="minorHAnsi"/>
          <w:bCs/>
          <w:sz w:val="20"/>
          <w:szCs w:val="22"/>
        </w:rPr>
        <w:t>Presente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 light" w:hAnsi="Futura 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De nuestras consideraciones,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Según los estados financieros de nuestra Compañía, al 31 de octubre del 2020 mantenemos un saldo a cobrar que asciende a </w:t>
      </w:r>
      <w:r>
        <w:rPr>
          <w:rFonts w:eastAsia="Calibri" w:ascii="Futura light" w:hAnsi="Futura light" w:eastAsiaTheme="minorHAnsi"/>
          <w:b/>
          <w:bCs/>
          <w:sz w:val="20"/>
          <w:szCs w:val="22"/>
        </w:rPr>
        <w:t>US$1,485.32</w:t>
      </w:r>
      <w:r>
        <w:rPr>
          <w:rFonts w:eastAsia="Calibri" w:ascii="Futura light" w:hAnsi="Futura light" w:eastAsiaTheme="minorHAnsi"/>
          <w:sz w:val="20"/>
          <w:szCs w:val="22"/>
        </w:rPr>
        <w:t xml:space="preserve"> correspondiente a nuestras facturas #582 y #606 emitidas el 13 de agosto y 1º de octubre del 2020. Favor confirmar a nuestros Auditores su conformidad con este importe adeudado y, si hubiere alguna discrepancia, sírvanse proporcionarles sus observaciones al respecto.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Con la presente comunicación les remitimos un estado de cuenta que contiene el detalle de todas las facturas por ventas emitidas a ustedes durante el año 2020. Sírvanse confirmar su conformidad con tales transacciones o, alternativamente, enviar a nuestros Auditores su detalle de compras o transacciones totales realizadas con nosotros durante el presente año.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Favor proporcionar copia del contrato o acuerdo para prestación de servicios firmado entre las partes, si hubiera.</w:t>
      </w:r>
    </w:p>
    <w:p>
      <w:pPr>
        <w:pStyle w:val="ListParagrap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Cualquier otra información que consideren importante para propósitos de la auditoría independiente, tal como garantías o colaterales, anticipos pagados, condiciones de pago, etc.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Atentamente,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bCs/>
          <w:sz w:val="20"/>
        </w:rPr>
      </w:pPr>
      <w:r>
        <w:rPr>
          <w:rFonts w:eastAsia="Calibri" w:ascii="Futura light" w:hAnsi="Futura light" w:eastAsiaTheme="minorHAnsi"/>
          <w:b/>
          <w:bCs/>
          <w:sz w:val="20"/>
        </w:rPr>
        <w:t>VISACOM S.A.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María Dolores Casal Rizzo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PRESIDENTE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sectPr>
          <w:type w:val="nextPage"/>
          <w:pgSz w:w="11906" w:h="16838"/>
          <w:pgMar w:left="1701" w:right="1701" w:header="0" w:top="1417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Detalle de transacciones realizadas hasta octubre del 2020.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Para propósito de Auditoria Externa de VISACOM S.A.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/>
      </w:r>
    </w:p>
    <w:p>
      <w:pPr>
        <w:pStyle w:val="Normal"/>
        <w:spacing w:lineRule="auto" w:line="252"/>
        <w:jc w:val="both"/>
        <w:rPr>
          <w:b/>
          <w:b/>
          <w:bCs/>
        </w:rPr>
      </w:pPr>
      <w:r>
        <w:rPr>
          <w:b/>
          <w:bCs/>
        </w:rPr>
        <w:t>Facturas Emitidas</w:t>
      </w:r>
    </w:p>
    <w:tbl>
      <w:tblPr>
        <w:tblW w:w="9075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3"/>
        <w:gridCol w:w="1931"/>
        <w:gridCol w:w="3331"/>
        <w:gridCol w:w="2050"/>
      </w:tblGrid>
      <w:tr>
        <w:trPr>
          <w:trHeight w:val="276" w:hRule="atLeast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Razon Social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001-001-000000457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3,265.00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001-001-000000458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001-001-000000456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243.42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1,999.00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6,822.00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001-001-000000480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1,232.25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001-001-000000494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3,260.00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001-001-000000493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13,394.50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4,392.00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10/03/2020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001-001-000000515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16,770.00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1,914.00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001-001-000000556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1,232.25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11/08/2020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1,246.00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13/08/2020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001-001-000000582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001-001-000000457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391.80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001-001-000000458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001-001-000000456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29.21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239.88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818.64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001-001-000000480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147.87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001-001-000000494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391.20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001-001-000000493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1,607.34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527.04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10/03/2020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001-001-000000515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2,012.40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229.68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001-001-000000556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147.87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11/08/2020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149.52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13/08/2020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001-001-000000582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34.20</w:t>
            </w:r>
          </w:p>
        </w:tc>
      </w:tr>
      <w:tr>
        <w:trPr>
          <w:trHeight w:val="293" w:hRule="atLeast"/>
        </w:trPr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01/10/2020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001-001-000000606</w:t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1,163.41</w:t>
            </w:r>
          </w:p>
        </w:tc>
      </w:tr>
      <w:tr>
        <w:trPr>
          <w:trHeight w:val="276" w:hRule="atLeast"/>
        </w:trPr>
        <w:tc>
          <w:tcPr>
            <w:tcW w:w="176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1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64981.48</w:t>
            </w:r>
          </w:p>
        </w:tc>
      </w:tr>
      <w:tr>
        <w:trPr>
          <w:trHeight w:val="276" w:hRule="atLeast"/>
        </w:trPr>
        <w:tc>
          <w:tcPr>
            <w:tcW w:w="176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1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3694" w:type="dxa"/>
            <w:gridSpan w:val="2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spacing w:lineRule="auto" w:line="252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Notas de Credito</w:t>
            </w:r>
          </w:p>
        </w:tc>
        <w:tc>
          <w:tcPr>
            <w:tcW w:w="3331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Razon Social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001-001-000000047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001-001-000000048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1,999.00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001-001-000000049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6,822.00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001-001-000000047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25.80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001-001-000000048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239.88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001-001-000000049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818.64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25/06/2020</w:t>
            </w:r>
          </w:p>
        </w:tc>
        <w:tc>
          <w:tcPr>
            <w:tcW w:w="19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001-001-000000050</w:t>
            </w:r>
          </w:p>
        </w:tc>
        <w:tc>
          <w:tcPr>
            <w:tcW w:w="333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147.87</w:t>
            </w:r>
          </w:p>
        </w:tc>
      </w:tr>
      <w:tr>
        <w:trPr>
          <w:trHeight w:val="276" w:hRule="atLeast"/>
        </w:trPr>
        <w:tc>
          <w:tcPr>
            <w:tcW w:w="176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25/06/2020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NCT 001-001-000000050</w:t>
            </w: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 GUAYAQUIL S.A.</w:t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1,232.25</w:t>
            </w:r>
          </w:p>
        </w:tc>
      </w:tr>
      <w:tr>
        <w:trPr>
          <w:trHeight w:val="276" w:hRule="atLeast"/>
        </w:trPr>
        <w:tc>
          <w:tcPr>
            <w:tcW w:w="1763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31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31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11500.44</w:t>
            </w:r>
          </w:p>
        </w:tc>
      </w:tr>
    </w:tbl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Sírvase Confirmar que su conformidad con el detalle de las transacciones realizadas arriba presentado.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LibreOffice/6.4.6.2$Linux_X86_64 LibreOffice_project/40$Build-2</Application>
  <Pages>3</Pages>
  <Words>633</Words>
  <Characters>4325</Characters>
  <CharactersWithSpaces>4747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2020-12-02T05:53:00Z</dcterms:created>
  <dc:creator>Melani Sandoval</dc:creator>
  <dc:description/>
  <dc:language>es-EC</dc:language>
  <cp:lastModifiedBy/>
  <dcterms:modified xsi:type="dcterms:W3CDTF">2020-12-04T10:11:01Z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