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D1ECE" w14:textId="782B6235" w:rsidR="007B1142" w:rsidRDefault="00DD5FDE" w:rsidP="00E15AC1">
      <w:pPr>
        <w:pStyle w:val="Heading2"/>
        <w:spacing w:before="0"/>
        <w:rPr>
          <w:rFonts w:ascii="Arial" w:hAnsi="Arial" w:cs="Arial"/>
          <w:sz w:val="22"/>
          <w:szCs w:val="22"/>
        </w:rPr>
      </w:pPr>
      <w:r>
        <w:rPr>
          <w:rFonts w:ascii="Arial" w:hAnsi="Arial" w:cs="Arial"/>
          <w:sz w:val="22"/>
          <w:szCs w:val="22"/>
        </w:rPr>
        <w:t>I - NATURALEZA DE LA ENTIDAD</w:t>
      </w:r>
    </w:p>
    <w:p w14:paraId="12AE9031" w14:textId="77777777" w:rsidR="008C4994" w:rsidRPr="008C4994" w:rsidRDefault="008C4994" w:rsidP="008C4994">
      <w:pPr>
        <w:pStyle w:val="BodyText"/>
        <w:spacing w:after="0"/>
        <w:ind w:left="720"/>
        <w:jc w:val="both"/>
      </w:pPr>
    </w:p>
    <w:p w14:paraId="7AD39B26" w14:textId="08D94812" w:rsidR="007B1142" w:rsidRDefault="00DD5FDE" w:rsidP="00B73F57">
      <w:pPr>
        <w:pStyle w:val="BodyText"/>
        <w:spacing w:after="0"/>
        <w:jc w:val="both"/>
      </w:pPr>
      <w:r>
        <w:rPr>
          <w:rFonts w:ascii="Arial" w:hAnsi="Arial" w:cs="Arial"/>
          <w:u w:val="single"/>
        </w:rPr>
        <w:t>Operaciones</w:t>
      </w:r>
      <w:r>
        <w:rPr>
          <w:rFonts w:ascii="Arial" w:hAnsi="Arial" w:cs="Arial"/>
        </w:rPr>
        <w:t xml:space="preserve"> - </w:t>
      </w:r>
      <w:proofErr w:type="spellStart"/>
      <w:r>
        <w:rPr>
          <w:rFonts w:ascii="Arial" w:hAnsi="Arial" w:cs="Arial"/>
        </w:rPr>
        <w:t>Linkotel</w:t>
      </w:r>
      <w:proofErr w:type="spellEnd"/>
      <w:r>
        <w:rPr>
          <w:rFonts w:ascii="Arial" w:hAnsi="Arial" w:cs="Arial"/>
        </w:rPr>
        <w:t xml:space="preserve"> S.A. es una empresa privada que se dedica</w:t>
      </w:r>
      <w:r w:rsidR="000545C1">
        <w:rPr>
          <w:rFonts w:ascii="Arial" w:hAnsi="Arial" w:cs="Arial"/>
        </w:rPr>
        <w:t xml:space="preserve"> a la prestación de</w:t>
      </w:r>
      <w:r>
        <w:rPr>
          <w:rFonts w:ascii="Arial" w:hAnsi="Arial" w:cs="Arial"/>
        </w:rPr>
        <w:t xml:space="preserve"> servicios de telecomunicacione</w:t>
      </w:r>
      <w:r w:rsidR="000545C1">
        <w:rPr>
          <w:rFonts w:ascii="Arial" w:hAnsi="Arial" w:cs="Arial"/>
        </w:rPr>
        <w:t>s, principalmente</w:t>
      </w:r>
      <w:r>
        <w:rPr>
          <w:rFonts w:ascii="Arial" w:hAnsi="Arial" w:cs="Arial"/>
        </w:rPr>
        <w:t xml:space="preserve"> </w:t>
      </w:r>
      <w:r w:rsidR="0025447B">
        <w:rPr>
          <w:rFonts w:ascii="Arial" w:hAnsi="Arial" w:cs="Arial"/>
        </w:rPr>
        <w:t>telefonía fija</w:t>
      </w:r>
      <w:r w:rsidR="000545C1">
        <w:rPr>
          <w:rFonts w:ascii="Arial" w:hAnsi="Arial" w:cs="Arial"/>
        </w:rPr>
        <w:t xml:space="preserve">, así como interconexión con otras empresas operadoras de telecomunicaciones </w:t>
      </w:r>
      <w:r w:rsidR="0025447B">
        <w:rPr>
          <w:rFonts w:ascii="Arial" w:hAnsi="Arial" w:cs="Arial"/>
        </w:rPr>
        <w:t xml:space="preserve">(fijas y móviles) </w:t>
      </w:r>
      <w:r w:rsidR="000545C1">
        <w:rPr>
          <w:rFonts w:ascii="Arial" w:hAnsi="Arial" w:cs="Arial"/>
        </w:rPr>
        <w:t>nacionales y del exterior</w:t>
      </w:r>
      <w:r w:rsidR="0025447B">
        <w:rPr>
          <w:rFonts w:ascii="Arial" w:hAnsi="Arial" w:cs="Arial"/>
        </w:rPr>
        <w:t>; s</w:t>
      </w:r>
      <w:r w:rsidR="000545C1">
        <w:rPr>
          <w:rFonts w:ascii="Arial" w:hAnsi="Arial" w:cs="Arial"/>
        </w:rPr>
        <w:t>u actividad también incluye el mantenimiento de redes locales de telecomunicaciones</w:t>
      </w:r>
      <w:r w:rsidR="0025447B">
        <w:rPr>
          <w:rFonts w:ascii="Arial" w:hAnsi="Arial" w:cs="Arial"/>
        </w:rPr>
        <w:t>, públicas y privadas.</w:t>
      </w:r>
    </w:p>
    <w:p w14:paraId="62DFCDAA" w14:textId="77777777" w:rsidR="007B6609" w:rsidRDefault="007B6609" w:rsidP="00F60674">
      <w:pPr>
        <w:pStyle w:val="BodyText"/>
        <w:spacing w:after="0"/>
        <w:ind w:left="720"/>
        <w:jc w:val="both"/>
        <w:rPr>
          <w:rFonts w:ascii="Arial" w:hAnsi="Arial" w:cs="Arial"/>
        </w:rPr>
      </w:pPr>
    </w:p>
    <w:p w14:paraId="07476AEC" w14:textId="792DBB3E" w:rsidR="007B1142" w:rsidRDefault="00DD5FDE" w:rsidP="00B73F57">
      <w:pPr>
        <w:pStyle w:val="BodyText"/>
        <w:spacing w:after="0"/>
        <w:jc w:val="both"/>
        <w:rPr>
          <w:rFonts w:ascii="Arial" w:hAnsi="Arial" w:cs="Arial"/>
        </w:rPr>
      </w:pPr>
      <w:proofErr w:type="spellStart"/>
      <w:r>
        <w:rPr>
          <w:rFonts w:ascii="Arial" w:hAnsi="Arial" w:cs="Arial"/>
        </w:rPr>
        <w:t>Linkotel</w:t>
      </w:r>
      <w:proofErr w:type="spellEnd"/>
      <w:r>
        <w:rPr>
          <w:rFonts w:ascii="Arial" w:hAnsi="Arial" w:cs="Arial"/>
        </w:rPr>
        <w:t xml:space="preserve"> comenzó sus operaciones </w:t>
      </w:r>
      <w:r w:rsidR="000545C1">
        <w:rPr>
          <w:rFonts w:ascii="Arial" w:hAnsi="Arial" w:cs="Arial"/>
        </w:rPr>
        <w:t>en</w:t>
      </w:r>
      <w:r>
        <w:rPr>
          <w:rFonts w:ascii="Arial" w:hAnsi="Arial" w:cs="Arial"/>
        </w:rPr>
        <w:t xml:space="preserve"> noviembre del 2001 </w:t>
      </w:r>
      <w:r w:rsidR="00AA2703">
        <w:rPr>
          <w:rFonts w:ascii="Arial" w:hAnsi="Arial" w:cs="Arial"/>
        </w:rPr>
        <w:t xml:space="preserve">ofreciendo servicio de telefonía a través de centrales telefónicas. El avance de la tecnología y la penetración de internet ha hecho que el servicio mediante centrales telefónicas quede obsoleto pues las telecomunicaciones se dirigen a través de la nube (CLOUD PBX), para lo cual la empresa aprovecha las conexiones de internet de los clientes de </w:t>
      </w:r>
      <w:proofErr w:type="spellStart"/>
      <w:r w:rsidR="00AA2703">
        <w:rPr>
          <w:rFonts w:ascii="Arial" w:hAnsi="Arial" w:cs="Arial"/>
        </w:rPr>
        <w:t>Telconet</w:t>
      </w:r>
      <w:proofErr w:type="spellEnd"/>
      <w:r w:rsidR="00AA2703">
        <w:rPr>
          <w:rFonts w:ascii="Arial" w:hAnsi="Arial" w:cs="Arial"/>
        </w:rPr>
        <w:t xml:space="preserve"> (Accionista) y </w:t>
      </w:r>
      <w:proofErr w:type="spellStart"/>
      <w:r w:rsidR="00AA2703">
        <w:rPr>
          <w:rFonts w:ascii="Arial" w:hAnsi="Arial" w:cs="Arial"/>
        </w:rPr>
        <w:t>Megadatos</w:t>
      </w:r>
      <w:proofErr w:type="spellEnd"/>
      <w:r w:rsidR="00AA2703">
        <w:rPr>
          <w:rFonts w:ascii="Arial" w:hAnsi="Arial" w:cs="Arial"/>
        </w:rPr>
        <w:t xml:space="preserve"> (empresa relacionada).</w:t>
      </w:r>
      <w:r>
        <w:rPr>
          <w:rFonts w:ascii="Arial" w:hAnsi="Arial" w:cs="Arial"/>
        </w:rPr>
        <w:t xml:space="preserve"> La intención de los directivos de la empresa es ampliar su mercado </w:t>
      </w:r>
      <w:r w:rsidR="00AA2703">
        <w:rPr>
          <w:rFonts w:ascii="Arial" w:hAnsi="Arial" w:cs="Arial"/>
        </w:rPr>
        <w:t>compitiendo</w:t>
      </w:r>
      <w:r>
        <w:rPr>
          <w:rFonts w:ascii="Arial" w:hAnsi="Arial" w:cs="Arial"/>
        </w:rPr>
        <w:t xml:space="preserve"> </w:t>
      </w:r>
      <w:r w:rsidR="00AA2703">
        <w:rPr>
          <w:rFonts w:ascii="Arial" w:hAnsi="Arial" w:cs="Arial"/>
        </w:rPr>
        <w:t>principalmente</w:t>
      </w:r>
      <w:r>
        <w:rPr>
          <w:rFonts w:ascii="Arial" w:hAnsi="Arial" w:cs="Arial"/>
        </w:rPr>
        <w:t xml:space="preserve"> en las zonas cubiertas por</w:t>
      </w:r>
      <w:r w:rsidR="00845DEA">
        <w:rPr>
          <w:rFonts w:ascii="Arial" w:hAnsi="Arial" w:cs="Arial"/>
        </w:rPr>
        <w:t xml:space="preserve"> CNT</w:t>
      </w:r>
      <w:r w:rsidR="000545C1">
        <w:rPr>
          <w:rFonts w:ascii="Arial" w:hAnsi="Arial" w:cs="Arial"/>
        </w:rPr>
        <w:t xml:space="preserve">, compañía del estado ecuatoriano que </w:t>
      </w:r>
      <w:r w:rsidR="0025447B">
        <w:rPr>
          <w:rFonts w:ascii="Arial" w:hAnsi="Arial" w:cs="Arial"/>
        </w:rPr>
        <w:t>cubre aproximadamente el 83% del mercado de telefonía fija.</w:t>
      </w:r>
    </w:p>
    <w:p w14:paraId="5454036E" w14:textId="3614872D" w:rsidR="00E70255" w:rsidRDefault="00E70255" w:rsidP="00F60674">
      <w:pPr>
        <w:pStyle w:val="BodyText"/>
        <w:spacing w:after="0"/>
        <w:ind w:left="720"/>
        <w:jc w:val="both"/>
        <w:rPr>
          <w:rFonts w:ascii="Arial" w:hAnsi="Arial" w:cs="Arial"/>
        </w:rPr>
      </w:pPr>
    </w:p>
    <w:p w14:paraId="4C92989F" w14:textId="7A1AD667" w:rsidR="00E70255" w:rsidRDefault="00E70255" w:rsidP="00B73F57">
      <w:pPr>
        <w:pStyle w:val="BodyText"/>
        <w:spacing w:after="0"/>
        <w:jc w:val="both"/>
        <w:rPr>
          <w:rFonts w:ascii="Arial" w:hAnsi="Arial" w:cs="Arial"/>
        </w:rPr>
      </w:pPr>
      <w:r>
        <w:rPr>
          <w:rFonts w:ascii="Arial" w:hAnsi="Arial" w:cs="Arial"/>
        </w:rPr>
        <w:t xml:space="preserve">La compañía tiene una nómina de 10 empleados: Vendedor, Contador y un Asistente Contable, Programador, </w:t>
      </w:r>
      <w:proofErr w:type="gramStart"/>
      <w:r>
        <w:rPr>
          <w:rFonts w:ascii="Arial" w:hAnsi="Arial" w:cs="Arial"/>
        </w:rPr>
        <w:t>Jefe</w:t>
      </w:r>
      <w:proofErr w:type="gramEnd"/>
      <w:r>
        <w:rPr>
          <w:rFonts w:ascii="Arial" w:hAnsi="Arial" w:cs="Arial"/>
        </w:rPr>
        <w:t xml:space="preserve"> del departamento jurídico, Jefe de Servicio al Cliente, Mensajero y dos Secretarias Recepcionistas</w:t>
      </w:r>
      <w:r w:rsidR="00D87518">
        <w:rPr>
          <w:rFonts w:ascii="Arial" w:hAnsi="Arial" w:cs="Arial"/>
        </w:rPr>
        <w:t xml:space="preserve">; el Representante Legal </w:t>
      </w:r>
      <w:r w:rsidR="00D30FDB">
        <w:rPr>
          <w:rFonts w:ascii="Arial" w:hAnsi="Arial" w:cs="Arial"/>
        </w:rPr>
        <w:t>y el personal técnico: Francisco Estupiñán y Byron Baque facturan mensualmente honorarios profesionales.</w:t>
      </w:r>
      <w:r w:rsidR="00651704">
        <w:rPr>
          <w:rFonts w:ascii="Arial" w:hAnsi="Arial" w:cs="Arial"/>
        </w:rPr>
        <w:t xml:space="preserve"> Los honorarios mensuales del Representante Legal son fijados por la Junta de Accionistas.</w:t>
      </w:r>
    </w:p>
    <w:p w14:paraId="0C56B020" w14:textId="5346AB62" w:rsidR="00F60674" w:rsidRDefault="00F60674" w:rsidP="00F60674">
      <w:pPr>
        <w:pStyle w:val="BodyText"/>
        <w:spacing w:after="0"/>
        <w:ind w:left="720"/>
        <w:jc w:val="both"/>
      </w:pPr>
    </w:p>
    <w:p w14:paraId="5929B268" w14:textId="44C14670" w:rsidR="00D87518" w:rsidRPr="00D87518" w:rsidRDefault="00D87518" w:rsidP="00B73F57">
      <w:pPr>
        <w:pStyle w:val="BodyText"/>
        <w:spacing w:after="0"/>
        <w:jc w:val="both"/>
        <w:rPr>
          <w:rFonts w:ascii="Arial" w:hAnsi="Arial" w:cs="Arial"/>
        </w:rPr>
      </w:pPr>
      <w:r w:rsidRPr="0051060F">
        <w:rPr>
          <w:rFonts w:ascii="Arial" w:hAnsi="Arial" w:cs="Arial"/>
        </w:rPr>
        <w:t>L</w:t>
      </w:r>
      <w:r w:rsidR="0051060F">
        <w:rPr>
          <w:rFonts w:ascii="Arial" w:hAnsi="Arial" w:cs="Arial"/>
        </w:rPr>
        <w:t>a empresa</w:t>
      </w:r>
      <w:r w:rsidRPr="0051060F">
        <w:rPr>
          <w:rFonts w:ascii="Arial" w:hAnsi="Arial" w:cs="Arial"/>
        </w:rPr>
        <w:t xml:space="preserve"> funciona en el mismo edificio de su accionista </w:t>
      </w:r>
      <w:proofErr w:type="spellStart"/>
      <w:r w:rsidRPr="0051060F">
        <w:rPr>
          <w:rFonts w:ascii="Arial" w:hAnsi="Arial" w:cs="Arial"/>
        </w:rPr>
        <w:t>Telconet</w:t>
      </w:r>
      <w:proofErr w:type="spellEnd"/>
      <w:r w:rsidRPr="0051060F">
        <w:rPr>
          <w:rFonts w:ascii="Arial" w:hAnsi="Arial" w:cs="Arial"/>
        </w:rPr>
        <w:t xml:space="preserve">, compartiendo </w:t>
      </w:r>
      <w:r w:rsidR="00C9224C" w:rsidRPr="0051060F">
        <w:rPr>
          <w:rFonts w:ascii="Arial" w:hAnsi="Arial" w:cs="Arial"/>
        </w:rPr>
        <w:t>instalaciones, aunque no se ha firmado contrato formal de arrendamiento y uso de instalaciones.</w:t>
      </w:r>
      <w:r w:rsidR="00651704">
        <w:rPr>
          <w:rFonts w:ascii="Arial" w:hAnsi="Arial" w:cs="Arial"/>
        </w:rPr>
        <w:t xml:space="preserve"> </w:t>
      </w:r>
    </w:p>
    <w:p w14:paraId="44C93E0E" w14:textId="77777777" w:rsidR="00D87518" w:rsidRPr="00D87518" w:rsidRDefault="00D87518" w:rsidP="00F60674">
      <w:pPr>
        <w:pStyle w:val="BodyText"/>
        <w:spacing w:after="0"/>
        <w:ind w:left="720"/>
        <w:jc w:val="both"/>
        <w:rPr>
          <w:rFonts w:ascii="Arial" w:hAnsi="Arial" w:cs="Arial"/>
        </w:rPr>
      </w:pPr>
    </w:p>
    <w:p w14:paraId="7AE8EEC3" w14:textId="45B8147F" w:rsidR="007B1142" w:rsidRPr="00D30FDB" w:rsidRDefault="00DD5FDE" w:rsidP="00651704">
      <w:pPr>
        <w:pStyle w:val="BodyText"/>
        <w:numPr>
          <w:ilvl w:val="0"/>
          <w:numId w:val="1"/>
        </w:numPr>
        <w:spacing w:after="0"/>
        <w:jc w:val="both"/>
        <w:rPr>
          <w:highlight w:val="yellow"/>
        </w:rPr>
      </w:pPr>
      <w:r w:rsidRPr="00651704">
        <w:rPr>
          <w:rFonts w:ascii="Arial" w:hAnsi="Arial" w:cs="Arial"/>
          <w:u w:val="single"/>
        </w:rPr>
        <w:t>Propiedad</w:t>
      </w:r>
      <w:r>
        <w:rPr>
          <w:rFonts w:ascii="Arial" w:hAnsi="Arial" w:cs="Arial"/>
          <w:u w:val="single"/>
        </w:rPr>
        <w:t xml:space="preserve"> y Gobierno</w:t>
      </w:r>
      <w:r>
        <w:rPr>
          <w:rFonts w:ascii="Arial" w:hAnsi="Arial" w:cs="Arial"/>
        </w:rPr>
        <w:t xml:space="preserve"> – La compañía es de propiedad privada teniendo como sus principales Accionistas: </w:t>
      </w:r>
      <w:proofErr w:type="spellStart"/>
      <w:r>
        <w:rPr>
          <w:rFonts w:ascii="Arial" w:hAnsi="Arial" w:cs="Arial"/>
        </w:rPr>
        <w:t>T</w:t>
      </w:r>
      <w:r w:rsidR="0025447B">
        <w:rPr>
          <w:rFonts w:ascii="Arial" w:hAnsi="Arial" w:cs="Arial"/>
        </w:rPr>
        <w:t>elconet</w:t>
      </w:r>
      <w:proofErr w:type="spellEnd"/>
      <w:r>
        <w:rPr>
          <w:rFonts w:ascii="Arial" w:hAnsi="Arial" w:cs="Arial"/>
        </w:rPr>
        <w:t xml:space="preserve"> S.A (99%) y </w:t>
      </w:r>
      <w:r w:rsidR="007D39A2">
        <w:rPr>
          <w:rFonts w:ascii="Arial" w:hAnsi="Arial" w:cs="Arial"/>
        </w:rPr>
        <w:t xml:space="preserve">Jan </w:t>
      </w:r>
      <w:proofErr w:type="spellStart"/>
      <w:r>
        <w:rPr>
          <w:rFonts w:ascii="Arial" w:hAnsi="Arial" w:cs="Arial"/>
        </w:rPr>
        <w:t>Topic</w:t>
      </w:r>
      <w:proofErr w:type="spellEnd"/>
      <w:r>
        <w:rPr>
          <w:rFonts w:ascii="Arial" w:hAnsi="Arial" w:cs="Arial"/>
        </w:rPr>
        <w:t xml:space="preserve"> </w:t>
      </w:r>
      <w:proofErr w:type="spellStart"/>
      <w:r>
        <w:rPr>
          <w:rFonts w:ascii="Arial" w:hAnsi="Arial" w:cs="Arial"/>
        </w:rPr>
        <w:t>Feraud</w:t>
      </w:r>
      <w:proofErr w:type="spellEnd"/>
      <w:r>
        <w:rPr>
          <w:rFonts w:ascii="Arial" w:hAnsi="Arial" w:cs="Arial"/>
        </w:rPr>
        <w:t xml:space="preserve"> (1%). El administrador de la empresa es el Ing. </w:t>
      </w:r>
      <w:r w:rsidR="007D39A2">
        <w:rPr>
          <w:rFonts w:ascii="Arial" w:hAnsi="Arial" w:cs="Arial"/>
        </w:rPr>
        <w:t xml:space="preserve">Pablo </w:t>
      </w:r>
      <w:r>
        <w:rPr>
          <w:rFonts w:ascii="Arial" w:hAnsi="Arial" w:cs="Arial"/>
        </w:rPr>
        <w:t>Baquerizo Dávila como presidente de la compañía</w:t>
      </w:r>
      <w:r w:rsidR="00D30FDB">
        <w:rPr>
          <w:rFonts w:ascii="Arial" w:hAnsi="Arial" w:cs="Arial"/>
        </w:rPr>
        <w:t xml:space="preserve"> </w:t>
      </w:r>
    </w:p>
    <w:p w14:paraId="551CA740" w14:textId="77777777" w:rsidR="007B1142" w:rsidRDefault="007B1142">
      <w:pPr>
        <w:pStyle w:val="BodyText"/>
        <w:spacing w:after="0"/>
        <w:ind w:left="720"/>
        <w:jc w:val="both"/>
        <w:rPr>
          <w:rFonts w:ascii="Arial" w:hAnsi="Arial" w:cs="Arial"/>
        </w:rPr>
      </w:pPr>
    </w:p>
    <w:p w14:paraId="419C8FD6" w14:textId="4BA70F16" w:rsidR="002A65E6" w:rsidRPr="0024716F" w:rsidRDefault="00DD5FDE" w:rsidP="002A65E6">
      <w:pPr>
        <w:pStyle w:val="BodyText"/>
        <w:numPr>
          <w:ilvl w:val="0"/>
          <w:numId w:val="1"/>
        </w:numPr>
        <w:spacing w:after="0"/>
        <w:jc w:val="both"/>
      </w:pPr>
      <w:r w:rsidRPr="00766C40">
        <w:rPr>
          <w:rFonts w:ascii="Arial" w:hAnsi="Arial" w:cs="Arial"/>
          <w:u w:val="single"/>
        </w:rPr>
        <w:t>Estructura y Financiamiento</w:t>
      </w:r>
      <w:r w:rsidR="00766C40" w:rsidRPr="00766C40">
        <w:rPr>
          <w:rFonts w:ascii="Arial" w:hAnsi="Arial" w:cs="Arial"/>
        </w:rPr>
        <w:t xml:space="preserve">: </w:t>
      </w:r>
    </w:p>
    <w:p w14:paraId="62FAA1F8" w14:textId="4424A546" w:rsidR="0024716F" w:rsidRDefault="0024716F" w:rsidP="0024716F">
      <w:pPr>
        <w:pStyle w:val="BodyText"/>
        <w:spacing w:after="0"/>
        <w:ind w:left="720"/>
        <w:jc w:val="both"/>
        <w:rPr>
          <w:rFonts w:ascii="Arial" w:hAnsi="Arial" w:cs="Arial"/>
          <w:u w:val="single"/>
        </w:rPr>
      </w:pPr>
    </w:p>
    <w:p w14:paraId="4CE543C6" w14:textId="1999C678" w:rsidR="0024716F" w:rsidRDefault="0024716F" w:rsidP="0024716F">
      <w:pPr>
        <w:pStyle w:val="BodyText"/>
        <w:spacing w:after="0"/>
        <w:ind w:left="720"/>
        <w:jc w:val="both"/>
        <w:rPr>
          <w:rFonts w:ascii="Arial" w:hAnsi="Arial" w:cs="Arial"/>
        </w:rPr>
      </w:pPr>
      <w:r>
        <w:rPr>
          <w:rFonts w:ascii="Arial" w:hAnsi="Arial" w:cs="Arial"/>
        </w:rPr>
        <w:t xml:space="preserve">Hasta el año 2020 la empresa mantenía importantes saldos por cobrar y por pagar con su Accionista </w:t>
      </w:r>
      <w:proofErr w:type="spellStart"/>
      <w:r>
        <w:rPr>
          <w:rFonts w:ascii="Arial" w:hAnsi="Arial" w:cs="Arial"/>
        </w:rPr>
        <w:t>Telconet</w:t>
      </w:r>
      <w:proofErr w:type="spellEnd"/>
      <w:r>
        <w:rPr>
          <w:rFonts w:ascii="Arial" w:hAnsi="Arial" w:cs="Arial"/>
        </w:rPr>
        <w:t>, tanto a corto como largo plazo, lo cual afectaba significativamente los indicadores de liquidez y apalancamiento. En el año 2021 se cancelaron tales cuentas (mediante compensación de saldos)</w:t>
      </w:r>
    </w:p>
    <w:p w14:paraId="3B5FBABE" w14:textId="628BD9FF" w:rsidR="0024716F" w:rsidRDefault="0024716F" w:rsidP="0024716F">
      <w:pPr>
        <w:pStyle w:val="BodyText"/>
        <w:spacing w:after="0"/>
        <w:ind w:left="720"/>
        <w:jc w:val="both"/>
        <w:rPr>
          <w:rFonts w:ascii="Arial" w:hAnsi="Arial" w:cs="Arial"/>
        </w:rPr>
      </w:pPr>
    </w:p>
    <w:p w14:paraId="2A36F6B6" w14:textId="32DC3D9B" w:rsidR="0024716F" w:rsidRPr="0024716F" w:rsidRDefault="0024716F" w:rsidP="0024716F">
      <w:pPr>
        <w:pStyle w:val="BodyText"/>
        <w:spacing w:after="0"/>
        <w:ind w:left="720"/>
        <w:jc w:val="both"/>
      </w:pPr>
      <w:r>
        <w:rPr>
          <w:rFonts w:ascii="Arial" w:hAnsi="Arial" w:cs="Arial"/>
        </w:rPr>
        <w:t xml:space="preserve">Las operaciones del negocio son financiadas mediante los flujos propios y, si se requiere financiamiento adicional, generalmente se cuenta con fondos que son provistos por </w:t>
      </w:r>
      <w:proofErr w:type="spellStart"/>
      <w:r>
        <w:rPr>
          <w:rFonts w:ascii="Arial" w:hAnsi="Arial" w:cs="Arial"/>
        </w:rPr>
        <w:t>Telconet</w:t>
      </w:r>
      <w:proofErr w:type="spellEnd"/>
      <w:r>
        <w:rPr>
          <w:rFonts w:ascii="Arial" w:hAnsi="Arial" w:cs="Arial"/>
        </w:rPr>
        <w:t>. A agosto del 2021 los pasivos de terceros financian el 20% del total de activos y el saldo corresponde al patrimonio de los Accionistas.</w:t>
      </w:r>
    </w:p>
    <w:p w14:paraId="554A6AD1" w14:textId="77777777" w:rsidR="00766C40" w:rsidRDefault="00766C40" w:rsidP="00766C40">
      <w:pPr>
        <w:pStyle w:val="BodyText"/>
        <w:spacing w:after="0"/>
        <w:ind w:left="720"/>
        <w:jc w:val="both"/>
      </w:pPr>
    </w:p>
    <w:tbl>
      <w:tblPr>
        <w:tblStyle w:val="TableGrid"/>
        <w:tblW w:w="0" w:type="auto"/>
        <w:tblInd w:w="708" w:type="dxa"/>
        <w:tblLook w:val="04A0" w:firstRow="1" w:lastRow="0" w:firstColumn="1" w:lastColumn="0" w:noHBand="0" w:noVBand="1"/>
      </w:tblPr>
      <w:tblGrid>
        <w:gridCol w:w="4674"/>
        <w:gridCol w:w="1134"/>
        <w:gridCol w:w="1134"/>
        <w:gridCol w:w="1134"/>
      </w:tblGrid>
      <w:tr w:rsidR="00651704" w14:paraId="3BA27C3A" w14:textId="77777777" w:rsidTr="009C3B5E">
        <w:tc>
          <w:tcPr>
            <w:tcW w:w="4674" w:type="dxa"/>
          </w:tcPr>
          <w:p w14:paraId="728A464F" w14:textId="3C19C3D0" w:rsidR="00651704" w:rsidRDefault="00651704" w:rsidP="002A65E6">
            <w:pPr>
              <w:pStyle w:val="BodyText"/>
              <w:spacing w:after="0"/>
              <w:jc w:val="center"/>
            </w:pPr>
            <w:r>
              <w:t>Indicador</w:t>
            </w:r>
          </w:p>
        </w:tc>
        <w:tc>
          <w:tcPr>
            <w:tcW w:w="1134" w:type="dxa"/>
          </w:tcPr>
          <w:p w14:paraId="7FD4A28C" w14:textId="7F798332" w:rsidR="00651704" w:rsidRDefault="00E8458C" w:rsidP="002A65E6">
            <w:pPr>
              <w:pStyle w:val="BodyText"/>
              <w:spacing w:after="0"/>
              <w:jc w:val="center"/>
            </w:pPr>
            <w:r>
              <w:t>a</w:t>
            </w:r>
            <w:r w:rsidR="00651704">
              <w:t>g-21</w:t>
            </w:r>
          </w:p>
        </w:tc>
        <w:tc>
          <w:tcPr>
            <w:tcW w:w="1134" w:type="dxa"/>
          </w:tcPr>
          <w:p w14:paraId="3DB83DA2" w14:textId="3C1EACB6" w:rsidR="00651704" w:rsidRDefault="00651704" w:rsidP="002A65E6">
            <w:pPr>
              <w:pStyle w:val="BodyText"/>
              <w:spacing w:after="0"/>
              <w:jc w:val="center"/>
            </w:pPr>
            <w:r>
              <w:t>dic-20</w:t>
            </w:r>
          </w:p>
        </w:tc>
        <w:tc>
          <w:tcPr>
            <w:tcW w:w="1134" w:type="dxa"/>
          </w:tcPr>
          <w:p w14:paraId="60215048" w14:textId="26300E81" w:rsidR="00651704" w:rsidRDefault="00651704" w:rsidP="002A65E6">
            <w:pPr>
              <w:pStyle w:val="BodyText"/>
              <w:spacing w:after="0"/>
              <w:jc w:val="center"/>
            </w:pPr>
            <w:r>
              <w:t>dic-19</w:t>
            </w:r>
          </w:p>
        </w:tc>
      </w:tr>
      <w:tr w:rsidR="00651704" w14:paraId="07F00067" w14:textId="77777777" w:rsidTr="009C3B5E">
        <w:tc>
          <w:tcPr>
            <w:tcW w:w="4674" w:type="dxa"/>
          </w:tcPr>
          <w:p w14:paraId="638485F9" w14:textId="1221B55C" w:rsidR="00651704" w:rsidRDefault="00651704" w:rsidP="002A65E6">
            <w:pPr>
              <w:pStyle w:val="BodyText"/>
              <w:spacing w:after="0"/>
              <w:jc w:val="both"/>
            </w:pPr>
            <w:r>
              <w:t>Activos corrientes/pasivos corrientes</w:t>
            </w:r>
          </w:p>
        </w:tc>
        <w:tc>
          <w:tcPr>
            <w:tcW w:w="1134" w:type="dxa"/>
          </w:tcPr>
          <w:p w14:paraId="37E647C4" w14:textId="0980A7B3" w:rsidR="00651704" w:rsidRDefault="00651704" w:rsidP="00766C40">
            <w:pPr>
              <w:pStyle w:val="BodyText"/>
              <w:spacing w:after="0"/>
              <w:jc w:val="right"/>
            </w:pPr>
            <w:r>
              <w:t>4,75</w:t>
            </w:r>
          </w:p>
        </w:tc>
        <w:tc>
          <w:tcPr>
            <w:tcW w:w="1134" w:type="dxa"/>
          </w:tcPr>
          <w:p w14:paraId="6E14978B" w14:textId="7F831F81" w:rsidR="00651704" w:rsidRDefault="00651704" w:rsidP="00766C40">
            <w:pPr>
              <w:pStyle w:val="BodyText"/>
              <w:spacing w:after="0"/>
              <w:jc w:val="right"/>
            </w:pPr>
            <w:r>
              <w:t>1,87</w:t>
            </w:r>
          </w:p>
        </w:tc>
        <w:tc>
          <w:tcPr>
            <w:tcW w:w="1134" w:type="dxa"/>
          </w:tcPr>
          <w:p w14:paraId="27069387" w14:textId="38E45348" w:rsidR="00651704" w:rsidRDefault="0024716F" w:rsidP="00766C40">
            <w:pPr>
              <w:pStyle w:val="BodyText"/>
              <w:spacing w:after="0"/>
              <w:jc w:val="right"/>
            </w:pPr>
            <w:r>
              <w:t>0,18</w:t>
            </w:r>
          </w:p>
        </w:tc>
      </w:tr>
      <w:tr w:rsidR="00651704" w14:paraId="5E43994E" w14:textId="77777777" w:rsidTr="009C3B5E">
        <w:tc>
          <w:tcPr>
            <w:tcW w:w="4674" w:type="dxa"/>
          </w:tcPr>
          <w:p w14:paraId="1D4C1FC0" w14:textId="17C3BFF0" w:rsidR="00651704" w:rsidRDefault="00651704" w:rsidP="002A65E6">
            <w:pPr>
              <w:pStyle w:val="BodyText"/>
              <w:spacing w:after="0"/>
              <w:jc w:val="both"/>
            </w:pPr>
            <w:r>
              <w:t>Activos corrientes/pasivos corrientes (excluyendo cuenta</w:t>
            </w:r>
            <w:r w:rsidR="0024716F">
              <w:t xml:space="preserve">s </w:t>
            </w:r>
            <w:r>
              <w:t>por cobrar</w:t>
            </w:r>
            <w:r w:rsidR="0024716F">
              <w:t xml:space="preserve"> y pagar</w:t>
            </w:r>
            <w:r>
              <w:t xml:space="preserve"> a </w:t>
            </w:r>
            <w:proofErr w:type="spellStart"/>
            <w:r>
              <w:t>Telconet</w:t>
            </w:r>
            <w:proofErr w:type="spellEnd"/>
            <w:r>
              <w:t>)</w:t>
            </w:r>
          </w:p>
        </w:tc>
        <w:tc>
          <w:tcPr>
            <w:tcW w:w="1134" w:type="dxa"/>
          </w:tcPr>
          <w:p w14:paraId="21E23CD4" w14:textId="77777777" w:rsidR="00651704" w:rsidRDefault="00651704" w:rsidP="00766C40">
            <w:pPr>
              <w:pStyle w:val="BodyText"/>
              <w:spacing w:after="0"/>
              <w:jc w:val="right"/>
            </w:pPr>
          </w:p>
          <w:p w14:paraId="1C9E10F9" w14:textId="6C8E15AB" w:rsidR="00651704" w:rsidRDefault="00651704" w:rsidP="00766C40">
            <w:pPr>
              <w:pStyle w:val="BodyText"/>
              <w:spacing w:after="0"/>
              <w:jc w:val="right"/>
            </w:pPr>
            <w:r>
              <w:t>4,10</w:t>
            </w:r>
          </w:p>
        </w:tc>
        <w:tc>
          <w:tcPr>
            <w:tcW w:w="1134" w:type="dxa"/>
          </w:tcPr>
          <w:p w14:paraId="1E654ADF" w14:textId="185C00F9" w:rsidR="00651704" w:rsidRDefault="00651704" w:rsidP="00766C40">
            <w:pPr>
              <w:pStyle w:val="BodyText"/>
              <w:spacing w:after="0"/>
              <w:jc w:val="right"/>
            </w:pPr>
          </w:p>
          <w:p w14:paraId="0C6AC24C" w14:textId="6FAAA3C5" w:rsidR="00651704" w:rsidRDefault="00651704" w:rsidP="00766C40">
            <w:pPr>
              <w:pStyle w:val="BodyText"/>
              <w:spacing w:after="0"/>
              <w:jc w:val="right"/>
            </w:pPr>
            <w:r>
              <w:t>1,49</w:t>
            </w:r>
          </w:p>
        </w:tc>
        <w:tc>
          <w:tcPr>
            <w:tcW w:w="1134" w:type="dxa"/>
          </w:tcPr>
          <w:p w14:paraId="5E662516" w14:textId="77777777" w:rsidR="00651704" w:rsidRDefault="00651704" w:rsidP="00766C40">
            <w:pPr>
              <w:pStyle w:val="BodyText"/>
              <w:spacing w:after="0"/>
              <w:jc w:val="right"/>
            </w:pPr>
          </w:p>
          <w:p w14:paraId="76ACA444" w14:textId="28F87325" w:rsidR="00651704" w:rsidRDefault="00651704" w:rsidP="00766C40">
            <w:pPr>
              <w:pStyle w:val="BodyText"/>
              <w:spacing w:after="0"/>
              <w:jc w:val="right"/>
            </w:pPr>
            <w:r>
              <w:t>0,26</w:t>
            </w:r>
          </w:p>
        </w:tc>
      </w:tr>
      <w:tr w:rsidR="00651704" w14:paraId="08575057" w14:textId="77777777" w:rsidTr="009C3B5E">
        <w:tc>
          <w:tcPr>
            <w:tcW w:w="4674" w:type="dxa"/>
          </w:tcPr>
          <w:p w14:paraId="625D34AD" w14:textId="1865F267" w:rsidR="00651704" w:rsidRDefault="00651704" w:rsidP="002A65E6">
            <w:pPr>
              <w:pStyle w:val="BodyText"/>
              <w:spacing w:after="0"/>
              <w:jc w:val="both"/>
            </w:pPr>
            <w:r>
              <w:t>Días promedio de cuentas por cobrar</w:t>
            </w:r>
          </w:p>
        </w:tc>
        <w:tc>
          <w:tcPr>
            <w:tcW w:w="1134" w:type="dxa"/>
          </w:tcPr>
          <w:p w14:paraId="04FA0F81" w14:textId="30E89CB1" w:rsidR="00651704" w:rsidRDefault="00651704" w:rsidP="00766C40">
            <w:pPr>
              <w:pStyle w:val="BodyText"/>
              <w:spacing w:after="0"/>
              <w:jc w:val="right"/>
            </w:pPr>
            <w:r>
              <w:t>12</w:t>
            </w:r>
          </w:p>
        </w:tc>
        <w:tc>
          <w:tcPr>
            <w:tcW w:w="1134" w:type="dxa"/>
          </w:tcPr>
          <w:p w14:paraId="2CBACDE8" w14:textId="4F9BA7C1" w:rsidR="00651704" w:rsidRDefault="00651704" w:rsidP="00766C40">
            <w:pPr>
              <w:pStyle w:val="BodyText"/>
              <w:spacing w:after="0"/>
              <w:jc w:val="right"/>
            </w:pPr>
            <w:r>
              <w:t>5</w:t>
            </w:r>
          </w:p>
        </w:tc>
        <w:tc>
          <w:tcPr>
            <w:tcW w:w="1134" w:type="dxa"/>
          </w:tcPr>
          <w:p w14:paraId="1579F6D4" w14:textId="7E0A7611" w:rsidR="00651704" w:rsidRDefault="00651704" w:rsidP="00766C40">
            <w:pPr>
              <w:pStyle w:val="BodyText"/>
              <w:spacing w:after="0"/>
              <w:jc w:val="right"/>
            </w:pPr>
            <w:r>
              <w:t>35</w:t>
            </w:r>
          </w:p>
        </w:tc>
      </w:tr>
      <w:tr w:rsidR="00651704" w14:paraId="590F7F9A" w14:textId="77777777" w:rsidTr="009C3B5E">
        <w:tc>
          <w:tcPr>
            <w:tcW w:w="4674" w:type="dxa"/>
          </w:tcPr>
          <w:p w14:paraId="406697FE" w14:textId="437559D2" w:rsidR="00651704" w:rsidRDefault="00651704" w:rsidP="002A65E6">
            <w:pPr>
              <w:pStyle w:val="BodyText"/>
              <w:spacing w:after="0"/>
              <w:jc w:val="both"/>
            </w:pPr>
            <w:r>
              <w:t>Días promedio de cuentas por pagar</w:t>
            </w:r>
          </w:p>
        </w:tc>
        <w:tc>
          <w:tcPr>
            <w:tcW w:w="1134" w:type="dxa"/>
          </w:tcPr>
          <w:p w14:paraId="6F9FEFE4" w14:textId="77777777" w:rsidR="00651704" w:rsidRDefault="00651704" w:rsidP="00766C40">
            <w:pPr>
              <w:pStyle w:val="BodyText"/>
              <w:spacing w:after="0"/>
              <w:jc w:val="right"/>
            </w:pPr>
          </w:p>
        </w:tc>
        <w:tc>
          <w:tcPr>
            <w:tcW w:w="1134" w:type="dxa"/>
          </w:tcPr>
          <w:p w14:paraId="3AE1C603" w14:textId="08318AA1" w:rsidR="00651704" w:rsidRDefault="00651704" w:rsidP="00766C40">
            <w:pPr>
              <w:pStyle w:val="BodyText"/>
              <w:spacing w:after="0"/>
              <w:jc w:val="right"/>
            </w:pPr>
          </w:p>
        </w:tc>
        <w:tc>
          <w:tcPr>
            <w:tcW w:w="1134" w:type="dxa"/>
          </w:tcPr>
          <w:p w14:paraId="027639A9" w14:textId="3E365E29" w:rsidR="00651704" w:rsidRDefault="00651704" w:rsidP="00766C40">
            <w:pPr>
              <w:pStyle w:val="BodyText"/>
              <w:spacing w:after="0"/>
              <w:jc w:val="right"/>
            </w:pPr>
          </w:p>
        </w:tc>
      </w:tr>
      <w:tr w:rsidR="00651704" w14:paraId="231A435C" w14:textId="77777777" w:rsidTr="009C3B5E">
        <w:tc>
          <w:tcPr>
            <w:tcW w:w="4674" w:type="dxa"/>
          </w:tcPr>
          <w:p w14:paraId="18B1DFD1" w14:textId="2D73338C" w:rsidR="00651704" w:rsidRDefault="00651704" w:rsidP="002A65E6">
            <w:pPr>
              <w:pStyle w:val="BodyText"/>
              <w:spacing w:after="0"/>
              <w:jc w:val="both"/>
            </w:pPr>
            <w:r>
              <w:t>Apalancamiento: Pasivos totales/Activos totales</w:t>
            </w:r>
          </w:p>
        </w:tc>
        <w:tc>
          <w:tcPr>
            <w:tcW w:w="1134" w:type="dxa"/>
          </w:tcPr>
          <w:p w14:paraId="050585BE" w14:textId="5FB5F4FD" w:rsidR="00651704" w:rsidRDefault="00651704" w:rsidP="00766C40">
            <w:pPr>
              <w:pStyle w:val="BodyText"/>
              <w:spacing w:after="0"/>
              <w:jc w:val="right"/>
            </w:pPr>
            <w:r>
              <w:t>0,20</w:t>
            </w:r>
          </w:p>
        </w:tc>
        <w:tc>
          <w:tcPr>
            <w:tcW w:w="1134" w:type="dxa"/>
          </w:tcPr>
          <w:p w14:paraId="7AE426F6" w14:textId="7D9962C6" w:rsidR="00651704" w:rsidRDefault="00651704" w:rsidP="00766C40">
            <w:pPr>
              <w:pStyle w:val="BodyText"/>
              <w:spacing w:after="0"/>
              <w:jc w:val="right"/>
            </w:pPr>
            <w:r>
              <w:t>0,63</w:t>
            </w:r>
          </w:p>
        </w:tc>
        <w:tc>
          <w:tcPr>
            <w:tcW w:w="1134" w:type="dxa"/>
          </w:tcPr>
          <w:p w14:paraId="1DB7985A" w14:textId="38A8363D" w:rsidR="00651704" w:rsidRDefault="00651704" w:rsidP="00766C40">
            <w:pPr>
              <w:pStyle w:val="BodyText"/>
              <w:spacing w:after="0"/>
              <w:jc w:val="right"/>
            </w:pPr>
            <w:r>
              <w:t>0,81</w:t>
            </w:r>
          </w:p>
        </w:tc>
      </w:tr>
      <w:tr w:rsidR="00651704" w14:paraId="665DABD6" w14:textId="77777777" w:rsidTr="009C3B5E">
        <w:tc>
          <w:tcPr>
            <w:tcW w:w="4674" w:type="dxa"/>
          </w:tcPr>
          <w:p w14:paraId="4196E847" w14:textId="2CB8015B" w:rsidR="00651704" w:rsidRDefault="00651704" w:rsidP="002A65E6">
            <w:pPr>
              <w:pStyle w:val="BodyText"/>
              <w:spacing w:after="0"/>
              <w:jc w:val="both"/>
            </w:pPr>
            <w:r>
              <w:t>Flujos operacionales</w:t>
            </w:r>
          </w:p>
        </w:tc>
        <w:tc>
          <w:tcPr>
            <w:tcW w:w="1134" w:type="dxa"/>
          </w:tcPr>
          <w:p w14:paraId="55A4C35A" w14:textId="37BDC202" w:rsidR="00651704" w:rsidRDefault="00651704" w:rsidP="00766C40">
            <w:pPr>
              <w:pStyle w:val="BodyText"/>
              <w:spacing w:after="0"/>
              <w:jc w:val="right"/>
            </w:pPr>
            <w:r>
              <w:t>n/d</w:t>
            </w:r>
          </w:p>
        </w:tc>
        <w:tc>
          <w:tcPr>
            <w:tcW w:w="1134" w:type="dxa"/>
          </w:tcPr>
          <w:p w14:paraId="5559CD0D" w14:textId="0894864F" w:rsidR="00651704" w:rsidRDefault="00651704" w:rsidP="00766C40">
            <w:pPr>
              <w:pStyle w:val="BodyText"/>
              <w:spacing w:after="0"/>
              <w:jc w:val="right"/>
            </w:pPr>
            <w:r>
              <w:t>$</w:t>
            </w:r>
            <w:r w:rsidR="00E8458C">
              <w:t>70,936</w:t>
            </w:r>
          </w:p>
        </w:tc>
        <w:tc>
          <w:tcPr>
            <w:tcW w:w="1134" w:type="dxa"/>
          </w:tcPr>
          <w:p w14:paraId="711C3CB8" w14:textId="44F12C90" w:rsidR="00651704" w:rsidRDefault="00E8458C" w:rsidP="00766C40">
            <w:pPr>
              <w:pStyle w:val="BodyText"/>
              <w:spacing w:after="0"/>
              <w:jc w:val="right"/>
            </w:pPr>
            <w:r>
              <w:t>$</w:t>
            </w:r>
            <w:r w:rsidR="00651704">
              <w:t>86,050</w:t>
            </w:r>
          </w:p>
        </w:tc>
      </w:tr>
    </w:tbl>
    <w:p w14:paraId="11BD06AD" w14:textId="77777777" w:rsidR="00651704" w:rsidRDefault="00651704">
      <w:pPr>
        <w:pStyle w:val="BodyText"/>
        <w:spacing w:after="0"/>
        <w:ind w:left="708" w:hanging="424"/>
        <w:jc w:val="both"/>
        <w:rPr>
          <w:rFonts w:ascii="Arial" w:hAnsi="Arial" w:cs="Arial"/>
        </w:rPr>
      </w:pPr>
    </w:p>
    <w:p w14:paraId="0CD92968" w14:textId="4B3AFE0A" w:rsidR="007B1142" w:rsidRDefault="00DD5FDE">
      <w:pPr>
        <w:pStyle w:val="BodyText"/>
        <w:spacing w:after="0"/>
        <w:ind w:left="708" w:hanging="424"/>
        <w:jc w:val="both"/>
        <w:rPr>
          <w:rFonts w:ascii="Arial" w:hAnsi="Arial" w:cs="Arial"/>
        </w:rPr>
      </w:pPr>
      <w:r>
        <w:rPr>
          <w:rFonts w:ascii="Arial" w:hAnsi="Arial" w:cs="Arial"/>
        </w:rPr>
        <w:t xml:space="preserve">d)  </w:t>
      </w:r>
      <w:r>
        <w:rPr>
          <w:rFonts w:ascii="Arial" w:hAnsi="Arial" w:cs="Arial"/>
          <w:u w:val="single"/>
        </w:rPr>
        <w:t>Políticas Contables</w:t>
      </w:r>
      <w:r w:rsidR="00766C40" w:rsidRPr="00766C40">
        <w:rPr>
          <w:rFonts w:ascii="Arial" w:hAnsi="Arial" w:cs="Arial"/>
        </w:rPr>
        <w:t xml:space="preserve"> -</w:t>
      </w:r>
      <w:r>
        <w:rPr>
          <w:rFonts w:ascii="Arial" w:hAnsi="Arial" w:cs="Arial"/>
        </w:rPr>
        <w:t xml:space="preserve"> </w:t>
      </w:r>
      <w:r w:rsidR="00766C40">
        <w:rPr>
          <w:rFonts w:ascii="Arial" w:hAnsi="Arial" w:cs="Arial"/>
        </w:rPr>
        <w:t>Hemos identificado las siguientes políticas contables como las más significativas del negocio:</w:t>
      </w:r>
    </w:p>
    <w:p w14:paraId="3130B008" w14:textId="33DDFA0D" w:rsidR="00281F4C" w:rsidRDefault="00281F4C">
      <w:pPr>
        <w:pStyle w:val="BodyText"/>
        <w:spacing w:after="0"/>
        <w:ind w:left="708" w:hanging="424"/>
        <w:jc w:val="both"/>
      </w:pPr>
    </w:p>
    <w:p w14:paraId="65CE81B6" w14:textId="4088D1C9" w:rsidR="00281F4C" w:rsidRDefault="00281F4C">
      <w:pPr>
        <w:pStyle w:val="BodyText"/>
        <w:spacing w:after="0"/>
        <w:ind w:left="708" w:hanging="424"/>
        <w:jc w:val="both"/>
      </w:pPr>
      <w:r>
        <w:tab/>
      </w:r>
      <w:r w:rsidRPr="00281F4C">
        <w:rPr>
          <w:i/>
          <w:iCs/>
        </w:rPr>
        <w:t xml:space="preserve">Deterioro de cuentas por cobrar </w:t>
      </w:r>
      <w:r>
        <w:rPr>
          <w:i/>
          <w:iCs/>
        </w:rPr>
        <w:t>–</w:t>
      </w:r>
      <w:r w:rsidRPr="00281F4C">
        <w:rPr>
          <w:i/>
          <w:iCs/>
        </w:rPr>
        <w:t xml:space="preserve"> </w:t>
      </w:r>
      <w:r>
        <w:t>A partir del año 2020 se calcula utilizando el enfoque simplificado permitido por la NIIF 9, mediante el cual las pérdidas por deterioro son reconocidas utilizando una matriz de provisiones por tramos</w:t>
      </w:r>
      <w:r w:rsidR="00301C89">
        <w:t xml:space="preserve"> en los que se aplican porcentajes fijos en función a los días de cartera vencida.</w:t>
      </w:r>
      <w:r w:rsidR="009E6F52">
        <w:t xml:space="preserve"> Esta política cobra particular importancia debido a la pandemia de covid-19 que afectó a los clientes de la empresa y su situación económica. </w:t>
      </w:r>
    </w:p>
    <w:p w14:paraId="43322C67" w14:textId="76DE3778" w:rsidR="00301C89" w:rsidRDefault="00301C89">
      <w:pPr>
        <w:pStyle w:val="BodyText"/>
        <w:spacing w:after="0"/>
        <w:ind w:left="708" w:hanging="424"/>
        <w:jc w:val="both"/>
      </w:pPr>
    </w:p>
    <w:p w14:paraId="4602DE72" w14:textId="457E8DEE" w:rsidR="00301C89" w:rsidRDefault="00301C89">
      <w:pPr>
        <w:pStyle w:val="BodyText"/>
        <w:spacing w:after="0"/>
        <w:ind w:left="708" w:hanging="424"/>
        <w:jc w:val="both"/>
      </w:pPr>
      <w:r>
        <w:tab/>
      </w:r>
      <w:r w:rsidR="00E8458C">
        <w:rPr>
          <w:i/>
          <w:iCs/>
        </w:rPr>
        <w:t xml:space="preserve">Empresa en marcha – </w:t>
      </w:r>
      <w:r w:rsidR="00E8458C">
        <w:t>Debido al constante avance de la tecnología y puesto que la empresa forma parte del principal grupo económico del País que provee servicio de internet, la evaluación y confirmación del cumplimiento con el principio de empresa en marcha, por parte de la Gerencia, constituye una política importante en nuestra auditoria.</w:t>
      </w:r>
    </w:p>
    <w:p w14:paraId="2317AEB1" w14:textId="5E957DDD" w:rsidR="00E8458C" w:rsidRDefault="00E8458C">
      <w:pPr>
        <w:pStyle w:val="BodyText"/>
        <w:spacing w:after="0"/>
        <w:ind w:left="708" w:hanging="424"/>
        <w:jc w:val="both"/>
      </w:pPr>
    </w:p>
    <w:p w14:paraId="280A5EA7" w14:textId="017B435A" w:rsidR="00E8458C" w:rsidRPr="009E6F52" w:rsidRDefault="00E8458C">
      <w:pPr>
        <w:pStyle w:val="BodyText"/>
        <w:spacing w:after="0"/>
        <w:ind w:left="708" w:hanging="424"/>
        <w:jc w:val="both"/>
      </w:pPr>
      <w:r>
        <w:tab/>
      </w:r>
      <w:r w:rsidRPr="00E8458C">
        <w:rPr>
          <w:i/>
          <w:iCs/>
        </w:rPr>
        <w:t xml:space="preserve">Reconocimiento de ingresos - </w:t>
      </w:r>
    </w:p>
    <w:p w14:paraId="08DC2E93" w14:textId="01F37EE5" w:rsidR="00281F4C" w:rsidRPr="00281F4C" w:rsidRDefault="00281F4C" w:rsidP="00B73F57">
      <w:pPr>
        <w:pStyle w:val="BodyText"/>
        <w:spacing w:after="0"/>
        <w:jc w:val="both"/>
      </w:pPr>
      <w:r>
        <w:rPr>
          <w:i/>
          <w:iCs/>
        </w:rPr>
        <w:tab/>
      </w:r>
    </w:p>
    <w:p w14:paraId="00FD891C" w14:textId="77777777" w:rsidR="007B1142" w:rsidRDefault="007B1142" w:rsidP="00B87B37">
      <w:pPr>
        <w:pStyle w:val="BodyText"/>
        <w:spacing w:after="0"/>
        <w:jc w:val="both"/>
        <w:rPr>
          <w:rFonts w:ascii="Arial" w:hAnsi="Arial" w:cs="Arial"/>
        </w:rPr>
      </w:pPr>
    </w:p>
    <w:p w14:paraId="1981BA89" w14:textId="77777777" w:rsidR="007B1142" w:rsidRDefault="00DD5FDE" w:rsidP="00845DEA">
      <w:pPr>
        <w:pStyle w:val="Heading2"/>
        <w:spacing w:before="0" w:after="200"/>
        <w:jc w:val="both"/>
        <w:rPr>
          <w:rFonts w:ascii="Arial" w:hAnsi="Arial" w:cs="Arial"/>
          <w:sz w:val="22"/>
          <w:szCs w:val="22"/>
        </w:rPr>
      </w:pPr>
      <w:bookmarkStart w:id="0" w:name="_Hlk34652855"/>
      <w:r>
        <w:rPr>
          <w:rFonts w:ascii="Arial" w:hAnsi="Arial" w:cs="Arial"/>
          <w:sz w:val="22"/>
          <w:szCs w:val="22"/>
        </w:rPr>
        <w:t xml:space="preserve">II - FACTORES DE LA INDUSTRIA, REGULACIONES Y OTROS FACTORES </w:t>
      </w:r>
      <w:bookmarkEnd w:id="0"/>
      <w:r>
        <w:rPr>
          <w:rFonts w:ascii="Arial" w:hAnsi="Arial" w:cs="Arial"/>
          <w:sz w:val="22"/>
          <w:szCs w:val="22"/>
        </w:rPr>
        <w:t>EXTERNOS</w:t>
      </w:r>
    </w:p>
    <w:p w14:paraId="765315CA" w14:textId="4AF1263C" w:rsidR="005B4FB2" w:rsidRDefault="005B4FB2" w:rsidP="00B73F57">
      <w:pPr>
        <w:pStyle w:val="BodyText"/>
        <w:spacing w:after="0"/>
        <w:jc w:val="both"/>
        <w:rPr>
          <w:rFonts w:ascii="Arial" w:hAnsi="Arial" w:cs="Arial"/>
        </w:rPr>
      </w:pPr>
      <w:r w:rsidRPr="00B82553">
        <w:rPr>
          <w:rFonts w:ascii="Arial" w:hAnsi="Arial" w:cs="Arial"/>
          <w:u w:val="single"/>
        </w:rPr>
        <w:t xml:space="preserve">Regulaciones </w:t>
      </w:r>
      <w:r w:rsidR="00B82553" w:rsidRPr="00B82553">
        <w:rPr>
          <w:rFonts w:ascii="Arial" w:hAnsi="Arial" w:cs="Arial"/>
          <w:u w:val="single"/>
        </w:rPr>
        <w:t>de la Industria</w:t>
      </w:r>
      <w:r w:rsidR="00B82553">
        <w:rPr>
          <w:rFonts w:ascii="Arial" w:hAnsi="Arial" w:cs="Arial"/>
        </w:rPr>
        <w:t xml:space="preserve"> </w:t>
      </w:r>
      <w:r>
        <w:rPr>
          <w:rFonts w:ascii="Arial" w:hAnsi="Arial" w:cs="Arial"/>
        </w:rPr>
        <w:t>–</w:t>
      </w:r>
      <w:r w:rsidRPr="005B4FB2">
        <w:rPr>
          <w:rFonts w:ascii="Arial" w:hAnsi="Arial" w:cs="Arial"/>
        </w:rPr>
        <w:t xml:space="preserve"> </w:t>
      </w:r>
      <w:r w:rsidR="00C01C65">
        <w:rPr>
          <w:rFonts w:ascii="Arial" w:hAnsi="Arial" w:cs="Arial"/>
        </w:rPr>
        <w:t xml:space="preserve">El organismo de control de </w:t>
      </w:r>
      <w:proofErr w:type="spellStart"/>
      <w:r w:rsidR="00C01C65">
        <w:rPr>
          <w:rFonts w:ascii="Arial" w:hAnsi="Arial" w:cs="Arial"/>
        </w:rPr>
        <w:t>Linkotel</w:t>
      </w:r>
      <w:proofErr w:type="spellEnd"/>
      <w:r w:rsidR="00C01C65">
        <w:rPr>
          <w:rFonts w:ascii="Arial" w:hAnsi="Arial" w:cs="Arial"/>
        </w:rPr>
        <w:t xml:space="preserve"> es la Agencia de Regulación y Control de las Telecomunicaciones ARCOTEL, organismo adscrito al Ministerio de Telecomunicaciones y de la Sociedad de la Información (MINTEL)</w:t>
      </w:r>
    </w:p>
    <w:p w14:paraId="5B0FC3F0" w14:textId="3E122700" w:rsidR="005B4FB2" w:rsidRDefault="005B4FB2" w:rsidP="005B4FB2">
      <w:pPr>
        <w:pStyle w:val="BodyText"/>
        <w:spacing w:after="0"/>
        <w:ind w:left="720"/>
        <w:jc w:val="both"/>
        <w:rPr>
          <w:rFonts w:ascii="Arial" w:hAnsi="Arial" w:cs="Arial"/>
        </w:rPr>
      </w:pPr>
    </w:p>
    <w:p w14:paraId="596F0E6E" w14:textId="48DF0565" w:rsidR="00B87B37" w:rsidRDefault="00B87B37" w:rsidP="005B4FB2">
      <w:pPr>
        <w:pStyle w:val="BodyText"/>
        <w:spacing w:after="0"/>
        <w:ind w:left="720"/>
        <w:jc w:val="both"/>
        <w:rPr>
          <w:rFonts w:ascii="Arial" w:hAnsi="Arial" w:cs="Arial"/>
        </w:rPr>
      </w:pPr>
      <w:r>
        <w:rPr>
          <w:rFonts w:ascii="Arial" w:hAnsi="Arial" w:cs="Arial"/>
          <w:noProof/>
        </w:rPr>
        <w:lastRenderedPageBreak/>
        <w:drawing>
          <wp:inline distT="0" distB="0" distL="0" distR="0" wp14:anchorId="04D3D196" wp14:editId="0FA851C9">
            <wp:extent cx="4838700" cy="146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1466850"/>
                    </a:xfrm>
                    <a:prstGeom prst="rect">
                      <a:avLst/>
                    </a:prstGeom>
                    <a:noFill/>
                    <a:ln>
                      <a:noFill/>
                    </a:ln>
                  </pic:spPr>
                </pic:pic>
              </a:graphicData>
            </a:graphic>
          </wp:inline>
        </w:drawing>
      </w:r>
    </w:p>
    <w:p w14:paraId="2EDECE35" w14:textId="7993650C" w:rsidR="00B87B37" w:rsidRDefault="00B87B37" w:rsidP="005B4FB2">
      <w:pPr>
        <w:pStyle w:val="BodyText"/>
        <w:spacing w:after="0"/>
        <w:ind w:left="720"/>
        <w:jc w:val="both"/>
        <w:rPr>
          <w:rFonts w:ascii="Arial" w:hAnsi="Arial" w:cs="Arial"/>
        </w:rPr>
      </w:pPr>
    </w:p>
    <w:p w14:paraId="26988189" w14:textId="77777777" w:rsidR="00B87B37" w:rsidRDefault="00B87B37" w:rsidP="005B4FB2">
      <w:pPr>
        <w:pStyle w:val="BodyText"/>
        <w:spacing w:after="0"/>
        <w:ind w:left="720"/>
        <w:jc w:val="both"/>
        <w:rPr>
          <w:rFonts w:ascii="Arial" w:hAnsi="Arial" w:cs="Arial"/>
        </w:rPr>
      </w:pPr>
    </w:p>
    <w:p w14:paraId="773006AF" w14:textId="77777777" w:rsidR="00B87B37" w:rsidRPr="005B4FB2" w:rsidRDefault="00B87B37" w:rsidP="005B4FB2">
      <w:pPr>
        <w:pStyle w:val="BodyText"/>
        <w:spacing w:after="0"/>
        <w:ind w:left="720"/>
        <w:jc w:val="both"/>
        <w:rPr>
          <w:rFonts w:ascii="Arial" w:hAnsi="Arial" w:cs="Arial"/>
        </w:rPr>
      </w:pPr>
    </w:p>
    <w:p w14:paraId="79C9D387" w14:textId="7642A8CF" w:rsidR="007B1142" w:rsidRDefault="00DD5FDE" w:rsidP="00B73F57">
      <w:pPr>
        <w:pStyle w:val="BodyText"/>
        <w:spacing w:after="0"/>
        <w:jc w:val="both"/>
      </w:pPr>
      <w:r>
        <w:rPr>
          <w:rFonts w:ascii="Arial" w:hAnsi="Arial" w:cs="Arial"/>
          <w:bCs/>
          <w:u w:val="single"/>
        </w:rPr>
        <w:t>Principales clientes</w:t>
      </w:r>
      <w:r>
        <w:rPr>
          <w:rFonts w:ascii="Arial" w:hAnsi="Arial" w:cs="Arial"/>
          <w:bCs/>
        </w:rPr>
        <w:t xml:space="preserve"> – En los años anteriores </w:t>
      </w:r>
      <w:r w:rsidR="00845DEA">
        <w:rPr>
          <w:rFonts w:ascii="Arial" w:hAnsi="Arial" w:cs="Arial"/>
          <w:bCs/>
        </w:rPr>
        <w:t>el monto de los clientes de telefonía fija se ha</w:t>
      </w:r>
      <w:r>
        <w:rPr>
          <w:rFonts w:ascii="Arial" w:hAnsi="Arial" w:cs="Arial"/>
          <w:bCs/>
        </w:rPr>
        <w:t xml:space="preserve"> mantenido hasta la actualidad, </w:t>
      </w:r>
      <w:r w:rsidR="00845DEA">
        <w:rPr>
          <w:rFonts w:ascii="Arial" w:hAnsi="Arial" w:cs="Arial"/>
          <w:bCs/>
        </w:rPr>
        <w:t>alrededor</w:t>
      </w:r>
      <w:r>
        <w:rPr>
          <w:rFonts w:ascii="Arial" w:hAnsi="Arial" w:cs="Arial"/>
          <w:bCs/>
        </w:rPr>
        <w:t xml:space="preserve"> de US $110.000, para el año 2019 se procedió a realizar trabajos para </w:t>
      </w:r>
      <w:proofErr w:type="spellStart"/>
      <w:r>
        <w:rPr>
          <w:rFonts w:ascii="Arial" w:hAnsi="Arial" w:cs="Arial"/>
          <w:bCs/>
        </w:rPr>
        <w:t>Telconet</w:t>
      </w:r>
      <w:proofErr w:type="spellEnd"/>
      <w:r>
        <w:rPr>
          <w:rFonts w:ascii="Arial" w:hAnsi="Arial" w:cs="Arial"/>
          <w:bCs/>
        </w:rPr>
        <w:t xml:space="preserve"> por un monto de US $1’672.067, el cual represento el 94% de las cuentas por cobrar de la empresa, tal como se lo detalla en el siguiente cuadro: </w:t>
      </w:r>
    </w:p>
    <w:p w14:paraId="4EC4E7FA" w14:textId="77777777" w:rsidR="007B1142" w:rsidRDefault="007B1142">
      <w:pPr>
        <w:pStyle w:val="BodyText"/>
        <w:spacing w:after="0"/>
        <w:ind w:left="720"/>
        <w:jc w:val="both"/>
        <w:rPr>
          <w:rFonts w:ascii="Arial" w:hAnsi="Arial" w:cs="Arial"/>
          <w:bCs/>
        </w:rPr>
      </w:pPr>
    </w:p>
    <w:p w14:paraId="730442B3" w14:textId="77777777" w:rsidR="007B1142" w:rsidRDefault="00DD5FDE">
      <w:pPr>
        <w:pStyle w:val="BodyText"/>
        <w:spacing w:after="0"/>
        <w:ind w:left="720"/>
        <w:jc w:val="both"/>
        <w:rPr>
          <w:rFonts w:ascii="Arial" w:hAnsi="Arial" w:cs="Arial"/>
          <w:bCs/>
        </w:rPr>
      </w:pPr>
      <w:r>
        <w:rPr>
          <w:rFonts w:ascii="Arial" w:hAnsi="Arial" w:cs="Arial"/>
          <w:bCs/>
          <w:noProof/>
        </w:rPr>
        <w:drawing>
          <wp:anchor distT="0" distB="0" distL="0" distR="0" simplePos="0" relativeHeight="2" behindDoc="0" locked="0" layoutInCell="1" allowOverlap="1" wp14:anchorId="157680C8" wp14:editId="7E3737F8">
            <wp:simplePos x="0" y="0"/>
            <wp:positionH relativeFrom="column">
              <wp:align>center</wp:align>
            </wp:positionH>
            <wp:positionV relativeFrom="paragraph">
              <wp:posOffset>635</wp:posOffset>
            </wp:positionV>
            <wp:extent cx="3834130" cy="1137920"/>
            <wp:effectExtent l="0" t="0" r="0" b="0"/>
            <wp:wrapSquare wrapText="largest"/>
            <wp:docPr id="1" name="Objet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to1"/>
                    <pic:cNvPicPr>
                      <a:picLocks noChangeAspect="1" noChangeArrowheads="1"/>
                    </pic:cNvPicPr>
                  </pic:nvPicPr>
                  <pic:blipFill>
                    <a:blip r:embed="rId8"/>
                    <a:stretch>
                      <a:fillRect/>
                    </a:stretch>
                  </pic:blipFill>
                  <pic:spPr bwMode="auto">
                    <a:xfrm>
                      <a:off x="0" y="0"/>
                      <a:ext cx="3834130" cy="1137920"/>
                    </a:xfrm>
                    <a:prstGeom prst="rect">
                      <a:avLst/>
                    </a:prstGeom>
                  </pic:spPr>
                </pic:pic>
              </a:graphicData>
            </a:graphic>
          </wp:anchor>
        </w:drawing>
      </w:r>
    </w:p>
    <w:p w14:paraId="057FC7EA" w14:textId="77777777" w:rsidR="007B1142" w:rsidRDefault="007B1142">
      <w:pPr>
        <w:pStyle w:val="BodyText"/>
        <w:spacing w:after="0"/>
        <w:ind w:left="720"/>
        <w:jc w:val="both"/>
        <w:rPr>
          <w:rFonts w:ascii="Arial" w:hAnsi="Arial" w:cs="Arial"/>
          <w:bCs/>
        </w:rPr>
      </w:pPr>
    </w:p>
    <w:p w14:paraId="12250B4A" w14:textId="77777777" w:rsidR="007B1142" w:rsidRDefault="007B1142">
      <w:pPr>
        <w:pStyle w:val="BodyText"/>
        <w:spacing w:after="0"/>
        <w:ind w:left="720"/>
        <w:jc w:val="both"/>
        <w:rPr>
          <w:rFonts w:ascii="Arial" w:hAnsi="Arial" w:cs="Arial"/>
          <w:bCs/>
        </w:rPr>
      </w:pPr>
    </w:p>
    <w:p w14:paraId="322EE0F6" w14:textId="77777777" w:rsidR="007B1142" w:rsidRDefault="007B1142">
      <w:pPr>
        <w:pStyle w:val="BodyText"/>
        <w:spacing w:after="0"/>
        <w:ind w:left="720"/>
        <w:jc w:val="both"/>
        <w:rPr>
          <w:rFonts w:ascii="Arial" w:hAnsi="Arial" w:cs="Arial"/>
          <w:bCs/>
        </w:rPr>
      </w:pPr>
    </w:p>
    <w:p w14:paraId="4B79175B" w14:textId="77777777" w:rsidR="007B1142" w:rsidRDefault="007B1142">
      <w:pPr>
        <w:pStyle w:val="BodyText"/>
        <w:spacing w:after="0"/>
        <w:ind w:left="720"/>
        <w:jc w:val="both"/>
        <w:rPr>
          <w:rFonts w:ascii="Arial" w:hAnsi="Arial" w:cs="Arial"/>
          <w:bCs/>
        </w:rPr>
      </w:pPr>
    </w:p>
    <w:p w14:paraId="7F81DDAA" w14:textId="77777777" w:rsidR="007B1142" w:rsidRDefault="007B1142">
      <w:pPr>
        <w:pStyle w:val="BodyText"/>
        <w:spacing w:after="0"/>
        <w:ind w:left="720"/>
        <w:jc w:val="both"/>
        <w:rPr>
          <w:rFonts w:ascii="Arial" w:hAnsi="Arial" w:cs="Arial"/>
          <w:bCs/>
        </w:rPr>
      </w:pPr>
    </w:p>
    <w:p w14:paraId="3421BA45" w14:textId="77777777" w:rsidR="007B1142" w:rsidRDefault="007B1142">
      <w:pPr>
        <w:pStyle w:val="BodyText"/>
        <w:spacing w:after="0"/>
        <w:ind w:left="720"/>
        <w:jc w:val="both"/>
        <w:rPr>
          <w:rFonts w:ascii="Arial" w:hAnsi="Arial" w:cs="Arial"/>
          <w:bCs/>
        </w:rPr>
      </w:pPr>
    </w:p>
    <w:p w14:paraId="7CEB2293" w14:textId="509ABCF1" w:rsidR="007B1142" w:rsidRDefault="00DD5FDE" w:rsidP="00B73F57">
      <w:pPr>
        <w:pStyle w:val="BodyText"/>
        <w:spacing w:after="0"/>
        <w:jc w:val="both"/>
      </w:pPr>
      <w:r>
        <w:rPr>
          <w:rFonts w:ascii="Arial" w:hAnsi="Arial" w:cs="Arial"/>
          <w:bCs/>
        </w:rPr>
        <w:t xml:space="preserve">Como puede observarse, la Gerencia de la Compañía ha logrado compensar la pérdida de ingresos de los años anteriores mediante la prestación de servicios de mantenimiento preventivo y correctivo a la red de nodos e infraestructura urbana </w:t>
      </w:r>
      <w:r w:rsidR="00845DEA">
        <w:rPr>
          <w:rFonts w:ascii="Arial" w:hAnsi="Arial" w:cs="Arial"/>
          <w:bCs/>
        </w:rPr>
        <w:t>de acuerdo con el</w:t>
      </w:r>
      <w:r>
        <w:rPr>
          <w:rFonts w:ascii="Arial" w:hAnsi="Arial" w:cs="Arial"/>
          <w:bCs/>
        </w:rPr>
        <w:t xml:space="preserve"> contrato establecido con </w:t>
      </w:r>
      <w:proofErr w:type="spellStart"/>
      <w:r>
        <w:rPr>
          <w:rFonts w:ascii="Arial" w:hAnsi="Arial" w:cs="Arial"/>
          <w:bCs/>
        </w:rPr>
        <w:t>Telconet</w:t>
      </w:r>
      <w:proofErr w:type="spellEnd"/>
      <w:r>
        <w:rPr>
          <w:rFonts w:ascii="Arial" w:hAnsi="Arial" w:cs="Arial"/>
          <w:bCs/>
        </w:rPr>
        <w:t xml:space="preserve"> en diciembre del 2018.</w:t>
      </w:r>
    </w:p>
    <w:p w14:paraId="639A4CC6" w14:textId="77777777" w:rsidR="007B1142" w:rsidRDefault="007B1142">
      <w:pPr>
        <w:pStyle w:val="BodyText"/>
        <w:spacing w:after="0"/>
        <w:ind w:left="720"/>
        <w:jc w:val="both"/>
        <w:rPr>
          <w:rFonts w:ascii="Arial" w:hAnsi="Arial" w:cs="Arial"/>
          <w:bCs/>
        </w:rPr>
      </w:pPr>
    </w:p>
    <w:p w14:paraId="3D48AF86" w14:textId="6EC73160" w:rsidR="00B3511E" w:rsidRPr="00B3511E" w:rsidRDefault="00DD5FDE" w:rsidP="00B73F57">
      <w:pPr>
        <w:pStyle w:val="BodyText"/>
        <w:spacing w:after="0"/>
        <w:jc w:val="both"/>
      </w:pPr>
      <w:r>
        <w:rPr>
          <w:rFonts w:ascii="Arial" w:hAnsi="Arial" w:cs="Arial"/>
          <w:bCs/>
          <w:u w:val="single"/>
        </w:rPr>
        <w:t>Principales proveedores</w:t>
      </w:r>
      <w:r>
        <w:rPr>
          <w:rFonts w:ascii="Arial" w:hAnsi="Arial" w:cs="Arial"/>
          <w:bCs/>
        </w:rPr>
        <w:t xml:space="preserve"> – Dado que la compañía trabaja en conjunto con el grupo </w:t>
      </w:r>
      <w:proofErr w:type="spellStart"/>
      <w:r>
        <w:rPr>
          <w:rFonts w:ascii="Arial" w:hAnsi="Arial" w:cs="Arial"/>
          <w:bCs/>
        </w:rPr>
        <w:t>Telconet</w:t>
      </w:r>
      <w:proofErr w:type="spellEnd"/>
      <w:r>
        <w:rPr>
          <w:rFonts w:ascii="Arial" w:hAnsi="Arial" w:cs="Arial"/>
          <w:bCs/>
        </w:rPr>
        <w:t xml:space="preserve">, se hace uso de la infraestructura ya establecida para la </w:t>
      </w:r>
      <w:r w:rsidR="00541439">
        <w:rPr>
          <w:rFonts w:ascii="Arial" w:hAnsi="Arial" w:cs="Arial"/>
          <w:bCs/>
        </w:rPr>
        <w:t>interconexión</w:t>
      </w:r>
      <w:r>
        <w:rPr>
          <w:rFonts w:ascii="Arial" w:hAnsi="Arial" w:cs="Arial"/>
          <w:bCs/>
        </w:rPr>
        <w:t xml:space="preserve"> con la red propia, estableciendo así a</w:t>
      </w:r>
      <w:r w:rsidR="009E6F52">
        <w:rPr>
          <w:rFonts w:ascii="Arial" w:hAnsi="Arial" w:cs="Arial"/>
          <w:bCs/>
        </w:rPr>
        <w:t xml:space="preserve"> las empresas del</w:t>
      </w:r>
      <w:r>
        <w:rPr>
          <w:rFonts w:ascii="Arial" w:hAnsi="Arial" w:cs="Arial"/>
          <w:bCs/>
        </w:rPr>
        <w:t xml:space="preserve"> grupo </w:t>
      </w:r>
      <w:proofErr w:type="spellStart"/>
      <w:r>
        <w:rPr>
          <w:rFonts w:ascii="Arial" w:hAnsi="Arial" w:cs="Arial"/>
          <w:bCs/>
        </w:rPr>
        <w:t>Telconet</w:t>
      </w:r>
      <w:proofErr w:type="spellEnd"/>
      <w:r>
        <w:rPr>
          <w:rFonts w:ascii="Arial" w:hAnsi="Arial" w:cs="Arial"/>
          <w:bCs/>
        </w:rPr>
        <w:t xml:space="preserve"> como principal</w:t>
      </w:r>
      <w:r w:rsidR="009E6F52">
        <w:rPr>
          <w:rFonts w:ascii="Arial" w:hAnsi="Arial" w:cs="Arial"/>
          <w:bCs/>
        </w:rPr>
        <w:t>es</w:t>
      </w:r>
      <w:r>
        <w:rPr>
          <w:rFonts w:ascii="Arial" w:hAnsi="Arial" w:cs="Arial"/>
          <w:bCs/>
        </w:rPr>
        <w:t xml:space="preserve"> proveedor</w:t>
      </w:r>
      <w:r w:rsidR="009E6F52">
        <w:rPr>
          <w:rFonts w:ascii="Arial" w:hAnsi="Arial" w:cs="Arial"/>
          <w:bCs/>
        </w:rPr>
        <w:t>es</w:t>
      </w:r>
      <w:r>
        <w:rPr>
          <w:rFonts w:ascii="Arial" w:hAnsi="Arial" w:cs="Arial"/>
          <w:bCs/>
        </w:rPr>
        <w:t>.</w:t>
      </w:r>
      <w:r w:rsidR="001F7A9A">
        <w:rPr>
          <w:rFonts w:ascii="Arial" w:hAnsi="Arial" w:cs="Arial"/>
          <w:bCs/>
        </w:rPr>
        <w:t xml:space="preserve"> </w:t>
      </w:r>
    </w:p>
    <w:p w14:paraId="30CC8735" w14:textId="77777777" w:rsidR="00B3511E" w:rsidRDefault="00B3511E" w:rsidP="00B3511E">
      <w:pPr>
        <w:pStyle w:val="BodyText"/>
        <w:spacing w:after="0"/>
        <w:ind w:left="720"/>
        <w:jc w:val="both"/>
        <w:rPr>
          <w:rFonts w:ascii="Arial" w:hAnsi="Arial" w:cs="Arial"/>
          <w:bCs/>
          <w:u w:val="single"/>
        </w:rPr>
      </w:pPr>
    </w:p>
    <w:p w14:paraId="31802D02" w14:textId="790F8194" w:rsidR="007B1142" w:rsidRDefault="001F7A9A" w:rsidP="00B73F57">
      <w:pPr>
        <w:pStyle w:val="BodyText"/>
        <w:spacing w:after="0"/>
        <w:jc w:val="both"/>
      </w:pPr>
      <w:r>
        <w:rPr>
          <w:rFonts w:ascii="Arial" w:hAnsi="Arial" w:cs="Arial"/>
          <w:bCs/>
        </w:rPr>
        <w:t xml:space="preserve">Los otros proveedores de la entidad son los demás operadores de telefónica fija y móvil con los cuales se realiza el tráfico de las comunicaciones desde y hacia </w:t>
      </w:r>
      <w:proofErr w:type="spellStart"/>
      <w:r>
        <w:rPr>
          <w:rFonts w:ascii="Arial" w:hAnsi="Arial" w:cs="Arial"/>
          <w:bCs/>
        </w:rPr>
        <w:t>Linkotel</w:t>
      </w:r>
      <w:proofErr w:type="spellEnd"/>
      <w:r w:rsidR="00B3511E">
        <w:rPr>
          <w:rFonts w:ascii="Arial" w:hAnsi="Arial" w:cs="Arial"/>
          <w:bCs/>
        </w:rPr>
        <w:t>, principalmente:</w:t>
      </w:r>
      <w:r>
        <w:rPr>
          <w:rFonts w:ascii="Arial" w:hAnsi="Arial" w:cs="Arial"/>
          <w:bCs/>
        </w:rPr>
        <w:t xml:space="preserve"> </w:t>
      </w:r>
      <w:proofErr w:type="spellStart"/>
      <w:r>
        <w:rPr>
          <w:rFonts w:ascii="Arial" w:hAnsi="Arial" w:cs="Arial"/>
          <w:bCs/>
        </w:rPr>
        <w:t>Conecel</w:t>
      </w:r>
      <w:proofErr w:type="spellEnd"/>
      <w:r>
        <w:rPr>
          <w:rFonts w:ascii="Arial" w:hAnsi="Arial" w:cs="Arial"/>
          <w:bCs/>
        </w:rPr>
        <w:t xml:space="preserve"> (Claro), </w:t>
      </w:r>
      <w:proofErr w:type="spellStart"/>
      <w:r>
        <w:rPr>
          <w:rFonts w:ascii="Arial" w:hAnsi="Arial" w:cs="Arial"/>
          <w:bCs/>
        </w:rPr>
        <w:t>Otecel</w:t>
      </w:r>
      <w:proofErr w:type="spellEnd"/>
      <w:r>
        <w:rPr>
          <w:rFonts w:ascii="Arial" w:hAnsi="Arial" w:cs="Arial"/>
          <w:bCs/>
        </w:rPr>
        <w:t xml:space="preserve"> (Movistar), CNT (telefonía fija y móvil)</w:t>
      </w:r>
      <w:r w:rsidR="009E6F52">
        <w:rPr>
          <w:rFonts w:ascii="Arial" w:hAnsi="Arial" w:cs="Arial"/>
          <w:bCs/>
        </w:rPr>
        <w:t>.</w:t>
      </w:r>
      <w:r w:rsidR="00B3511E">
        <w:rPr>
          <w:rFonts w:ascii="Arial" w:hAnsi="Arial" w:cs="Arial"/>
          <w:bCs/>
        </w:rPr>
        <w:t xml:space="preserve"> Los costos de interconexión representan el 70% del total de costos anuales.</w:t>
      </w:r>
    </w:p>
    <w:p w14:paraId="1D4B80D8" w14:textId="77777777" w:rsidR="007B1142" w:rsidRDefault="007B1142">
      <w:pPr>
        <w:pStyle w:val="BodyText"/>
        <w:spacing w:after="0"/>
        <w:ind w:left="720"/>
        <w:jc w:val="both"/>
        <w:rPr>
          <w:rFonts w:ascii="Arial" w:hAnsi="Arial" w:cs="Arial"/>
          <w:bCs/>
        </w:rPr>
      </w:pPr>
    </w:p>
    <w:p w14:paraId="1ED4CF70" w14:textId="47AE0351" w:rsidR="007B1142" w:rsidRDefault="00DD5FDE" w:rsidP="00571F5B">
      <w:pPr>
        <w:pStyle w:val="BodyText"/>
        <w:numPr>
          <w:ilvl w:val="0"/>
          <w:numId w:val="2"/>
        </w:numPr>
        <w:spacing w:after="0"/>
        <w:jc w:val="both"/>
      </w:pPr>
      <w:r>
        <w:rPr>
          <w:rFonts w:ascii="Arial" w:hAnsi="Arial" w:cs="Arial"/>
          <w:bCs/>
          <w:u w:val="single"/>
        </w:rPr>
        <w:t>Entorno competitivo</w:t>
      </w:r>
      <w:r>
        <w:rPr>
          <w:rFonts w:ascii="Arial" w:hAnsi="Arial" w:cs="Arial"/>
          <w:bCs/>
        </w:rPr>
        <w:t xml:space="preserve"> – La compañía considera como sus principales competidores a SETEL S.A., </w:t>
      </w:r>
      <w:proofErr w:type="spellStart"/>
      <w:r>
        <w:rPr>
          <w:rFonts w:ascii="Arial" w:hAnsi="Arial" w:cs="Arial"/>
          <w:bCs/>
        </w:rPr>
        <w:t>Ecuadortelecom</w:t>
      </w:r>
      <w:proofErr w:type="spellEnd"/>
      <w:r>
        <w:rPr>
          <w:rFonts w:ascii="Arial" w:hAnsi="Arial" w:cs="Arial"/>
          <w:bCs/>
        </w:rPr>
        <w:t xml:space="preserve"> S.A., Global </w:t>
      </w:r>
      <w:proofErr w:type="spellStart"/>
      <w:r>
        <w:rPr>
          <w:rFonts w:ascii="Arial" w:hAnsi="Arial" w:cs="Arial"/>
          <w:bCs/>
        </w:rPr>
        <w:t>Crossing</w:t>
      </w:r>
      <w:proofErr w:type="spellEnd"/>
      <w:r>
        <w:rPr>
          <w:rFonts w:ascii="Arial" w:hAnsi="Arial" w:cs="Arial"/>
          <w:bCs/>
        </w:rPr>
        <w:t xml:space="preserve">, Comunicaciones Ecuador S.A. y </w:t>
      </w:r>
      <w:proofErr w:type="spellStart"/>
      <w:r>
        <w:rPr>
          <w:rFonts w:ascii="Arial" w:hAnsi="Arial" w:cs="Arial"/>
          <w:bCs/>
        </w:rPr>
        <w:t>Grupocoripar</w:t>
      </w:r>
      <w:proofErr w:type="spellEnd"/>
      <w:r>
        <w:rPr>
          <w:rFonts w:ascii="Arial" w:hAnsi="Arial" w:cs="Arial"/>
          <w:bCs/>
        </w:rPr>
        <w:t xml:space="preserve"> S.A. competencias directas en cuanto a empresas privadas se refiere.</w:t>
      </w:r>
      <w:r w:rsidR="00571F5B">
        <w:t xml:space="preserve"> </w:t>
      </w:r>
      <w:r w:rsidRPr="00571F5B">
        <w:rPr>
          <w:rFonts w:ascii="Arial" w:hAnsi="Arial" w:cs="Arial"/>
          <w:bCs/>
        </w:rPr>
        <w:t xml:space="preserve">En cuanto a empresas </w:t>
      </w:r>
      <w:r w:rsidR="00845DEA" w:rsidRPr="00571F5B">
        <w:rPr>
          <w:rFonts w:ascii="Arial" w:hAnsi="Arial" w:cs="Arial"/>
          <w:bCs/>
        </w:rPr>
        <w:t>públicas</w:t>
      </w:r>
      <w:r w:rsidRPr="00571F5B">
        <w:rPr>
          <w:rFonts w:ascii="Arial" w:hAnsi="Arial" w:cs="Arial"/>
          <w:bCs/>
        </w:rPr>
        <w:t xml:space="preserve"> tenemos a Corporación Nacional de Telecomunicaciones (CNT EP) y ETAPA EP. </w:t>
      </w:r>
    </w:p>
    <w:p w14:paraId="6526B06F" w14:textId="5D9BA853" w:rsidR="007B1142" w:rsidRDefault="007B1142">
      <w:pPr>
        <w:pStyle w:val="BodyText"/>
        <w:spacing w:after="0"/>
        <w:ind w:left="720"/>
        <w:jc w:val="both"/>
        <w:rPr>
          <w:rFonts w:ascii="Arial" w:hAnsi="Arial" w:cs="Arial"/>
        </w:rPr>
      </w:pPr>
    </w:p>
    <w:p w14:paraId="37955510" w14:textId="1AF97E81" w:rsidR="0025447B" w:rsidRDefault="0025447B">
      <w:pPr>
        <w:pStyle w:val="BodyText"/>
        <w:spacing w:after="0"/>
        <w:ind w:left="720"/>
        <w:jc w:val="both"/>
        <w:rPr>
          <w:rFonts w:ascii="Arial" w:hAnsi="Arial" w:cs="Arial"/>
        </w:rPr>
      </w:pPr>
      <w:r>
        <w:rPr>
          <w:rFonts w:ascii="Arial" w:hAnsi="Arial" w:cs="Arial"/>
          <w:noProof/>
        </w:rPr>
        <w:lastRenderedPageBreak/>
        <w:drawing>
          <wp:inline distT="0" distB="0" distL="0" distR="0" wp14:anchorId="57E26DD4" wp14:editId="30F698ED">
            <wp:extent cx="5133975" cy="19088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9413" cy="1914637"/>
                    </a:xfrm>
                    <a:prstGeom prst="rect">
                      <a:avLst/>
                    </a:prstGeom>
                    <a:noFill/>
                    <a:ln>
                      <a:noFill/>
                    </a:ln>
                  </pic:spPr>
                </pic:pic>
              </a:graphicData>
            </a:graphic>
          </wp:inline>
        </w:drawing>
      </w:r>
    </w:p>
    <w:p w14:paraId="7076DA06" w14:textId="1A971D1B" w:rsidR="00E15AC1" w:rsidRDefault="00E15AC1">
      <w:pPr>
        <w:pStyle w:val="BodyText"/>
        <w:spacing w:after="0"/>
        <w:ind w:left="720"/>
        <w:jc w:val="both"/>
        <w:rPr>
          <w:rFonts w:ascii="Arial" w:hAnsi="Arial" w:cs="Arial"/>
        </w:rPr>
      </w:pPr>
    </w:p>
    <w:p w14:paraId="32445147" w14:textId="63115B77" w:rsidR="00E15AC1" w:rsidRDefault="00E15AC1">
      <w:pPr>
        <w:pStyle w:val="BodyText"/>
        <w:spacing w:after="0"/>
        <w:ind w:left="720"/>
        <w:jc w:val="both"/>
        <w:rPr>
          <w:rFonts w:ascii="Arial" w:hAnsi="Arial" w:cs="Arial"/>
        </w:rPr>
      </w:pPr>
      <w:r>
        <w:rPr>
          <w:rFonts w:ascii="Arial" w:hAnsi="Arial" w:cs="Arial"/>
          <w:noProof/>
        </w:rPr>
        <w:drawing>
          <wp:inline distT="0" distB="0" distL="0" distR="0" wp14:anchorId="7EE1C6AC" wp14:editId="623CA27D">
            <wp:extent cx="5076825" cy="2781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2781300"/>
                    </a:xfrm>
                    <a:prstGeom prst="rect">
                      <a:avLst/>
                    </a:prstGeom>
                    <a:noFill/>
                    <a:ln>
                      <a:noFill/>
                    </a:ln>
                  </pic:spPr>
                </pic:pic>
              </a:graphicData>
            </a:graphic>
          </wp:inline>
        </w:drawing>
      </w:r>
    </w:p>
    <w:p w14:paraId="2476C1CA" w14:textId="62EB0FE9" w:rsidR="00DF504E" w:rsidRPr="009E6F52" w:rsidRDefault="00DF504E">
      <w:pPr>
        <w:pStyle w:val="BodyText"/>
        <w:numPr>
          <w:ilvl w:val="0"/>
          <w:numId w:val="2"/>
        </w:numPr>
        <w:spacing w:after="0"/>
        <w:jc w:val="both"/>
      </w:pPr>
      <w:r>
        <w:rPr>
          <w:rFonts w:ascii="Arial" w:hAnsi="Arial" w:cs="Arial"/>
          <w:u w:val="single"/>
        </w:rPr>
        <w:t>Tecnología de Información</w:t>
      </w:r>
      <w:r w:rsidR="00DD5FDE">
        <w:rPr>
          <w:rFonts w:ascii="Arial" w:hAnsi="Arial" w:cs="Arial"/>
        </w:rPr>
        <w:t xml:space="preserve"> – </w:t>
      </w:r>
      <w:r>
        <w:rPr>
          <w:rFonts w:ascii="Arial" w:hAnsi="Arial" w:cs="Arial"/>
        </w:rPr>
        <w:t>Para la gestión gerencial y control operacional la empresa ha desarrollado su propio software</w:t>
      </w:r>
      <w:r w:rsidR="00571F5B">
        <w:rPr>
          <w:rFonts w:ascii="Arial" w:hAnsi="Arial" w:cs="Arial"/>
        </w:rPr>
        <w:t xml:space="preserve"> en el cual se monitorea en línea el tráfico telefónico, ventas, cartera y demás información que requiere la Gerencia para su gestión. De igual forma, la contabilidad y facturación electrónica funciona con software propio diseñado por personal del grupo, los cuales operan en servidores propios.</w:t>
      </w:r>
    </w:p>
    <w:p w14:paraId="6ECE554D" w14:textId="7CAB6E3E" w:rsidR="009E6F52" w:rsidRDefault="009E6F52" w:rsidP="009E6F52">
      <w:pPr>
        <w:pStyle w:val="BodyText"/>
        <w:spacing w:after="0"/>
        <w:ind w:left="720"/>
        <w:jc w:val="both"/>
        <w:rPr>
          <w:rFonts w:ascii="Arial" w:hAnsi="Arial" w:cs="Arial"/>
          <w:u w:val="single"/>
        </w:rPr>
      </w:pPr>
    </w:p>
    <w:p w14:paraId="38A746D6" w14:textId="191DE279" w:rsidR="00571F5B" w:rsidRDefault="00C0447E" w:rsidP="00C0447E">
      <w:pPr>
        <w:pStyle w:val="BodyText"/>
        <w:spacing w:after="0"/>
        <w:ind w:left="720"/>
        <w:jc w:val="both"/>
        <w:rPr>
          <w:rFonts w:ascii="Arial" w:hAnsi="Arial" w:cs="Arial"/>
        </w:rPr>
      </w:pPr>
      <w:r>
        <w:rPr>
          <w:rFonts w:ascii="Arial" w:hAnsi="Arial" w:cs="Arial"/>
        </w:rPr>
        <w:t>Del resultado de nuestras reuniones con la Gerencia no resulta claro cómo se controlan y gestionan las cuentas por cobrar de la empresa pues, el auxiliar se mantiene en la contabilidad cuyo mayor generar tiene un auxiliar por cliente, pero el departamento de Servicio al Cliente quienes son encargados de las cobranzas no tiene acceso a la contabilidad. El módulo de cartera del sistema mantiene diferencias con el saldo contable que fueron detectadas el año 2020, aparentemente por saldos antiguos y falta de conciliación periódica.</w:t>
      </w:r>
    </w:p>
    <w:p w14:paraId="522F3FDB" w14:textId="0E932CEA" w:rsidR="00C0447E" w:rsidRDefault="00C0447E" w:rsidP="00C0447E">
      <w:pPr>
        <w:pStyle w:val="BodyText"/>
        <w:spacing w:after="0"/>
        <w:ind w:left="720"/>
        <w:jc w:val="both"/>
        <w:rPr>
          <w:rFonts w:ascii="Arial" w:hAnsi="Arial" w:cs="Arial"/>
        </w:rPr>
      </w:pPr>
    </w:p>
    <w:p w14:paraId="3F2ECEDF" w14:textId="77777777" w:rsidR="00B73F57" w:rsidRDefault="00B73F57" w:rsidP="00C0447E">
      <w:pPr>
        <w:pStyle w:val="BodyText"/>
        <w:spacing w:after="0"/>
        <w:ind w:left="720"/>
        <w:jc w:val="both"/>
        <w:rPr>
          <w:rFonts w:ascii="Arial" w:hAnsi="Arial" w:cs="Arial"/>
        </w:rPr>
      </w:pPr>
    </w:p>
    <w:p w14:paraId="2CF2A23E" w14:textId="24C7232E" w:rsidR="00C0447E" w:rsidRDefault="00C0447E" w:rsidP="00C0447E">
      <w:pPr>
        <w:pStyle w:val="BodyText"/>
        <w:spacing w:after="0"/>
        <w:ind w:left="720"/>
        <w:jc w:val="both"/>
      </w:pPr>
      <w:r>
        <w:rPr>
          <w:rFonts w:ascii="Arial" w:hAnsi="Arial" w:cs="Arial"/>
        </w:rPr>
        <w:lastRenderedPageBreak/>
        <w:t>Sistema de información gerencial:</w:t>
      </w:r>
    </w:p>
    <w:p w14:paraId="56B41952" w14:textId="77189BF3" w:rsidR="00571F5B" w:rsidRPr="00DF504E" w:rsidRDefault="00571F5B" w:rsidP="00571F5B">
      <w:pPr>
        <w:pStyle w:val="BodyText"/>
        <w:spacing w:after="0"/>
        <w:ind w:left="708"/>
        <w:jc w:val="both"/>
      </w:pPr>
      <w:r>
        <w:rPr>
          <w:noProof/>
        </w:rPr>
        <w:drawing>
          <wp:inline distT="0" distB="0" distL="0" distR="0" wp14:anchorId="38A09199" wp14:editId="2307A383">
            <wp:extent cx="5730875" cy="3523615"/>
            <wp:effectExtent l="0" t="0" r="317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3523615"/>
                    </a:xfrm>
                    <a:prstGeom prst="rect">
                      <a:avLst/>
                    </a:prstGeom>
                    <a:noFill/>
                  </pic:spPr>
                </pic:pic>
              </a:graphicData>
            </a:graphic>
          </wp:inline>
        </w:drawing>
      </w:r>
    </w:p>
    <w:p w14:paraId="2B313E1B" w14:textId="77777777" w:rsidR="00DF504E" w:rsidRPr="00DF504E" w:rsidRDefault="00DF504E" w:rsidP="00DF504E">
      <w:pPr>
        <w:pStyle w:val="BodyText"/>
        <w:spacing w:after="0"/>
        <w:ind w:left="720"/>
        <w:jc w:val="both"/>
      </w:pPr>
    </w:p>
    <w:p w14:paraId="1876CADF" w14:textId="6215E266" w:rsidR="007B1142" w:rsidRDefault="00DD5FDE">
      <w:pPr>
        <w:pStyle w:val="BodyText"/>
        <w:numPr>
          <w:ilvl w:val="0"/>
          <w:numId w:val="2"/>
        </w:numPr>
        <w:spacing w:after="0"/>
        <w:jc w:val="both"/>
      </w:pPr>
      <w:r>
        <w:rPr>
          <w:rFonts w:ascii="Arial" w:hAnsi="Arial" w:cs="Arial"/>
          <w:u w:val="single"/>
        </w:rPr>
        <w:t>Marco de referencia de Información Financiera</w:t>
      </w:r>
      <w:r>
        <w:rPr>
          <w:rFonts w:ascii="Arial" w:hAnsi="Arial" w:cs="Arial"/>
        </w:rPr>
        <w:t xml:space="preserve"> – </w:t>
      </w:r>
      <w:proofErr w:type="spellStart"/>
      <w:r>
        <w:rPr>
          <w:rFonts w:ascii="Arial" w:hAnsi="Arial" w:cs="Arial"/>
        </w:rPr>
        <w:t>Linkotel</w:t>
      </w:r>
      <w:proofErr w:type="spellEnd"/>
      <w:r>
        <w:rPr>
          <w:rFonts w:ascii="Arial" w:hAnsi="Arial" w:cs="Arial"/>
        </w:rPr>
        <w:t xml:space="preserve"> S.A. es una empresa mediana y </w:t>
      </w:r>
      <w:r w:rsidR="003E2DD0">
        <w:rPr>
          <w:rFonts w:ascii="Arial" w:hAnsi="Arial" w:cs="Arial"/>
        </w:rPr>
        <w:t xml:space="preserve">debido a que forma parte del grupo </w:t>
      </w:r>
      <w:proofErr w:type="spellStart"/>
      <w:r w:rsidR="003E2DD0">
        <w:rPr>
          <w:rFonts w:ascii="Arial" w:hAnsi="Arial" w:cs="Arial"/>
        </w:rPr>
        <w:t>Telconet</w:t>
      </w:r>
      <w:proofErr w:type="spellEnd"/>
      <w:r w:rsidR="00DA53BE">
        <w:rPr>
          <w:rFonts w:ascii="Arial" w:hAnsi="Arial" w:cs="Arial"/>
        </w:rPr>
        <w:t xml:space="preserve"> aplica NIIF completas</w:t>
      </w:r>
      <w:r>
        <w:rPr>
          <w:rFonts w:ascii="Arial" w:hAnsi="Arial" w:cs="Arial"/>
        </w:rPr>
        <w:t xml:space="preserve">. El informe de </w:t>
      </w:r>
      <w:r w:rsidR="00845DEA">
        <w:rPr>
          <w:rFonts w:ascii="Arial" w:hAnsi="Arial" w:cs="Arial"/>
        </w:rPr>
        <w:t>auditoría</w:t>
      </w:r>
      <w:r>
        <w:rPr>
          <w:rFonts w:ascii="Arial" w:hAnsi="Arial" w:cs="Arial"/>
        </w:rPr>
        <w:t xml:space="preserve"> utiliza este marco de referencia.</w:t>
      </w:r>
    </w:p>
    <w:p w14:paraId="20518343" w14:textId="77777777" w:rsidR="007B1142" w:rsidRDefault="007B1142">
      <w:pPr>
        <w:pStyle w:val="BodyText"/>
        <w:spacing w:after="0"/>
        <w:jc w:val="both"/>
        <w:rPr>
          <w:rFonts w:ascii="Arial" w:hAnsi="Arial" w:cs="Arial"/>
        </w:rPr>
      </w:pPr>
    </w:p>
    <w:p w14:paraId="6E9ADF66" w14:textId="3E7E5B28" w:rsidR="00DA53BE" w:rsidRDefault="00DD5FDE">
      <w:pPr>
        <w:pStyle w:val="BodyText"/>
        <w:numPr>
          <w:ilvl w:val="0"/>
          <w:numId w:val="2"/>
        </w:numPr>
        <w:spacing w:after="0"/>
        <w:jc w:val="both"/>
        <w:rPr>
          <w:rFonts w:ascii="Arial" w:hAnsi="Arial" w:cs="Arial"/>
        </w:rPr>
      </w:pPr>
      <w:r>
        <w:rPr>
          <w:rFonts w:ascii="Arial" w:hAnsi="Arial" w:cs="Arial"/>
          <w:u w:val="single"/>
        </w:rPr>
        <w:t>Nuevas Normas y Regulaciones de Información Financiera</w:t>
      </w:r>
      <w:r>
        <w:rPr>
          <w:rFonts w:ascii="Arial" w:hAnsi="Arial" w:cs="Arial"/>
        </w:rPr>
        <w:t xml:space="preserve"> – </w:t>
      </w:r>
      <w:r w:rsidR="009E3896">
        <w:rPr>
          <w:rFonts w:ascii="Arial" w:hAnsi="Arial" w:cs="Arial"/>
        </w:rPr>
        <w:t>En PT 3221 se incluye un anexo q</w:t>
      </w:r>
      <w:r w:rsidR="00DA53BE">
        <w:rPr>
          <w:rFonts w:ascii="Arial" w:hAnsi="Arial" w:cs="Arial"/>
        </w:rPr>
        <w:t xml:space="preserve">ue resume las nuevas </w:t>
      </w:r>
      <w:r w:rsidR="009E3896">
        <w:rPr>
          <w:rFonts w:ascii="Arial" w:hAnsi="Arial" w:cs="Arial"/>
        </w:rPr>
        <w:t>NIIF</w:t>
      </w:r>
      <w:r w:rsidR="00DA53BE">
        <w:rPr>
          <w:rFonts w:ascii="Arial" w:hAnsi="Arial" w:cs="Arial"/>
        </w:rPr>
        <w:t>, incluyendo enmiendas, que son de aplicación obli</w:t>
      </w:r>
      <w:r w:rsidR="008C4994">
        <w:rPr>
          <w:rFonts w:ascii="Arial" w:hAnsi="Arial" w:cs="Arial"/>
        </w:rPr>
        <w:t>gatorias al 31 de diciembre</w:t>
      </w:r>
      <w:r w:rsidR="00DA53BE">
        <w:rPr>
          <w:rFonts w:ascii="Arial" w:hAnsi="Arial" w:cs="Arial"/>
        </w:rPr>
        <w:t xml:space="preserve"> del 202</w:t>
      </w:r>
      <w:r w:rsidR="009E3896">
        <w:rPr>
          <w:rFonts w:ascii="Arial" w:hAnsi="Arial" w:cs="Arial"/>
        </w:rPr>
        <w:t>1</w:t>
      </w:r>
      <w:r w:rsidR="008C4994">
        <w:rPr>
          <w:rFonts w:ascii="Arial" w:hAnsi="Arial" w:cs="Arial"/>
        </w:rPr>
        <w:t xml:space="preserve">, ninguna de las cuales tienen efecto importante en las operaciones y registros contables de </w:t>
      </w:r>
      <w:proofErr w:type="spellStart"/>
      <w:r w:rsidR="008C4994">
        <w:rPr>
          <w:rFonts w:ascii="Arial" w:hAnsi="Arial" w:cs="Arial"/>
        </w:rPr>
        <w:t>Linkotel</w:t>
      </w:r>
      <w:proofErr w:type="spellEnd"/>
      <w:r w:rsidR="00DA53BE">
        <w:rPr>
          <w:rFonts w:ascii="Arial" w:hAnsi="Arial" w:cs="Arial"/>
        </w:rPr>
        <w:t>:</w:t>
      </w:r>
    </w:p>
    <w:p w14:paraId="33F12E6F" w14:textId="77777777" w:rsidR="00DA53BE" w:rsidRDefault="00DA53BE" w:rsidP="00DA53BE">
      <w:pPr>
        <w:pStyle w:val="BodyText"/>
        <w:spacing w:after="0"/>
        <w:ind w:left="720"/>
        <w:jc w:val="both"/>
        <w:rPr>
          <w:rFonts w:ascii="Arial" w:hAnsi="Arial" w:cs="Arial"/>
          <w:u w:val="single"/>
        </w:rPr>
      </w:pPr>
    </w:p>
    <w:p w14:paraId="7225684B" w14:textId="1FCEBBBD" w:rsidR="007B1142" w:rsidRDefault="009E3896" w:rsidP="00DA53BE">
      <w:pPr>
        <w:pStyle w:val="BodyText"/>
        <w:spacing w:after="0"/>
        <w:ind w:left="720"/>
        <w:jc w:val="both"/>
        <w:rPr>
          <w:rFonts w:ascii="Arial" w:hAnsi="Arial" w:cs="Arial"/>
        </w:rPr>
      </w:pPr>
      <w:r>
        <w:rPr>
          <w:rFonts w:ascii="Arial" w:hAnsi="Arial" w:cs="Arial"/>
        </w:rPr>
        <w:t>No hemos identificado</w:t>
      </w:r>
      <w:r w:rsidR="00DD5FDE">
        <w:rPr>
          <w:rFonts w:ascii="Arial" w:hAnsi="Arial" w:cs="Arial"/>
        </w:rPr>
        <w:t xml:space="preserve"> regulaciones contables nuevas que haya emitido la Superintendencia de Compañías o el SRI, que afecten el reporte de la información financiera.</w:t>
      </w:r>
    </w:p>
    <w:p w14:paraId="201F05FA" w14:textId="77777777" w:rsidR="007B1142" w:rsidRDefault="007B1142">
      <w:pPr>
        <w:pStyle w:val="BodyText"/>
        <w:spacing w:after="0"/>
        <w:ind w:left="720"/>
        <w:jc w:val="both"/>
        <w:rPr>
          <w:rFonts w:ascii="Arial" w:hAnsi="Arial" w:cs="Arial"/>
          <w:u w:val="single"/>
        </w:rPr>
      </w:pPr>
    </w:p>
    <w:p w14:paraId="6134FDB1" w14:textId="47A7D729" w:rsidR="007B1142" w:rsidRDefault="009E3896">
      <w:pPr>
        <w:pStyle w:val="BodyText"/>
        <w:spacing w:after="0"/>
        <w:ind w:left="720"/>
        <w:jc w:val="both"/>
      </w:pPr>
      <w:r>
        <w:rPr>
          <w:rFonts w:ascii="Arial" w:hAnsi="Arial" w:cs="Arial"/>
        </w:rPr>
        <w:t>A la fecha de este memo se discute una reforma tributaria propuesta por el gobierno con el objetivo de financiar el presupuesto del estado para el año 2022; las medidas propuestas se enfocan en incremento de impuestos para las personas naturales y empresas con patrimonio significativo.</w:t>
      </w:r>
    </w:p>
    <w:p w14:paraId="48F56024" w14:textId="77777777" w:rsidR="007B1142" w:rsidRDefault="007B1142">
      <w:pPr>
        <w:pStyle w:val="BodyText"/>
        <w:spacing w:after="0"/>
        <w:ind w:left="720"/>
        <w:jc w:val="both"/>
        <w:rPr>
          <w:rFonts w:ascii="Arial" w:hAnsi="Arial" w:cs="Arial"/>
        </w:rPr>
      </w:pPr>
    </w:p>
    <w:p w14:paraId="0876340D" w14:textId="77777777" w:rsidR="007B1142" w:rsidRDefault="00DD5FDE">
      <w:pPr>
        <w:pStyle w:val="BodyText"/>
        <w:numPr>
          <w:ilvl w:val="0"/>
          <w:numId w:val="2"/>
        </w:numPr>
        <w:spacing w:after="0"/>
        <w:jc w:val="both"/>
      </w:pPr>
      <w:r>
        <w:rPr>
          <w:rFonts w:ascii="Arial" w:hAnsi="Arial" w:cs="Arial"/>
          <w:u w:val="single"/>
        </w:rPr>
        <w:t>Condiciones económicas generales</w:t>
      </w:r>
      <w:r>
        <w:rPr>
          <w:rFonts w:ascii="Arial" w:hAnsi="Arial" w:cs="Arial"/>
        </w:rPr>
        <w:t xml:space="preserve"> – </w:t>
      </w:r>
    </w:p>
    <w:p w14:paraId="4A699394" w14:textId="77777777" w:rsidR="00ED5678" w:rsidRDefault="00ED5678" w:rsidP="00571F5B">
      <w:pPr>
        <w:pStyle w:val="BodyText"/>
        <w:spacing w:after="0"/>
        <w:ind w:left="708"/>
        <w:jc w:val="both"/>
        <w:rPr>
          <w:rFonts w:ascii="Arial" w:hAnsi="Arial" w:cs="Arial"/>
          <w:i/>
          <w:iCs/>
          <w:u w:val="single"/>
        </w:rPr>
      </w:pPr>
    </w:p>
    <w:p w14:paraId="1098E634" w14:textId="47029DB9" w:rsidR="00571F5B" w:rsidRDefault="00DD5FDE" w:rsidP="00571F5B">
      <w:pPr>
        <w:pStyle w:val="BodyText"/>
        <w:spacing w:after="0"/>
        <w:ind w:left="708"/>
        <w:jc w:val="both"/>
        <w:rPr>
          <w:rFonts w:ascii="Arial" w:hAnsi="Arial" w:cs="Arial"/>
        </w:rPr>
      </w:pPr>
      <w:r>
        <w:rPr>
          <w:rFonts w:ascii="Arial" w:hAnsi="Arial" w:cs="Arial"/>
          <w:i/>
          <w:iCs/>
          <w:u w:val="single"/>
        </w:rPr>
        <w:t>Crecimiento del PIB</w:t>
      </w:r>
      <w:r>
        <w:rPr>
          <w:rFonts w:ascii="Arial" w:hAnsi="Arial" w:cs="Arial"/>
          <w:i/>
          <w:iCs/>
        </w:rPr>
        <w:t xml:space="preserve"> -</w:t>
      </w:r>
      <w:r>
        <w:rPr>
          <w:rFonts w:ascii="Arial" w:hAnsi="Arial" w:cs="Arial"/>
        </w:rPr>
        <w:t xml:space="preserve"> Antes de la pandemia del covid-19 la economía ecuatoriana ya </w:t>
      </w:r>
      <w:r w:rsidR="00845DEA">
        <w:rPr>
          <w:rFonts w:ascii="Arial" w:hAnsi="Arial" w:cs="Arial"/>
        </w:rPr>
        <w:t>tenía</w:t>
      </w:r>
      <w:r>
        <w:rPr>
          <w:rFonts w:ascii="Arial" w:hAnsi="Arial" w:cs="Arial"/>
        </w:rPr>
        <w:t xml:space="preserve"> vulnerabilidades preexistentes, lo que se veía reflejado en estancamiento o </w:t>
      </w:r>
      <w:r>
        <w:rPr>
          <w:rFonts w:ascii="Arial" w:hAnsi="Arial" w:cs="Arial"/>
        </w:rPr>
        <w:lastRenderedPageBreak/>
        <w:t>poco crecimiento del PIB en los últimos años: 0.1% en 2015, -1.2% en 2016, 2.4% en 2017, 1.3% en 2018 y 0.1% en 2019; con una alta dependencia de las exportaciones de petróleo y de su precio en el mercado internacional. Debido a los efectos económicos de la pandemia el PIB cayó -</w:t>
      </w:r>
      <w:r w:rsidR="00ED5678">
        <w:rPr>
          <w:rFonts w:ascii="Arial" w:hAnsi="Arial" w:cs="Arial"/>
        </w:rPr>
        <w:t>7.8</w:t>
      </w:r>
      <w:r>
        <w:rPr>
          <w:rFonts w:ascii="Arial" w:hAnsi="Arial" w:cs="Arial"/>
        </w:rPr>
        <w:t>%</w:t>
      </w:r>
      <w:r w:rsidR="00ED5678">
        <w:rPr>
          <w:rFonts w:ascii="Arial" w:hAnsi="Arial" w:cs="Arial"/>
        </w:rPr>
        <w:t xml:space="preserve"> en el año 2020 y los especialistas prevén una recuperación de 2.8% para el presente ejercicio 2021</w:t>
      </w:r>
    </w:p>
    <w:p w14:paraId="60B462FC" w14:textId="77777777" w:rsidR="00571F5B" w:rsidRDefault="00571F5B" w:rsidP="00571F5B">
      <w:pPr>
        <w:pStyle w:val="BodyText"/>
        <w:spacing w:after="0"/>
        <w:ind w:left="708"/>
        <w:jc w:val="both"/>
        <w:rPr>
          <w:rFonts w:ascii="Arial" w:hAnsi="Arial" w:cs="Arial"/>
        </w:rPr>
      </w:pPr>
    </w:p>
    <w:p w14:paraId="46EFB800" w14:textId="7D459C25" w:rsidR="007B1142" w:rsidRDefault="00ED5678" w:rsidP="00571F5B">
      <w:pPr>
        <w:pStyle w:val="BodyText"/>
        <w:spacing w:after="0"/>
        <w:ind w:left="708"/>
        <w:jc w:val="both"/>
      </w:pPr>
      <w:r>
        <w:rPr>
          <w:rFonts w:ascii="Arial" w:hAnsi="Arial" w:cs="Arial"/>
        </w:rPr>
        <w:t xml:space="preserve">A pesar de la caída del PIB en el año 2020 y bajo crecimiento en el 2021, las ventas de la empresa no se han visto afectadas </w:t>
      </w:r>
      <w:r w:rsidR="00FC66AE">
        <w:rPr>
          <w:rFonts w:ascii="Arial" w:hAnsi="Arial" w:cs="Arial"/>
        </w:rPr>
        <w:t>y, hasta ag-21 ya se alcanzó el nivel de ingresos por servicios de telefonía del año pasado por lo cual se espera superar los niveles de ingresos 2020 y el presupuesto inicialmente establecido.</w:t>
      </w:r>
    </w:p>
    <w:p w14:paraId="73B90EF1" w14:textId="77777777" w:rsidR="00DA53BE" w:rsidRDefault="00DA53BE">
      <w:pPr>
        <w:pStyle w:val="BodyText"/>
        <w:spacing w:after="0"/>
        <w:ind w:left="708"/>
        <w:jc w:val="both"/>
        <w:rPr>
          <w:rFonts w:ascii="Arial" w:hAnsi="Arial" w:cs="Arial"/>
          <w:u w:val="single"/>
        </w:rPr>
      </w:pPr>
    </w:p>
    <w:p w14:paraId="17DA650E" w14:textId="4E7AAB12" w:rsidR="005A6AD6" w:rsidRPr="005A6AD6" w:rsidRDefault="00DD5FDE">
      <w:pPr>
        <w:pStyle w:val="BodyText"/>
        <w:spacing w:after="0"/>
        <w:ind w:left="708"/>
        <w:jc w:val="both"/>
        <w:rPr>
          <w:rFonts w:ascii="Arial" w:hAnsi="Arial" w:cs="Arial"/>
        </w:rPr>
      </w:pPr>
      <w:r>
        <w:rPr>
          <w:rFonts w:ascii="Arial" w:hAnsi="Arial" w:cs="Arial"/>
          <w:i/>
          <w:iCs/>
          <w:u w:val="single"/>
        </w:rPr>
        <w:t>COVID-19</w:t>
      </w:r>
      <w:r>
        <w:rPr>
          <w:rFonts w:ascii="Arial" w:hAnsi="Arial" w:cs="Arial"/>
          <w:i/>
          <w:iCs/>
        </w:rPr>
        <w:t xml:space="preserve"> </w:t>
      </w:r>
      <w:r w:rsidR="005A6AD6">
        <w:rPr>
          <w:rFonts w:ascii="Arial" w:hAnsi="Arial" w:cs="Arial"/>
          <w:i/>
          <w:iCs/>
        </w:rPr>
        <w:t>–</w:t>
      </w:r>
      <w:r>
        <w:rPr>
          <w:rFonts w:ascii="Arial" w:hAnsi="Arial" w:cs="Arial"/>
          <w:i/>
          <w:iCs/>
        </w:rPr>
        <w:t xml:space="preserve"> </w:t>
      </w:r>
      <w:r w:rsidR="005A6AD6">
        <w:rPr>
          <w:rFonts w:ascii="Arial" w:hAnsi="Arial" w:cs="Arial"/>
        </w:rPr>
        <w:t xml:space="preserve">A partir de mayo 2021 que Guillermo Lasso tomó posesión como nuevo presidente del Ecuador se inició una campaña masiva para vacunar 9 millones de personas (50% de la población) en sus primeros 100 días de mandato, objetivo que se logró y, a la presente fecha aproximadamente el 60% de la población ecuatoriana se encuentra vacunada con dos dosis. El éxito en la vacunación ha disminuido significativamente los nuevos casos de pacientes infectados por la </w:t>
      </w:r>
      <w:proofErr w:type="gramStart"/>
      <w:r w:rsidR="0075253E">
        <w:rPr>
          <w:rFonts w:ascii="Arial" w:hAnsi="Arial" w:cs="Arial"/>
        </w:rPr>
        <w:t>pandemia,</w:t>
      </w:r>
      <w:proofErr w:type="gramEnd"/>
      <w:r w:rsidR="005A6AD6">
        <w:rPr>
          <w:rFonts w:ascii="Arial" w:hAnsi="Arial" w:cs="Arial"/>
        </w:rPr>
        <w:t xml:space="preserve"> se han cerrado centros de atención y liberado unidades de cuidado intensivo de los hospitales.</w:t>
      </w:r>
    </w:p>
    <w:p w14:paraId="027DAB61" w14:textId="77777777" w:rsidR="005A6AD6" w:rsidRDefault="005A6AD6">
      <w:pPr>
        <w:pStyle w:val="BodyText"/>
        <w:spacing w:after="0"/>
        <w:ind w:left="708"/>
        <w:jc w:val="both"/>
        <w:rPr>
          <w:rFonts w:ascii="Arial" w:hAnsi="Arial" w:cs="Arial"/>
        </w:rPr>
      </w:pPr>
    </w:p>
    <w:p w14:paraId="7B8715F4" w14:textId="1F94150E" w:rsidR="007B1142" w:rsidRPr="0075253E" w:rsidRDefault="0075253E">
      <w:pPr>
        <w:pStyle w:val="BodyText"/>
        <w:spacing w:after="0"/>
        <w:ind w:left="708"/>
        <w:jc w:val="both"/>
        <w:rPr>
          <w:rFonts w:ascii="Arial" w:hAnsi="Arial" w:cs="Arial"/>
        </w:rPr>
      </w:pPr>
      <w:r>
        <w:rPr>
          <w:rFonts w:ascii="Arial" w:hAnsi="Arial" w:cs="Arial"/>
        </w:rPr>
        <w:t>Las actividades económicas de las empresas en general se están normalizando, aunque todavía se mantienen restricciones para espectáculos públicos y eventos masivos. El SRI reporta un crecimiento del 12% en la recaudación tributaria de enero a octubre del 2021, comparado con similar periodo del año pasado.</w:t>
      </w:r>
    </w:p>
    <w:p w14:paraId="2DC647BC" w14:textId="77777777" w:rsidR="007B1142" w:rsidRDefault="007B1142">
      <w:pPr>
        <w:pStyle w:val="BodyText"/>
        <w:spacing w:after="0"/>
        <w:ind w:left="708"/>
        <w:jc w:val="both"/>
        <w:rPr>
          <w:rFonts w:ascii="Arial" w:hAnsi="Arial" w:cs="Arial"/>
        </w:rPr>
      </w:pPr>
    </w:p>
    <w:p w14:paraId="7F1E4313" w14:textId="0255525D" w:rsidR="007B1142" w:rsidRDefault="00DD5FDE">
      <w:pPr>
        <w:pStyle w:val="BodyText"/>
        <w:spacing w:after="0"/>
        <w:ind w:left="708"/>
        <w:jc w:val="both"/>
      </w:pPr>
      <w:r>
        <w:rPr>
          <w:rFonts w:ascii="Arial" w:hAnsi="Arial" w:cs="Arial"/>
          <w:i/>
          <w:iCs/>
          <w:u w:val="single"/>
        </w:rPr>
        <w:t>Niveles de Empleo</w:t>
      </w:r>
      <w:r>
        <w:rPr>
          <w:rFonts w:ascii="Arial" w:hAnsi="Arial" w:cs="Arial"/>
          <w:i/>
          <w:iCs/>
        </w:rPr>
        <w:t xml:space="preserve"> – </w:t>
      </w:r>
    </w:p>
    <w:p w14:paraId="47002025" w14:textId="77777777" w:rsidR="007B1142" w:rsidRDefault="007B1142">
      <w:pPr>
        <w:pStyle w:val="BodyText"/>
        <w:spacing w:after="0"/>
        <w:ind w:left="708"/>
        <w:jc w:val="both"/>
        <w:rPr>
          <w:rFonts w:ascii="Arial" w:hAnsi="Arial" w:cs="Arial"/>
          <w:u w:val="single"/>
        </w:rPr>
      </w:pPr>
    </w:p>
    <w:p w14:paraId="6ADE092D" w14:textId="0A9E9F63" w:rsidR="007B1142" w:rsidRDefault="00963FAE">
      <w:pPr>
        <w:pStyle w:val="BodyText"/>
        <w:spacing w:after="0"/>
        <w:ind w:left="708"/>
        <w:jc w:val="both"/>
      </w:pPr>
      <w:r>
        <w:rPr>
          <w:noProof/>
        </w:rPr>
        <w:drawing>
          <wp:inline distT="0" distB="0" distL="0" distR="0" wp14:anchorId="79988518" wp14:editId="2102FC88">
            <wp:extent cx="561022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1809750"/>
                    </a:xfrm>
                    <a:prstGeom prst="rect">
                      <a:avLst/>
                    </a:prstGeom>
                    <a:noFill/>
                    <a:ln>
                      <a:noFill/>
                    </a:ln>
                  </pic:spPr>
                </pic:pic>
              </a:graphicData>
            </a:graphic>
          </wp:inline>
        </w:drawing>
      </w:r>
    </w:p>
    <w:p w14:paraId="6312E61A" w14:textId="77777777" w:rsidR="007B1142" w:rsidRDefault="007B1142">
      <w:pPr>
        <w:pStyle w:val="BodyText"/>
        <w:spacing w:after="0"/>
        <w:ind w:left="708"/>
        <w:jc w:val="both"/>
        <w:rPr>
          <w:rFonts w:ascii="Arial" w:hAnsi="Arial" w:cs="Arial"/>
          <w:u w:val="single"/>
        </w:rPr>
      </w:pPr>
    </w:p>
    <w:p w14:paraId="6946ABF6" w14:textId="422B67D4" w:rsidR="00963FAE" w:rsidRDefault="00963FAE">
      <w:pPr>
        <w:pStyle w:val="BodyText"/>
        <w:spacing w:after="0"/>
        <w:ind w:left="708"/>
        <w:jc w:val="both"/>
        <w:rPr>
          <w:rFonts w:ascii="Arial" w:hAnsi="Arial" w:cs="Arial"/>
        </w:rPr>
      </w:pPr>
      <w:r>
        <w:rPr>
          <w:rFonts w:ascii="Arial" w:hAnsi="Arial" w:cs="Arial"/>
        </w:rPr>
        <w:t>Con la recuperación de la economía también se están recuperando los niveles de empleo adecuado, a medida que se reduce la tasa de subempleo y desempleo.</w:t>
      </w:r>
    </w:p>
    <w:p w14:paraId="476E1C66" w14:textId="0F81D7B9" w:rsidR="00963FAE" w:rsidRDefault="00963FAE">
      <w:pPr>
        <w:pStyle w:val="BodyText"/>
        <w:spacing w:after="0"/>
        <w:ind w:left="708"/>
        <w:jc w:val="both"/>
        <w:rPr>
          <w:rFonts w:ascii="Arial" w:hAnsi="Arial" w:cs="Arial"/>
        </w:rPr>
      </w:pPr>
      <w:r>
        <w:rPr>
          <w:rFonts w:ascii="Arial" w:hAnsi="Arial" w:cs="Arial"/>
        </w:rPr>
        <w:t xml:space="preserve">El gobierno está planteando nueva normativa laboral que permita contratar trabajadores por temporada, jornadas reducidas y </w:t>
      </w:r>
      <w:r w:rsidR="00FA4E17">
        <w:rPr>
          <w:rFonts w:ascii="Arial" w:hAnsi="Arial" w:cs="Arial"/>
        </w:rPr>
        <w:t>otra</w:t>
      </w:r>
      <w:r>
        <w:rPr>
          <w:rFonts w:ascii="Arial" w:hAnsi="Arial" w:cs="Arial"/>
        </w:rPr>
        <w:t>s formas de contratación que ayuden a mejorar los niveles de</w:t>
      </w:r>
      <w:r w:rsidR="00FA4E17">
        <w:rPr>
          <w:rFonts w:ascii="Arial" w:hAnsi="Arial" w:cs="Arial"/>
        </w:rPr>
        <w:t xml:space="preserve"> empleo, aunque enfrenta oposición de las </w:t>
      </w:r>
      <w:r w:rsidR="00FA4E17">
        <w:rPr>
          <w:rFonts w:ascii="Arial" w:hAnsi="Arial" w:cs="Arial"/>
        </w:rPr>
        <w:lastRenderedPageBreak/>
        <w:t>organizaciones sindicales y debe obtener votos favorables en la Asamblea Nacional, en la cual no tiene mayoría.</w:t>
      </w:r>
    </w:p>
    <w:p w14:paraId="74882A9D" w14:textId="77777777" w:rsidR="00963FAE" w:rsidRDefault="00963FAE">
      <w:pPr>
        <w:pStyle w:val="BodyText"/>
        <w:spacing w:after="0"/>
        <w:ind w:left="708"/>
        <w:jc w:val="both"/>
        <w:rPr>
          <w:rFonts w:ascii="Arial" w:hAnsi="Arial" w:cs="Arial"/>
        </w:rPr>
      </w:pPr>
    </w:p>
    <w:p w14:paraId="1847941C" w14:textId="5C52F770" w:rsidR="0061455C" w:rsidRDefault="00DD5FDE">
      <w:pPr>
        <w:pStyle w:val="BodyText"/>
        <w:spacing w:after="0"/>
        <w:ind w:left="708"/>
        <w:jc w:val="both"/>
        <w:rPr>
          <w:rFonts w:ascii="Arial" w:hAnsi="Arial" w:cs="Arial"/>
        </w:rPr>
      </w:pPr>
      <w:r>
        <w:rPr>
          <w:rFonts w:ascii="Arial" w:hAnsi="Arial" w:cs="Arial"/>
          <w:i/>
          <w:iCs/>
          <w:u w:val="single"/>
        </w:rPr>
        <w:t>Gasto Público y Endeudamiento</w:t>
      </w:r>
      <w:r>
        <w:rPr>
          <w:rFonts w:ascii="Arial" w:hAnsi="Arial" w:cs="Arial"/>
          <w:i/>
          <w:iCs/>
        </w:rPr>
        <w:t xml:space="preserve"> </w:t>
      </w:r>
      <w:r w:rsidR="0061455C">
        <w:rPr>
          <w:rFonts w:ascii="Arial" w:hAnsi="Arial" w:cs="Arial"/>
          <w:i/>
          <w:iCs/>
        </w:rPr>
        <w:t>–</w:t>
      </w:r>
      <w:r>
        <w:rPr>
          <w:rFonts w:ascii="Arial" w:hAnsi="Arial" w:cs="Arial"/>
        </w:rPr>
        <w:t xml:space="preserve"> </w:t>
      </w:r>
      <w:r w:rsidR="0061455C">
        <w:rPr>
          <w:rFonts w:ascii="Arial" w:hAnsi="Arial" w:cs="Arial"/>
        </w:rPr>
        <w:t>Los niveles de deuda pública se mantienen por encima del 60% del PIB lo cual es significativo para la economía del País</w:t>
      </w:r>
      <w:r w:rsidR="00604234">
        <w:rPr>
          <w:rFonts w:ascii="Arial" w:hAnsi="Arial" w:cs="Arial"/>
        </w:rPr>
        <w:t xml:space="preserve"> y supera el límite máximo legal que se había establecido en 40%. La Asamblea Nacional aprobó que este indicador se reduzca gradualmente en los próximos años: 2025: 57%, 2030: 45%, y 2032 en adelante: 40%</w:t>
      </w:r>
    </w:p>
    <w:p w14:paraId="7A76A795" w14:textId="77777777" w:rsidR="0061455C" w:rsidRDefault="0061455C">
      <w:pPr>
        <w:pStyle w:val="BodyText"/>
        <w:spacing w:after="0"/>
        <w:ind w:left="708"/>
        <w:jc w:val="both"/>
        <w:rPr>
          <w:rFonts w:ascii="Arial" w:hAnsi="Arial" w:cs="Arial"/>
        </w:rPr>
      </w:pPr>
    </w:p>
    <w:p w14:paraId="7315F033" w14:textId="044F4437" w:rsidR="007B1142" w:rsidRDefault="0061455C">
      <w:pPr>
        <w:pStyle w:val="BodyText"/>
        <w:spacing w:after="0"/>
        <w:ind w:left="708"/>
        <w:jc w:val="both"/>
        <w:rPr>
          <w:rFonts w:ascii="Arial" w:hAnsi="Arial" w:cs="Arial"/>
        </w:rPr>
      </w:pPr>
      <w:r>
        <w:rPr>
          <w:rFonts w:ascii="Arial" w:hAnsi="Arial" w:cs="Arial"/>
          <w:noProof/>
        </w:rPr>
        <w:drawing>
          <wp:inline distT="0" distB="0" distL="0" distR="0" wp14:anchorId="16B8E562" wp14:editId="66C3ACDF">
            <wp:extent cx="5200650" cy="386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0650" cy="3867150"/>
                    </a:xfrm>
                    <a:prstGeom prst="rect">
                      <a:avLst/>
                    </a:prstGeom>
                    <a:noFill/>
                    <a:ln>
                      <a:noFill/>
                    </a:ln>
                  </pic:spPr>
                </pic:pic>
              </a:graphicData>
            </a:graphic>
          </wp:inline>
        </w:drawing>
      </w:r>
    </w:p>
    <w:p w14:paraId="4FDBC3E4" w14:textId="11304BA0" w:rsidR="00766C40" w:rsidRDefault="00766C40">
      <w:pPr>
        <w:pStyle w:val="BodyText"/>
        <w:spacing w:after="0"/>
        <w:ind w:left="708"/>
        <w:jc w:val="both"/>
        <w:rPr>
          <w:rFonts w:ascii="Arial" w:hAnsi="Arial" w:cs="Arial"/>
        </w:rPr>
      </w:pPr>
    </w:p>
    <w:p w14:paraId="678C4750" w14:textId="56C26B42" w:rsidR="00766C40" w:rsidRDefault="00604234">
      <w:pPr>
        <w:pStyle w:val="BodyText"/>
        <w:spacing w:after="0"/>
        <w:ind w:left="708"/>
        <w:jc w:val="both"/>
        <w:rPr>
          <w:rFonts w:ascii="Arial" w:hAnsi="Arial" w:cs="Arial"/>
        </w:rPr>
      </w:pPr>
      <w:r>
        <w:rPr>
          <w:rFonts w:ascii="Arial" w:hAnsi="Arial" w:cs="Arial"/>
        </w:rPr>
        <w:t>La proforma presupuestaria del 2022, pendiente de aprobación, proyecta ingresos por US$33,900 millones con un incremento de US$2,439 millones con relación al 2021y un déficit de US$3,784 millones, equivalente al 3.45% del PIB. Para financiar dicho déficit se depende principalmente de nuevos créditos del FMI, emisión de bonos e incremento en los ingresos tributarios</w:t>
      </w:r>
      <w:r w:rsidR="004247AB">
        <w:rPr>
          <w:rFonts w:ascii="Arial" w:hAnsi="Arial" w:cs="Arial"/>
        </w:rPr>
        <w:t>, en adición, se ha decretado incrementos en los precios de combustibles, medida que origina protestas por parte de transportistas, sector indígena y organismos sindicales.</w:t>
      </w:r>
    </w:p>
    <w:p w14:paraId="7B99B04B" w14:textId="520D2DF9" w:rsidR="004247AB" w:rsidRDefault="004247AB">
      <w:pPr>
        <w:pStyle w:val="BodyText"/>
        <w:spacing w:after="0"/>
        <w:ind w:left="708"/>
        <w:jc w:val="both"/>
        <w:rPr>
          <w:rFonts w:ascii="Arial" w:hAnsi="Arial" w:cs="Arial"/>
        </w:rPr>
      </w:pPr>
    </w:p>
    <w:p w14:paraId="5EA985B1" w14:textId="2A108456" w:rsidR="004247AB" w:rsidRDefault="004247AB">
      <w:pPr>
        <w:pStyle w:val="BodyText"/>
        <w:spacing w:after="0"/>
        <w:ind w:left="708"/>
        <w:jc w:val="both"/>
        <w:rPr>
          <w:rFonts w:ascii="Arial" w:hAnsi="Arial" w:cs="Arial"/>
        </w:rPr>
      </w:pPr>
      <w:r>
        <w:rPr>
          <w:rFonts w:ascii="Arial" w:hAnsi="Arial" w:cs="Arial"/>
        </w:rPr>
        <w:t xml:space="preserve">El Gobierno confía que logrará la aprobación de los incrementos tributarios propuestos lo que es un compromiso con el FMI y abre las puertas para el financiamiento por parte de este último. A la presente fecha se encuentra </w:t>
      </w:r>
      <w:r>
        <w:rPr>
          <w:rFonts w:ascii="Arial" w:hAnsi="Arial" w:cs="Arial"/>
        </w:rPr>
        <w:lastRenderedPageBreak/>
        <w:t>negociando con los diferentes actores sociales las medidas de incrementos en los precios de combustibles.</w:t>
      </w:r>
    </w:p>
    <w:p w14:paraId="1DC37A34" w14:textId="77777777" w:rsidR="007B1142" w:rsidRDefault="007B1142">
      <w:pPr>
        <w:pStyle w:val="BodyText"/>
        <w:spacing w:after="0"/>
        <w:ind w:left="708"/>
        <w:jc w:val="both"/>
        <w:rPr>
          <w:rFonts w:ascii="Arial" w:hAnsi="Arial" w:cs="Arial"/>
        </w:rPr>
      </w:pPr>
    </w:p>
    <w:p w14:paraId="35EAFD90" w14:textId="77777777" w:rsidR="007B1142" w:rsidRDefault="00DD5FDE">
      <w:pPr>
        <w:pStyle w:val="BodyText"/>
        <w:spacing w:after="0"/>
        <w:ind w:left="708"/>
        <w:jc w:val="both"/>
      </w:pPr>
      <w:r>
        <w:rPr>
          <w:rFonts w:ascii="Arial" w:hAnsi="Arial" w:cs="Arial"/>
          <w:i/>
          <w:iCs/>
          <w:u w:val="single"/>
        </w:rPr>
        <w:t>Nivel de Precios</w:t>
      </w:r>
      <w:r>
        <w:rPr>
          <w:rFonts w:ascii="Arial" w:hAnsi="Arial" w:cs="Arial"/>
          <w:i/>
          <w:iCs/>
        </w:rPr>
        <w:t xml:space="preserve"> - </w:t>
      </w:r>
      <w:r>
        <w:rPr>
          <w:rFonts w:ascii="Arial" w:hAnsi="Arial" w:cs="Arial"/>
        </w:rPr>
        <w:t xml:space="preserve">Al encontrarse dolarizada la economía no es factible emitir moneda para financiar los déficits públicos y la productividad del sector privado no crece lo suficiente para compensar el menor precio del petróleo. Los precios en dólares se mantienen constantes e incluso se reducen debido a la competencia y por el efecto de promociones y bonificaciones (descuentos) para mantener o incrementar las ventas. </w:t>
      </w:r>
    </w:p>
    <w:p w14:paraId="130E4373" w14:textId="77777777" w:rsidR="007B1142" w:rsidRDefault="007B1142">
      <w:pPr>
        <w:pStyle w:val="BodyText"/>
        <w:spacing w:after="0"/>
        <w:ind w:left="708"/>
        <w:jc w:val="both"/>
        <w:rPr>
          <w:rFonts w:ascii="Arial" w:hAnsi="Arial" w:cs="Arial"/>
        </w:rPr>
      </w:pPr>
    </w:p>
    <w:p w14:paraId="253E46DB" w14:textId="2941EB09" w:rsidR="007B1142" w:rsidRDefault="00DD5FDE">
      <w:pPr>
        <w:pStyle w:val="BodyText"/>
        <w:spacing w:after="0"/>
        <w:ind w:left="708"/>
        <w:jc w:val="both"/>
      </w:pPr>
      <w:r w:rsidRPr="00B73F57">
        <w:rPr>
          <w:rFonts w:ascii="Arial" w:hAnsi="Arial" w:cs="Arial"/>
        </w:rPr>
        <w:t>La inflación promedio de los tres últimos años es</w:t>
      </w:r>
      <w:r w:rsidR="00B03DFE" w:rsidRPr="00B73F57">
        <w:rPr>
          <w:rFonts w:ascii="Arial" w:hAnsi="Arial" w:cs="Arial"/>
        </w:rPr>
        <w:t xml:space="preserve"> </w:t>
      </w:r>
      <w:r w:rsidRPr="00B73F57">
        <w:rPr>
          <w:rFonts w:ascii="Arial" w:hAnsi="Arial" w:cs="Arial"/>
        </w:rPr>
        <w:t>-0.2% (2018), -0.07% en el 201</w:t>
      </w:r>
      <w:r w:rsidR="00252689" w:rsidRPr="00B73F57">
        <w:rPr>
          <w:rFonts w:ascii="Arial" w:hAnsi="Arial" w:cs="Arial"/>
        </w:rPr>
        <w:t>9 y</w:t>
      </w:r>
      <w:r w:rsidR="00252689">
        <w:rPr>
          <w:rFonts w:ascii="Arial" w:hAnsi="Arial" w:cs="Arial"/>
        </w:rPr>
        <w:t xml:space="preserve"> -0.9% en</w:t>
      </w:r>
      <w:r>
        <w:rPr>
          <w:rFonts w:ascii="Arial" w:hAnsi="Arial" w:cs="Arial"/>
        </w:rPr>
        <w:t xml:space="preserve"> 202</w:t>
      </w:r>
      <w:r w:rsidR="00252689">
        <w:rPr>
          <w:rFonts w:ascii="Arial" w:hAnsi="Arial" w:cs="Arial"/>
        </w:rPr>
        <w:t>0. La inflación anualizada a octubre 2021 es +1.4%</w:t>
      </w:r>
      <w:r>
        <w:rPr>
          <w:rFonts w:ascii="Arial" w:hAnsi="Arial" w:cs="Arial"/>
        </w:rPr>
        <w:t xml:space="preserve"> </w:t>
      </w:r>
    </w:p>
    <w:p w14:paraId="6130FC40" w14:textId="77777777" w:rsidR="007B1142" w:rsidRDefault="007B1142">
      <w:pPr>
        <w:pStyle w:val="BodyText"/>
        <w:spacing w:after="0"/>
        <w:ind w:left="708"/>
        <w:jc w:val="both"/>
        <w:rPr>
          <w:rFonts w:ascii="Arial" w:hAnsi="Arial" w:cs="Arial"/>
        </w:rPr>
      </w:pPr>
    </w:p>
    <w:p w14:paraId="7173A7CB" w14:textId="1E68548A" w:rsidR="00940DD3" w:rsidRDefault="00DD5FDE">
      <w:pPr>
        <w:pStyle w:val="BodyText"/>
        <w:spacing w:after="0"/>
        <w:ind w:left="708"/>
        <w:jc w:val="both"/>
        <w:rPr>
          <w:rFonts w:ascii="Arial" w:hAnsi="Arial" w:cs="Arial"/>
        </w:rPr>
      </w:pPr>
      <w:r>
        <w:rPr>
          <w:rFonts w:ascii="Arial" w:hAnsi="Arial" w:cs="Arial"/>
          <w:i/>
          <w:iCs/>
          <w:u w:val="single"/>
        </w:rPr>
        <w:t>Riesgo País</w:t>
      </w:r>
      <w:r>
        <w:rPr>
          <w:rFonts w:ascii="Arial" w:hAnsi="Arial" w:cs="Arial"/>
        </w:rPr>
        <w:t xml:space="preserve"> </w:t>
      </w:r>
      <w:r w:rsidR="00940DD3">
        <w:rPr>
          <w:rFonts w:ascii="Arial" w:hAnsi="Arial" w:cs="Arial"/>
        </w:rPr>
        <w:t>–</w:t>
      </w:r>
      <w:r>
        <w:rPr>
          <w:rFonts w:ascii="Arial" w:hAnsi="Arial" w:cs="Arial"/>
        </w:rPr>
        <w:t xml:space="preserve"> </w:t>
      </w:r>
      <w:r w:rsidR="00940DD3">
        <w:rPr>
          <w:rFonts w:ascii="Arial" w:hAnsi="Arial" w:cs="Arial"/>
        </w:rPr>
        <w:t>La posesión de Guillermo Lasso como nuevo presidente ha sido vista con optimismo, así como el rápido avance de la vacunación, todo lo cual ha contribuido a que el riesgo país disminuy</w:t>
      </w:r>
      <w:r w:rsidR="006C4B8F">
        <w:rPr>
          <w:rFonts w:ascii="Arial" w:hAnsi="Arial" w:cs="Arial"/>
        </w:rPr>
        <w:t>a de 952 en septiembre 2020 a 834 a la presente fecha.</w:t>
      </w:r>
    </w:p>
    <w:p w14:paraId="52A644C1" w14:textId="77777777" w:rsidR="00940DD3" w:rsidRDefault="00940DD3">
      <w:pPr>
        <w:pStyle w:val="BodyText"/>
        <w:spacing w:after="0"/>
        <w:ind w:left="708"/>
        <w:jc w:val="both"/>
        <w:rPr>
          <w:rFonts w:ascii="Arial" w:hAnsi="Arial" w:cs="Arial"/>
        </w:rPr>
      </w:pPr>
    </w:p>
    <w:p w14:paraId="4C168BB7" w14:textId="77777777" w:rsidR="007B1142" w:rsidRDefault="00DD5FDE">
      <w:pPr>
        <w:pStyle w:val="BodyText"/>
        <w:spacing w:after="0"/>
        <w:jc w:val="both"/>
      </w:pPr>
      <w:r>
        <w:rPr>
          <w:rFonts w:ascii="Arial" w:hAnsi="Arial" w:cs="Arial"/>
          <w:b/>
          <w:bCs/>
          <w:color w:val="1F497D" w:themeColor="text2"/>
        </w:rPr>
        <w:t>III OBJETIVOS, ESTRATEGIAS Y RIESGOS DEL NEGOCIO</w:t>
      </w:r>
    </w:p>
    <w:p w14:paraId="48F2131A" w14:textId="0334727E" w:rsidR="00B73F57" w:rsidRDefault="00B73F57">
      <w:pPr>
        <w:pStyle w:val="BodyText"/>
        <w:spacing w:after="0"/>
        <w:jc w:val="both"/>
        <w:rPr>
          <w:rFonts w:ascii="Arial" w:hAnsi="Arial" w:cs="Arial"/>
        </w:rPr>
      </w:pPr>
    </w:p>
    <w:p w14:paraId="0E1908FE" w14:textId="6B7375CF" w:rsidR="00B73F57" w:rsidRDefault="00B73F57">
      <w:pPr>
        <w:pStyle w:val="BodyText"/>
        <w:spacing w:after="0"/>
        <w:jc w:val="both"/>
        <w:rPr>
          <w:rFonts w:ascii="Arial" w:hAnsi="Arial" w:cs="Arial"/>
        </w:rPr>
      </w:pPr>
      <w:r w:rsidRPr="00B73F57">
        <w:rPr>
          <w:rFonts w:ascii="Arial" w:hAnsi="Arial" w:cs="Arial"/>
          <w:i/>
          <w:iCs/>
          <w:u w:val="single"/>
        </w:rPr>
        <w:t>Objetivos</w:t>
      </w:r>
      <w:r>
        <w:rPr>
          <w:rFonts w:ascii="Arial" w:hAnsi="Arial" w:cs="Arial"/>
        </w:rPr>
        <w:t xml:space="preserve"> </w:t>
      </w:r>
      <w:r w:rsidR="00545A5D">
        <w:rPr>
          <w:rFonts w:ascii="Arial" w:hAnsi="Arial" w:cs="Arial"/>
        </w:rPr>
        <w:t>–</w:t>
      </w:r>
      <w:r>
        <w:rPr>
          <w:rFonts w:ascii="Arial" w:hAnsi="Arial" w:cs="Arial"/>
        </w:rPr>
        <w:t xml:space="preserve"> </w:t>
      </w:r>
      <w:r w:rsidR="00545A5D">
        <w:rPr>
          <w:rFonts w:ascii="Arial" w:hAnsi="Arial" w:cs="Arial"/>
        </w:rPr>
        <w:t>El presupuesto aprobado para el presente año 2021 es de US$50 mil mensuales en ventas; US$600 mil en todo el año, lo cual ya se cumplió hasta ag-21.</w:t>
      </w:r>
    </w:p>
    <w:p w14:paraId="07C1C847" w14:textId="302CFB86" w:rsidR="00545A5D" w:rsidRDefault="00545A5D">
      <w:pPr>
        <w:pStyle w:val="BodyText"/>
        <w:spacing w:after="0"/>
        <w:jc w:val="both"/>
        <w:rPr>
          <w:rFonts w:ascii="Arial" w:hAnsi="Arial" w:cs="Arial"/>
        </w:rPr>
      </w:pPr>
    </w:p>
    <w:p w14:paraId="48BA1234" w14:textId="66C3A477" w:rsidR="00545A5D" w:rsidRDefault="00545A5D">
      <w:pPr>
        <w:pStyle w:val="BodyText"/>
        <w:spacing w:after="0"/>
        <w:jc w:val="both"/>
        <w:rPr>
          <w:rFonts w:ascii="Arial" w:hAnsi="Arial" w:cs="Arial"/>
        </w:rPr>
      </w:pPr>
      <w:r>
        <w:rPr>
          <w:rFonts w:ascii="Arial" w:hAnsi="Arial" w:cs="Arial"/>
        </w:rPr>
        <w:t xml:space="preserve">Otros objetivos, principalmente cualitativos, tienen que ver con creación de un PBX específicamente para comunicación con clientes, mejorar la atención telefónica del </w:t>
      </w:r>
      <w:proofErr w:type="spellStart"/>
      <w:proofErr w:type="gramStart"/>
      <w:r>
        <w:rPr>
          <w:rFonts w:ascii="Arial" w:hAnsi="Arial" w:cs="Arial"/>
        </w:rPr>
        <w:t>call</w:t>
      </w:r>
      <w:proofErr w:type="spellEnd"/>
      <w:r>
        <w:rPr>
          <w:rFonts w:ascii="Arial" w:hAnsi="Arial" w:cs="Arial"/>
        </w:rPr>
        <w:t xml:space="preserve"> center</w:t>
      </w:r>
      <w:proofErr w:type="gramEnd"/>
      <w:r>
        <w:rPr>
          <w:rFonts w:ascii="Arial" w:hAnsi="Arial" w:cs="Arial"/>
        </w:rPr>
        <w:t xml:space="preserve">, campanas SMS de una y doble vía, campañas en medios sociales, etc. </w:t>
      </w:r>
    </w:p>
    <w:p w14:paraId="1717F646" w14:textId="77777777" w:rsidR="00B73F57" w:rsidRDefault="00B73F57">
      <w:pPr>
        <w:pStyle w:val="BodyText"/>
        <w:spacing w:after="0"/>
        <w:jc w:val="both"/>
        <w:rPr>
          <w:rFonts w:ascii="Arial" w:hAnsi="Arial" w:cs="Arial"/>
        </w:rPr>
      </w:pPr>
    </w:p>
    <w:p w14:paraId="4060C97F" w14:textId="5154E043" w:rsidR="00B73F57" w:rsidRDefault="00545A5D">
      <w:pPr>
        <w:pStyle w:val="BodyText"/>
        <w:spacing w:after="0"/>
        <w:jc w:val="both"/>
        <w:rPr>
          <w:rFonts w:ascii="Arial" w:hAnsi="Arial" w:cs="Arial"/>
        </w:rPr>
      </w:pPr>
      <w:r w:rsidRPr="00545A5D">
        <w:rPr>
          <w:rFonts w:ascii="Arial" w:hAnsi="Arial" w:cs="Arial"/>
          <w:i/>
          <w:iCs/>
          <w:u w:val="single"/>
        </w:rPr>
        <w:t>Estrategias</w:t>
      </w:r>
      <w:r>
        <w:rPr>
          <w:rFonts w:ascii="Arial" w:hAnsi="Arial" w:cs="Arial"/>
        </w:rPr>
        <w:t xml:space="preserve"> – </w:t>
      </w:r>
    </w:p>
    <w:p w14:paraId="39DB1DA3" w14:textId="402C4993" w:rsidR="00545A5D" w:rsidRDefault="00545A5D">
      <w:pPr>
        <w:pStyle w:val="BodyText"/>
        <w:spacing w:after="0"/>
        <w:jc w:val="both"/>
        <w:rPr>
          <w:rFonts w:ascii="Arial" w:hAnsi="Arial" w:cs="Arial"/>
        </w:rPr>
      </w:pPr>
    </w:p>
    <w:p w14:paraId="7E0F6111" w14:textId="3D56FCA4" w:rsidR="00545A5D" w:rsidRDefault="00545A5D">
      <w:pPr>
        <w:pStyle w:val="BodyText"/>
        <w:spacing w:after="0"/>
        <w:jc w:val="both"/>
        <w:rPr>
          <w:rFonts w:ascii="Arial" w:hAnsi="Arial" w:cs="Arial"/>
        </w:rPr>
      </w:pPr>
      <w:r w:rsidRPr="00545A5D">
        <w:rPr>
          <w:rFonts w:ascii="Arial" w:hAnsi="Arial" w:cs="Arial"/>
          <w:i/>
          <w:iCs/>
          <w:u w:val="single"/>
        </w:rPr>
        <w:t>Riesgos</w:t>
      </w:r>
      <w:r>
        <w:rPr>
          <w:rFonts w:ascii="Arial" w:hAnsi="Arial" w:cs="Arial"/>
        </w:rPr>
        <w:t xml:space="preserve"> - </w:t>
      </w:r>
    </w:p>
    <w:p w14:paraId="69A32678" w14:textId="77777777" w:rsidR="007B1142" w:rsidRDefault="007B1142">
      <w:pPr>
        <w:pStyle w:val="BodyText"/>
        <w:spacing w:after="0"/>
        <w:jc w:val="both"/>
        <w:rPr>
          <w:rFonts w:ascii="Arial" w:hAnsi="Arial" w:cs="Arial"/>
        </w:rPr>
      </w:pPr>
    </w:p>
    <w:p w14:paraId="3307A83B" w14:textId="40DC96D1" w:rsidR="007B1142" w:rsidRDefault="007B1142">
      <w:pPr>
        <w:pStyle w:val="BodyText"/>
        <w:spacing w:after="0"/>
        <w:jc w:val="both"/>
        <w:rPr>
          <w:rFonts w:ascii="Arial" w:hAnsi="Arial" w:cs="Arial"/>
          <w:b/>
          <w:bCs/>
          <w:color w:val="1F497D" w:themeColor="text2"/>
        </w:rPr>
      </w:pPr>
    </w:p>
    <w:p w14:paraId="47CDA2B8" w14:textId="77777777" w:rsidR="007B1142" w:rsidRDefault="007B1142">
      <w:pPr>
        <w:pStyle w:val="BodyText"/>
        <w:spacing w:after="0"/>
        <w:jc w:val="both"/>
        <w:rPr>
          <w:rFonts w:ascii="Arial" w:hAnsi="Arial" w:cs="Arial"/>
        </w:rPr>
      </w:pPr>
    </w:p>
    <w:p w14:paraId="36E84B08" w14:textId="695F5E58" w:rsidR="007B1142" w:rsidRDefault="00DD5FDE">
      <w:pPr>
        <w:pStyle w:val="BodyText"/>
        <w:spacing w:after="0"/>
        <w:jc w:val="both"/>
        <w:rPr>
          <w:rFonts w:ascii="Arial" w:hAnsi="Arial" w:cs="Arial"/>
        </w:rPr>
      </w:pPr>
      <w:r>
        <w:rPr>
          <w:rFonts w:ascii="Arial" w:hAnsi="Arial" w:cs="Arial"/>
        </w:rPr>
        <w:t>Preparado por: Carlos G. Almeida</w:t>
      </w:r>
    </w:p>
    <w:p w14:paraId="089331C0" w14:textId="77777777" w:rsidR="007B1142" w:rsidRDefault="00DD5FDE">
      <w:pPr>
        <w:pStyle w:val="BodyText"/>
        <w:spacing w:after="0"/>
        <w:jc w:val="both"/>
      </w:pPr>
      <w:r>
        <w:rPr>
          <w:rFonts w:ascii="Arial" w:hAnsi="Arial" w:cs="Arial"/>
        </w:rPr>
        <w:t xml:space="preserve">Fecha: </w:t>
      </w:r>
    </w:p>
    <w:p w14:paraId="11E83CF0" w14:textId="77777777" w:rsidR="007B1142" w:rsidRDefault="007B1142">
      <w:pPr>
        <w:pStyle w:val="BodyText"/>
        <w:spacing w:after="0"/>
        <w:jc w:val="both"/>
      </w:pPr>
    </w:p>
    <w:sectPr w:rsidR="007B1142">
      <w:headerReference w:type="default" r:id="rId14"/>
      <w:pgSz w:w="12240" w:h="15840"/>
      <w:pgMar w:top="1417" w:right="1701" w:bottom="1417" w:left="1701"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BA8CD" w14:textId="77777777" w:rsidR="00D7508E" w:rsidRDefault="00D7508E">
      <w:pPr>
        <w:spacing w:after="0" w:line="240" w:lineRule="auto"/>
      </w:pPr>
      <w:r>
        <w:separator/>
      </w:r>
    </w:p>
  </w:endnote>
  <w:endnote w:type="continuationSeparator" w:id="0">
    <w:p w14:paraId="3F76B146" w14:textId="77777777" w:rsidR="00D7508E" w:rsidRDefault="00D7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00C83" w14:textId="77777777" w:rsidR="00D7508E" w:rsidRDefault="00D7508E">
      <w:pPr>
        <w:spacing w:after="0" w:line="240" w:lineRule="auto"/>
      </w:pPr>
      <w:r>
        <w:separator/>
      </w:r>
    </w:p>
  </w:footnote>
  <w:footnote w:type="continuationSeparator" w:id="0">
    <w:p w14:paraId="766B221B" w14:textId="77777777" w:rsidR="00D7508E" w:rsidRDefault="00D75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91F50" w14:textId="77777777" w:rsidR="007B1142" w:rsidRDefault="00DD5FDE">
    <w:pPr>
      <w:pStyle w:val="Header"/>
    </w:pPr>
    <w:r>
      <w:rPr>
        <w:b/>
        <w:bCs/>
        <w:u w:val="single"/>
        <w:lang w:val="es-EC"/>
      </w:rPr>
      <w:t>LINKOTEL S.A.</w:t>
    </w:r>
  </w:p>
  <w:p w14:paraId="0672EA53" w14:textId="334E8650" w:rsidR="007B1142" w:rsidRDefault="00AA2703">
    <w:pPr>
      <w:pStyle w:val="Header"/>
      <w:rPr>
        <w:b/>
        <w:bCs/>
        <w:lang w:val="es-EC"/>
      </w:rPr>
    </w:pPr>
    <w:r>
      <w:rPr>
        <w:b/>
        <w:bCs/>
        <w:lang w:val="es-EC"/>
      </w:rPr>
      <w:t xml:space="preserve">DOCUMENTACION DEL </w:t>
    </w:r>
    <w:r w:rsidR="00DD5FDE">
      <w:rPr>
        <w:b/>
        <w:bCs/>
        <w:lang w:val="es-EC"/>
      </w:rPr>
      <w:t>ENTENDIMIENTO DE LA ENTIDAD Y SU ENTORNO</w:t>
    </w:r>
  </w:p>
  <w:p w14:paraId="019436B7" w14:textId="36F426A5" w:rsidR="007B1142" w:rsidRDefault="00DD5FDE">
    <w:pPr>
      <w:pStyle w:val="Header"/>
      <w:rPr>
        <w:b/>
        <w:bCs/>
        <w:lang w:val="es-EC"/>
      </w:rPr>
    </w:pPr>
    <w:r>
      <w:rPr>
        <w:b/>
        <w:bCs/>
        <w:lang w:val="es-EC"/>
      </w:rPr>
      <w:t>Al 31 de diciembre del 202</w:t>
    </w:r>
    <w:r w:rsidR="004C1800">
      <w:rPr>
        <w:b/>
        <w:bCs/>
        <w:lang w:val="es-EC"/>
      </w:rPr>
      <w:t>1</w:t>
    </w:r>
  </w:p>
  <w:p w14:paraId="4D96A7CD" w14:textId="77777777" w:rsidR="00FF2854" w:rsidRDefault="00FF2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24F48"/>
    <w:multiLevelType w:val="multilevel"/>
    <w:tmpl w:val="A6D0E2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D686DD5"/>
    <w:multiLevelType w:val="multilevel"/>
    <w:tmpl w:val="A76EB66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537D0C"/>
    <w:multiLevelType w:val="multilevel"/>
    <w:tmpl w:val="365607D4"/>
    <w:lvl w:ilvl="0">
      <w:start w:val="1"/>
      <w:numFmt w:val="bullet"/>
      <w:lvlText w:val=""/>
      <w:lvlJc w:val="left"/>
      <w:pPr>
        <w:tabs>
          <w:tab w:val="num" w:pos="1428"/>
        </w:tabs>
        <w:ind w:left="1428" w:hanging="360"/>
      </w:pPr>
      <w:rPr>
        <w:rFonts w:ascii="Symbol" w:hAnsi="Symbol" w:cs="Open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Open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Open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3" w15:restartNumberingAfterBreak="0">
    <w:nsid w:val="4632235A"/>
    <w:multiLevelType w:val="multilevel"/>
    <w:tmpl w:val="C09CDB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2E06BEC"/>
    <w:multiLevelType w:val="multilevel"/>
    <w:tmpl w:val="14C2A0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142"/>
    <w:rsid w:val="00015D28"/>
    <w:rsid w:val="000545C1"/>
    <w:rsid w:val="00151C34"/>
    <w:rsid w:val="001F7A9A"/>
    <w:rsid w:val="00233F14"/>
    <w:rsid w:val="002352C6"/>
    <w:rsid w:val="0024716F"/>
    <w:rsid w:val="00252689"/>
    <w:rsid w:val="0025447B"/>
    <w:rsid w:val="00281F4C"/>
    <w:rsid w:val="002A65E6"/>
    <w:rsid w:val="00301C89"/>
    <w:rsid w:val="003643CE"/>
    <w:rsid w:val="003E2DD0"/>
    <w:rsid w:val="004247AB"/>
    <w:rsid w:val="0043165E"/>
    <w:rsid w:val="00475E14"/>
    <w:rsid w:val="00483E15"/>
    <w:rsid w:val="004C1800"/>
    <w:rsid w:val="0051060F"/>
    <w:rsid w:val="00541439"/>
    <w:rsid w:val="00545A5D"/>
    <w:rsid w:val="00571F5B"/>
    <w:rsid w:val="005A6AD6"/>
    <w:rsid w:val="005B4FB2"/>
    <w:rsid w:val="0060417A"/>
    <w:rsid w:val="00604234"/>
    <w:rsid w:val="0061455C"/>
    <w:rsid w:val="00651704"/>
    <w:rsid w:val="00657A81"/>
    <w:rsid w:val="006C4B8F"/>
    <w:rsid w:val="0075253E"/>
    <w:rsid w:val="00766C40"/>
    <w:rsid w:val="007B1142"/>
    <w:rsid w:val="007B6609"/>
    <w:rsid w:val="007D39A2"/>
    <w:rsid w:val="00835522"/>
    <w:rsid w:val="00845DEA"/>
    <w:rsid w:val="008650B1"/>
    <w:rsid w:val="008770C0"/>
    <w:rsid w:val="008C4994"/>
    <w:rsid w:val="009258C5"/>
    <w:rsid w:val="00940DD3"/>
    <w:rsid w:val="00963FAE"/>
    <w:rsid w:val="009B56B5"/>
    <w:rsid w:val="009E3896"/>
    <w:rsid w:val="009E6F52"/>
    <w:rsid w:val="00AA2703"/>
    <w:rsid w:val="00AC071B"/>
    <w:rsid w:val="00B03DFE"/>
    <w:rsid w:val="00B3511E"/>
    <w:rsid w:val="00B73F57"/>
    <w:rsid w:val="00B82553"/>
    <w:rsid w:val="00B85908"/>
    <w:rsid w:val="00B87B37"/>
    <w:rsid w:val="00C01C65"/>
    <w:rsid w:val="00C0447E"/>
    <w:rsid w:val="00C9224C"/>
    <w:rsid w:val="00CA119D"/>
    <w:rsid w:val="00D30FDB"/>
    <w:rsid w:val="00D7508E"/>
    <w:rsid w:val="00D87518"/>
    <w:rsid w:val="00DA53BE"/>
    <w:rsid w:val="00DD5FDE"/>
    <w:rsid w:val="00DF504E"/>
    <w:rsid w:val="00E15AC1"/>
    <w:rsid w:val="00E70255"/>
    <w:rsid w:val="00E8458C"/>
    <w:rsid w:val="00ED5678"/>
    <w:rsid w:val="00F60674"/>
    <w:rsid w:val="00FA4E17"/>
    <w:rsid w:val="00FB5BE2"/>
    <w:rsid w:val="00FC66AE"/>
    <w:rsid w:val="00FD4CD0"/>
    <w:rsid w:val="00FF2854"/>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DA63"/>
  <w15:docId w15:val="{70D15424-442E-46D4-BA44-8442ECD1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uiPriority w:val="9"/>
    <w:qFormat/>
    <w:rsid w:val="0023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10D64"/>
  </w:style>
  <w:style w:type="character" w:customStyle="1" w:styleId="FooterChar">
    <w:name w:val="Footer Char"/>
    <w:basedOn w:val="DefaultParagraphFont"/>
    <w:link w:val="Footer"/>
    <w:uiPriority w:val="99"/>
    <w:qFormat/>
    <w:rsid w:val="00610D64"/>
  </w:style>
  <w:style w:type="character" w:customStyle="1" w:styleId="BalloonTextChar">
    <w:name w:val="Balloon Text Char"/>
    <w:basedOn w:val="DefaultParagraphFont"/>
    <w:link w:val="BalloonText"/>
    <w:uiPriority w:val="99"/>
    <w:semiHidden/>
    <w:qFormat/>
    <w:rsid w:val="00610D64"/>
    <w:rPr>
      <w:rFonts w:ascii="Tahoma" w:hAnsi="Tahoma" w:cs="Tahoma"/>
      <w:sz w:val="16"/>
      <w:szCs w:val="16"/>
    </w:rPr>
  </w:style>
  <w:style w:type="character" w:customStyle="1" w:styleId="Heading1Char">
    <w:name w:val="Heading 1 Char"/>
    <w:basedOn w:val="DefaultParagraphFont"/>
    <w:link w:val="Heading1"/>
    <w:uiPriority w:val="9"/>
    <w:qFormat/>
    <w:rsid w:val="002326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2326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232669"/>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uiPriority w:val="99"/>
    <w:qFormat/>
    <w:rsid w:val="00232669"/>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ietas">
    <w:name w:val="Viñetas"/>
    <w:qFormat/>
    <w:rPr>
      <w:rFonts w:ascii="OpenSymbol" w:eastAsia="OpenSymbol" w:hAnsi="OpenSymbol" w:cs="OpenSymbol"/>
    </w:rPr>
  </w:style>
  <w:style w:type="character" w:customStyle="1" w:styleId="ListLabel4">
    <w:name w:val="ListLabel 4"/>
    <w:qFormat/>
    <w:rPr>
      <w:rFonts w:ascii="Arial" w:hAnsi="Arial"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paragraph" w:customStyle="1" w:styleId="Ttulo">
    <w:name w:val="Título"/>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unhideWhenUsed/>
    <w:rsid w:val="00232669"/>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ListParagraph">
    <w:name w:val="List Paragraph"/>
    <w:basedOn w:val="Normal"/>
    <w:uiPriority w:val="34"/>
    <w:qFormat/>
    <w:rsid w:val="007B2189"/>
    <w:pPr>
      <w:ind w:left="720"/>
      <w:contextualSpacing/>
    </w:pPr>
  </w:style>
  <w:style w:type="paragraph" w:styleId="Header">
    <w:name w:val="header"/>
    <w:basedOn w:val="Normal"/>
    <w:link w:val="HeaderChar"/>
    <w:uiPriority w:val="99"/>
    <w:unhideWhenUsed/>
    <w:rsid w:val="00610D64"/>
    <w:pPr>
      <w:tabs>
        <w:tab w:val="center" w:pos="4419"/>
        <w:tab w:val="right" w:pos="8838"/>
      </w:tabs>
      <w:spacing w:after="0" w:line="240" w:lineRule="auto"/>
    </w:pPr>
  </w:style>
  <w:style w:type="paragraph" w:styleId="Footer">
    <w:name w:val="footer"/>
    <w:basedOn w:val="Normal"/>
    <w:link w:val="FooterChar"/>
    <w:uiPriority w:val="99"/>
    <w:unhideWhenUsed/>
    <w:rsid w:val="00610D64"/>
    <w:pPr>
      <w:tabs>
        <w:tab w:val="center" w:pos="4419"/>
        <w:tab w:val="right" w:pos="8838"/>
      </w:tabs>
      <w:spacing w:after="0" w:line="240" w:lineRule="auto"/>
    </w:pPr>
  </w:style>
  <w:style w:type="paragraph" w:styleId="BalloonText">
    <w:name w:val="Balloon Text"/>
    <w:basedOn w:val="Normal"/>
    <w:link w:val="BalloonTextChar"/>
    <w:uiPriority w:val="99"/>
    <w:semiHidden/>
    <w:unhideWhenUsed/>
    <w:qFormat/>
    <w:rsid w:val="00610D64"/>
    <w:pPr>
      <w:spacing w:after="0" w:line="240" w:lineRule="auto"/>
    </w:pPr>
    <w:rPr>
      <w:rFonts w:ascii="Tahoma" w:hAnsi="Tahoma" w:cs="Tahoma"/>
      <w:sz w:val="16"/>
      <w:szCs w:val="16"/>
    </w:rPr>
  </w:style>
  <w:style w:type="paragraph" w:customStyle="1" w:styleId="Instruccionesenvocorreo">
    <w:name w:val="Instrucciones envío correo"/>
    <w:basedOn w:val="Normal"/>
    <w:qFormat/>
    <w:rsid w:val="00232669"/>
  </w:style>
  <w:style w:type="table" w:styleId="TableGrid">
    <w:name w:val="Table Grid"/>
    <w:basedOn w:val="TableNormal"/>
    <w:uiPriority w:val="59"/>
    <w:rsid w:val="002D6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1444</TotalTime>
  <Pages>8</Pages>
  <Words>1959</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Cesar Alberto Leon Galarraga</cp:lastModifiedBy>
  <cp:revision>50</cp:revision>
  <dcterms:created xsi:type="dcterms:W3CDTF">2020-03-02T16:59:00Z</dcterms:created>
  <dcterms:modified xsi:type="dcterms:W3CDTF">2021-11-12T17:49:00Z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