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D1ECE" w14:textId="782B6235" w:rsidR="007B1142" w:rsidRDefault="00DD5FDE" w:rsidP="00E15AC1">
      <w:pPr>
        <w:pStyle w:val="Heading2"/>
        <w:spacing w:before="0"/>
        <w:rPr>
          <w:rFonts w:ascii="Arial" w:hAnsi="Arial" w:cs="Arial"/>
          <w:sz w:val="22"/>
          <w:szCs w:val="22"/>
        </w:rPr>
      </w:pPr>
      <w:r>
        <w:rPr>
          <w:rFonts w:ascii="Arial" w:hAnsi="Arial" w:cs="Arial"/>
          <w:sz w:val="22"/>
          <w:szCs w:val="22"/>
        </w:rPr>
        <w:t>I - NATURALEZA DE LA ENTIDAD</w:t>
      </w:r>
    </w:p>
    <w:p w14:paraId="12AE9031" w14:textId="77777777" w:rsidR="008C4994" w:rsidRPr="008C4994" w:rsidRDefault="008C4994" w:rsidP="008C4994">
      <w:pPr>
        <w:pStyle w:val="BodyText"/>
        <w:spacing w:after="0"/>
        <w:ind w:left="720"/>
        <w:jc w:val="both"/>
      </w:pPr>
    </w:p>
    <w:p w14:paraId="7AD39B26" w14:textId="08D94812" w:rsidR="007B1142" w:rsidRDefault="00DD5FDE" w:rsidP="00E15AC1">
      <w:pPr>
        <w:pStyle w:val="BodyText"/>
        <w:numPr>
          <w:ilvl w:val="0"/>
          <w:numId w:val="1"/>
        </w:numPr>
        <w:spacing w:after="0"/>
        <w:jc w:val="both"/>
      </w:pPr>
      <w:r>
        <w:rPr>
          <w:rFonts w:ascii="Arial" w:hAnsi="Arial" w:cs="Arial"/>
          <w:u w:val="single"/>
        </w:rPr>
        <w:t>Operaciones</w:t>
      </w:r>
      <w:r>
        <w:rPr>
          <w:rFonts w:ascii="Arial" w:hAnsi="Arial" w:cs="Arial"/>
        </w:rPr>
        <w:t xml:space="preserve"> - Linkotel S.A. es una empresa privada que se dedica</w:t>
      </w:r>
      <w:r w:rsidR="000545C1">
        <w:rPr>
          <w:rFonts w:ascii="Arial" w:hAnsi="Arial" w:cs="Arial"/>
        </w:rPr>
        <w:t xml:space="preserve"> a la prestación de</w:t>
      </w:r>
      <w:r>
        <w:rPr>
          <w:rFonts w:ascii="Arial" w:hAnsi="Arial" w:cs="Arial"/>
        </w:rPr>
        <w:t xml:space="preserve"> servicios de telecomunicacione</w:t>
      </w:r>
      <w:r w:rsidR="000545C1">
        <w:rPr>
          <w:rFonts w:ascii="Arial" w:hAnsi="Arial" w:cs="Arial"/>
        </w:rPr>
        <w:t>s, principalmente</w:t>
      </w:r>
      <w:r>
        <w:rPr>
          <w:rFonts w:ascii="Arial" w:hAnsi="Arial" w:cs="Arial"/>
        </w:rPr>
        <w:t xml:space="preserve"> </w:t>
      </w:r>
      <w:r w:rsidR="0025447B">
        <w:rPr>
          <w:rFonts w:ascii="Arial" w:hAnsi="Arial" w:cs="Arial"/>
        </w:rPr>
        <w:t>telefonía fija</w:t>
      </w:r>
      <w:r w:rsidR="000545C1">
        <w:rPr>
          <w:rFonts w:ascii="Arial" w:hAnsi="Arial" w:cs="Arial"/>
        </w:rPr>
        <w:t xml:space="preserve">, así como interconexión con otras empresas operadoras de telecomunicaciones </w:t>
      </w:r>
      <w:r w:rsidR="0025447B">
        <w:rPr>
          <w:rFonts w:ascii="Arial" w:hAnsi="Arial" w:cs="Arial"/>
        </w:rPr>
        <w:t xml:space="preserve">(fijas y móviles) </w:t>
      </w:r>
      <w:r w:rsidR="000545C1">
        <w:rPr>
          <w:rFonts w:ascii="Arial" w:hAnsi="Arial" w:cs="Arial"/>
        </w:rPr>
        <w:t>nacionales y del exterior</w:t>
      </w:r>
      <w:r w:rsidR="0025447B">
        <w:rPr>
          <w:rFonts w:ascii="Arial" w:hAnsi="Arial" w:cs="Arial"/>
        </w:rPr>
        <w:t>; s</w:t>
      </w:r>
      <w:r w:rsidR="000545C1">
        <w:rPr>
          <w:rFonts w:ascii="Arial" w:hAnsi="Arial" w:cs="Arial"/>
        </w:rPr>
        <w:t>u actividad también incluye el mantenimiento de redes locales de telecomunicaciones</w:t>
      </w:r>
      <w:r w:rsidR="0025447B">
        <w:rPr>
          <w:rFonts w:ascii="Arial" w:hAnsi="Arial" w:cs="Arial"/>
        </w:rPr>
        <w:t>, públicas y privadas.</w:t>
      </w:r>
    </w:p>
    <w:p w14:paraId="62DFCDAA" w14:textId="77777777" w:rsidR="007B6609" w:rsidRDefault="007B6609" w:rsidP="00F60674">
      <w:pPr>
        <w:pStyle w:val="BodyText"/>
        <w:spacing w:after="0"/>
        <w:ind w:left="720"/>
        <w:jc w:val="both"/>
        <w:rPr>
          <w:rFonts w:ascii="Arial" w:hAnsi="Arial" w:cs="Arial"/>
        </w:rPr>
      </w:pPr>
    </w:p>
    <w:p w14:paraId="07476AEC" w14:textId="005B4BCA" w:rsidR="007B1142" w:rsidRDefault="00DD5FDE" w:rsidP="00F60674">
      <w:pPr>
        <w:pStyle w:val="BodyText"/>
        <w:spacing w:after="0"/>
        <w:ind w:left="720"/>
        <w:jc w:val="both"/>
        <w:rPr>
          <w:rFonts w:ascii="Arial" w:hAnsi="Arial" w:cs="Arial"/>
        </w:rPr>
      </w:pPr>
      <w:r>
        <w:rPr>
          <w:rFonts w:ascii="Arial" w:hAnsi="Arial" w:cs="Arial"/>
        </w:rPr>
        <w:t xml:space="preserve">Linkotel comenzó sus operaciones </w:t>
      </w:r>
      <w:r w:rsidR="000545C1">
        <w:rPr>
          <w:rFonts w:ascii="Arial" w:hAnsi="Arial" w:cs="Arial"/>
        </w:rPr>
        <w:t>en</w:t>
      </w:r>
      <w:r>
        <w:rPr>
          <w:rFonts w:ascii="Arial" w:hAnsi="Arial" w:cs="Arial"/>
        </w:rPr>
        <w:t xml:space="preserve"> noviembre del 2001 abasteciendo del servicio de telefonía fija a las urbanizaciones que se encuentran vía a la costa</w:t>
      </w:r>
      <w:r w:rsidR="000545C1">
        <w:rPr>
          <w:rFonts w:ascii="Arial" w:hAnsi="Arial" w:cs="Arial"/>
        </w:rPr>
        <w:t xml:space="preserve"> (Guayaquil)</w:t>
      </w:r>
      <w:r>
        <w:rPr>
          <w:rFonts w:ascii="Arial" w:hAnsi="Arial" w:cs="Arial"/>
        </w:rPr>
        <w:t>, La intención de los directivos de la empresa es ampliar su mercado y entrar en competencia directamente en las zonas cubiertas por</w:t>
      </w:r>
      <w:r w:rsidR="00845DEA">
        <w:rPr>
          <w:rFonts w:ascii="Arial" w:hAnsi="Arial" w:cs="Arial"/>
        </w:rPr>
        <w:t xml:space="preserve"> CNT</w:t>
      </w:r>
      <w:r w:rsidR="000545C1">
        <w:rPr>
          <w:rFonts w:ascii="Arial" w:hAnsi="Arial" w:cs="Arial"/>
        </w:rPr>
        <w:t xml:space="preserve">, compañía del estado ecuatoriano que </w:t>
      </w:r>
      <w:r w:rsidR="0025447B">
        <w:rPr>
          <w:rFonts w:ascii="Arial" w:hAnsi="Arial" w:cs="Arial"/>
        </w:rPr>
        <w:t>cubre aproximadamente el 83% del mercado de telefonía fija.</w:t>
      </w:r>
    </w:p>
    <w:p w14:paraId="5454036E" w14:textId="3614872D" w:rsidR="00E70255" w:rsidRDefault="00E70255" w:rsidP="00F60674">
      <w:pPr>
        <w:pStyle w:val="BodyText"/>
        <w:spacing w:after="0"/>
        <w:ind w:left="720"/>
        <w:jc w:val="both"/>
        <w:rPr>
          <w:rFonts w:ascii="Arial" w:hAnsi="Arial" w:cs="Arial"/>
        </w:rPr>
      </w:pPr>
    </w:p>
    <w:p w14:paraId="4C92989F" w14:textId="6D84E54C" w:rsidR="00E70255" w:rsidRDefault="00E70255" w:rsidP="00F60674">
      <w:pPr>
        <w:pStyle w:val="BodyText"/>
        <w:spacing w:after="0"/>
        <w:ind w:left="720"/>
        <w:jc w:val="both"/>
        <w:rPr>
          <w:rFonts w:ascii="Arial" w:hAnsi="Arial" w:cs="Arial"/>
        </w:rPr>
      </w:pPr>
      <w:r>
        <w:rPr>
          <w:rFonts w:ascii="Arial" w:hAnsi="Arial" w:cs="Arial"/>
        </w:rPr>
        <w:t xml:space="preserve">La compañía tiene una nómina de 10 empleados: Vendedor, Contador y un Asistente Contable, Programador, </w:t>
      </w:r>
      <w:proofErr w:type="gramStart"/>
      <w:r>
        <w:rPr>
          <w:rFonts w:ascii="Arial" w:hAnsi="Arial" w:cs="Arial"/>
        </w:rPr>
        <w:t>Jefe</w:t>
      </w:r>
      <w:proofErr w:type="gramEnd"/>
      <w:r>
        <w:rPr>
          <w:rFonts w:ascii="Arial" w:hAnsi="Arial" w:cs="Arial"/>
        </w:rPr>
        <w:t xml:space="preserve"> del departamento jurídico, Jefe de Servicio al Cliente, Mensajero y dos Secretarias Recepcionistas</w:t>
      </w:r>
      <w:r w:rsidR="00D87518">
        <w:rPr>
          <w:rFonts w:ascii="Arial" w:hAnsi="Arial" w:cs="Arial"/>
        </w:rPr>
        <w:t xml:space="preserve">; el Representante Legal </w:t>
      </w:r>
      <w:r w:rsidR="00D30FDB">
        <w:rPr>
          <w:rFonts w:ascii="Arial" w:hAnsi="Arial" w:cs="Arial"/>
        </w:rPr>
        <w:t>y el personal técnico: Francisco Estupiñán y Byron Baque facturan mensualmente honorarios profesionales</w:t>
      </w:r>
      <w:r w:rsidR="00541439">
        <w:rPr>
          <w:rFonts w:ascii="Arial" w:hAnsi="Arial" w:cs="Arial"/>
        </w:rPr>
        <w:t>, estos últimos, a partir del año 2020</w:t>
      </w:r>
      <w:r w:rsidR="00D30FDB">
        <w:rPr>
          <w:rFonts w:ascii="Arial" w:hAnsi="Arial" w:cs="Arial"/>
        </w:rPr>
        <w:t xml:space="preserve">. Los estatutos de la empresa indican que </w:t>
      </w:r>
      <w:r w:rsidR="00D30FDB" w:rsidRPr="00D30FDB">
        <w:rPr>
          <w:rFonts w:ascii="Arial" w:hAnsi="Arial" w:cs="Arial"/>
          <w:highlight w:val="yellow"/>
        </w:rPr>
        <w:t>l</w:t>
      </w:r>
      <w:r w:rsidR="00D30FDB">
        <w:rPr>
          <w:rFonts w:ascii="Arial" w:hAnsi="Arial" w:cs="Arial"/>
          <w:highlight w:val="yellow"/>
        </w:rPr>
        <w:t>as remuneracione</w:t>
      </w:r>
      <w:r w:rsidR="00D30FDB" w:rsidRPr="00D30FDB">
        <w:rPr>
          <w:rFonts w:ascii="Arial" w:hAnsi="Arial" w:cs="Arial"/>
          <w:highlight w:val="yellow"/>
        </w:rPr>
        <w:t>s de los representantes legales serán fijados por la Junta General de Accionistas</w:t>
      </w:r>
      <w:r w:rsidR="00D30FDB">
        <w:rPr>
          <w:rFonts w:ascii="Arial" w:hAnsi="Arial" w:cs="Arial"/>
        </w:rPr>
        <w:t>.</w:t>
      </w:r>
    </w:p>
    <w:p w14:paraId="0C56B020" w14:textId="5346AB62" w:rsidR="00F60674" w:rsidRDefault="00F60674" w:rsidP="00F60674">
      <w:pPr>
        <w:pStyle w:val="BodyText"/>
        <w:spacing w:after="0"/>
        <w:ind w:left="720"/>
        <w:jc w:val="both"/>
      </w:pPr>
    </w:p>
    <w:p w14:paraId="5929B268" w14:textId="07D4F94B" w:rsidR="00D87518" w:rsidRPr="00D87518" w:rsidRDefault="00D87518" w:rsidP="00F60674">
      <w:pPr>
        <w:pStyle w:val="BodyText"/>
        <w:spacing w:after="0"/>
        <w:ind w:left="720"/>
        <w:jc w:val="both"/>
        <w:rPr>
          <w:rFonts w:ascii="Arial" w:hAnsi="Arial" w:cs="Arial"/>
        </w:rPr>
      </w:pPr>
      <w:r w:rsidRPr="00D87518">
        <w:rPr>
          <w:rFonts w:ascii="Arial" w:hAnsi="Arial" w:cs="Arial"/>
        </w:rPr>
        <w:t xml:space="preserve">Linkotel </w:t>
      </w:r>
      <w:r>
        <w:rPr>
          <w:rFonts w:ascii="Arial" w:hAnsi="Arial" w:cs="Arial"/>
        </w:rPr>
        <w:t xml:space="preserve">funciona en el mismo edificio de su accionista Telconet, compartiendo </w:t>
      </w:r>
      <w:r w:rsidR="00C9224C">
        <w:rPr>
          <w:rFonts w:ascii="Arial" w:hAnsi="Arial" w:cs="Arial"/>
        </w:rPr>
        <w:t xml:space="preserve">instalaciones, aunque </w:t>
      </w:r>
      <w:r w:rsidR="00C9224C" w:rsidRPr="00C9224C">
        <w:rPr>
          <w:rFonts w:ascii="Arial" w:hAnsi="Arial" w:cs="Arial"/>
          <w:highlight w:val="yellow"/>
        </w:rPr>
        <w:t>no se ha firmado contrato formal de arrendamiento</w:t>
      </w:r>
      <w:r w:rsidR="00C9224C">
        <w:rPr>
          <w:rFonts w:ascii="Arial" w:hAnsi="Arial" w:cs="Arial"/>
        </w:rPr>
        <w:t xml:space="preserve"> y uso de instalaciones.</w:t>
      </w:r>
    </w:p>
    <w:p w14:paraId="44C93E0E" w14:textId="77777777" w:rsidR="00D87518" w:rsidRPr="00D87518" w:rsidRDefault="00D87518" w:rsidP="00F60674">
      <w:pPr>
        <w:pStyle w:val="BodyText"/>
        <w:spacing w:after="0"/>
        <w:ind w:left="720"/>
        <w:jc w:val="both"/>
        <w:rPr>
          <w:rFonts w:ascii="Arial" w:hAnsi="Arial" w:cs="Arial"/>
        </w:rPr>
      </w:pPr>
    </w:p>
    <w:p w14:paraId="7AE8EEC3" w14:textId="145BCB5D" w:rsidR="007B1142" w:rsidRPr="00D30FDB" w:rsidRDefault="00DD5FDE" w:rsidP="00FF2854">
      <w:pPr>
        <w:pStyle w:val="BodyText"/>
        <w:numPr>
          <w:ilvl w:val="0"/>
          <w:numId w:val="1"/>
        </w:numPr>
        <w:shd w:val="clear" w:color="auto" w:fill="FFFFFF" w:themeFill="background1"/>
        <w:spacing w:after="0"/>
        <w:jc w:val="both"/>
        <w:rPr>
          <w:highlight w:val="yellow"/>
        </w:rPr>
      </w:pPr>
      <w:r>
        <w:rPr>
          <w:rFonts w:ascii="Arial" w:hAnsi="Arial" w:cs="Arial"/>
          <w:u w:val="single"/>
        </w:rPr>
        <w:t>Propiedad y Gobierno</w:t>
      </w:r>
      <w:r>
        <w:rPr>
          <w:rFonts w:ascii="Arial" w:hAnsi="Arial" w:cs="Arial"/>
        </w:rPr>
        <w:t xml:space="preserve"> – La compañía es de propiedad privada teniendo como sus principales Accionistas: T</w:t>
      </w:r>
      <w:r w:rsidR="0025447B">
        <w:rPr>
          <w:rFonts w:ascii="Arial" w:hAnsi="Arial" w:cs="Arial"/>
        </w:rPr>
        <w:t>elconet</w:t>
      </w:r>
      <w:r>
        <w:rPr>
          <w:rFonts w:ascii="Arial" w:hAnsi="Arial" w:cs="Arial"/>
        </w:rPr>
        <w:t xml:space="preserve"> S.A (99%) y </w:t>
      </w:r>
      <w:r w:rsidR="007D39A2">
        <w:rPr>
          <w:rFonts w:ascii="Arial" w:hAnsi="Arial" w:cs="Arial"/>
        </w:rPr>
        <w:t xml:space="preserve">Jan </w:t>
      </w:r>
      <w:r>
        <w:rPr>
          <w:rFonts w:ascii="Arial" w:hAnsi="Arial" w:cs="Arial"/>
        </w:rPr>
        <w:t xml:space="preserve">Topic Feraud (1%). El administrador de la empresa es el Ing. </w:t>
      </w:r>
      <w:r w:rsidR="007D39A2">
        <w:rPr>
          <w:rFonts w:ascii="Arial" w:hAnsi="Arial" w:cs="Arial"/>
        </w:rPr>
        <w:t xml:space="preserve">Pablo </w:t>
      </w:r>
      <w:r>
        <w:rPr>
          <w:rFonts w:ascii="Arial" w:hAnsi="Arial" w:cs="Arial"/>
        </w:rPr>
        <w:t>Baquerizo Dávila como presidente de la compañía</w:t>
      </w:r>
      <w:r w:rsidR="00D30FDB">
        <w:rPr>
          <w:rFonts w:ascii="Arial" w:hAnsi="Arial" w:cs="Arial"/>
        </w:rPr>
        <w:t xml:space="preserve"> y, aunque los estatutos prevén un </w:t>
      </w:r>
      <w:r w:rsidR="00D30FDB" w:rsidRPr="00D30FDB">
        <w:rPr>
          <w:rFonts w:ascii="Arial" w:hAnsi="Arial" w:cs="Arial"/>
          <w:highlight w:val="yellow"/>
        </w:rPr>
        <w:t>Gerente General, el mismo no ha sido nombrado.</w:t>
      </w:r>
    </w:p>
    <w:p w14:paraId="551CA740" w14:textId="77777777" w:rsidR="007B1142" w:rsidRDefault="007B1142">
      <w:pPr>
        <w:pStyle w:val="BodyText"/>
        <w:spacing w:after="0"/>
        <w:ind w:left="720"/>
        <w:jc w:val="both"/>
        <w:rPr>
          <w:rFonts w:ascii="Arial" w:hAnsi="Arial" w:cs="Arial"/>
        </w:rPr>
      </w:pPr>
    </w:p>
    <w:p w14:paraId="419C8FD6" w14:textId="2CB5CB71" w:rsidR="002A65E6" w:rsidRPr="00766C40" w:rsidRDefault="00DD5FDE" w:rsidP="002A65E6">
      <w:pPr>
        <w:pStyle w:val="BodyText"/>
        <w:numPr>
          <w:ilvl w:val="0"/>
          <w:numId w:val="1"/>
        </w:numPr>
        <w:spacing w:after="0"/>
        <w:jc w:val="both"/>
      </w:pPr>
      <w:r w:rsidRPr="00766C40">
        <w:rPr>
          <w:rFonts w:ascii="Arial" w:hAnsi="Arial" w:cs="Arial"/>
          <w:u w:val="single"/>
        </w:rPr>
        <w:t>Estructura y Financiamiento</w:t>
      </w:r>
      <w:r w:rsidR="00766C40" w:rsidRPr="00766C40">
        <w:rPr>
          <w:rFonts w:ascii="Arial" w:hAnsi="Arial" w:cs="Arial"/>
        </w:rPr>
        <w:t xml:space="preserve">: </w:t>
      </w:r>
    </w:p>
    <w:p w14:paraId="554A6AD1" w14:textId="77777777" w:rsidR="00766C40" w:rsidRDefault="00766C40" w:rsidP="00766C40">
      <w:pPr>
        <w:pStyle w:val="BodyText"/>
        <w:spacing w:after="0"/>
        <w:ind w:left="720"/>
        <w:jc w:val="both"/>
      </w:pPr>
    </w:p>
    <w:tbl>
      <w:tblPr>
        <w:tblStyle w:val="TableGrid"/>
        <w:tblW w:w="0" w:type="auto"/>
        <w:tblInd w:w="708" w:type="dxa"/>
        <w:tblLook w:val="04A0" w:firstRow="1" w:lastRow="0" w:firstColumn="1" w:lastColumn="0" w:noHBand="0" w:noVBand="1"/>
      </w:tblPr>
      <w:tblGrid>
        <w:gridCol w:w="4674"/>
        <w:gridCol w:w="1134"/>
        <w:gridCol w:w="1134"/>
        <w:gridCol w:w="1178"/>
      </w:tblGrid>
      <w:tr w:rsidR="002A65E6" w14:paraId="3BA27C3A" w14:textId="77777777" w:rsidTr="002A65E6">
        <w:tc>
          <w:tcPr>
            <w:tcW w:w="4674" w:type="dxa"/>
          </w:tcPr>
          <w:p w14:paraId="728A464F" w14:textId="3C19C3D0" w:rsidR="002A65E6" w:rsidRDefault="002A65E6" w:rsidP="002A65E6">
            <w:pPr>
              <w:pStyle w:val="BodyText"/>
              <w:spacing w:after="0"/>
              <w:jc w:val="center"/>
            </w:pPr>
            <w:r>
              <w:t>Indicador</w:t>
            </w:r>
          </w:p>
        </w:tc>
        <w:tc>
          <w:tcPr>
            <w:tcW w:w="1134" w:type="dxa"/>
          </w:tcPr>
          <w:p w14:paraId="3DB83DA2" w14:textId="64D88B8C" w:rsidR="002A65E6" w:rsidRDefault="002A65E6" w:rsidP="002A65E6">
            <w:pPr>
              <w:pStyle w:val="BodyText"/>
              <w:spacing w:after="0"/>
              <w:jc w:val="center"/>
            </w:pPr>
            <w:r>
              <w:t>Oct-20</w:t>
            </w:r>
          </w:p>
        </w:tc>
        <w:tc>
          <w:tcPr>
            <w:tcW w:w="1134" w:type="dxa"/>
          </w:tcPr>
          <w:p w14:paraId="60215048" w14:textId="657B9BCA" w:rsidR="002A65E6" w:rsidRDefault="002A65E6" w:rsidP="002A65E6">
            <w:pPr>
              <w:pStyle w:val="BodyText"/>
              <w:spacing w:after="0"/>
              <w:jc w:val="center"/>
            </w:pPr>
            <w:r>
              <w:t>Dic-19</w:t>
            </w:r>
          </w:p>
        </w:tc>
        <w:tc>
          <w:tcPr>
            <w:tcW w:w="1178" w:type="dxa"/>
          </w:tcPr>
          <w:p w14:paraId="7911D197" w14:textId="63AD4675" w:rsidR="002A65E6" w:rsidRDefault="002A65E6" w:rsidP="002A65E6">
            <w:pPr>
              <w:pStyle w:val="BodyText"/>
              <w:spacing w:after="0"/>
              <w:jc w:val="center"/>
            </w:pPr>
            <w:r>
              <w:t>Dic-18</w:t>
            </w:r>
          </w:p>
        </w:tc>
      </w:tr>
      <w:tr w:rsidR="002A65E6" w14:paraId="07F00067" w14:textId="77777777" w:rsidTr="002A65E6">
        <w:tc>
          <w:tcPr>
            <w:tcW w:w="4674" w:type="dxa"/>
          </w:tcPr>
          <w:p w14:paraId="638485F9" w14:textId="1221B55C" w:rsidR="002A65E6" w:rsidRDefault="00541439" w:rsidP="002A65E6">
            <w:pPr>
              <w:pStyle w:val="BodyText"/>
              <w:spacing w:after="0"/>
              <w:jc w:val="both"/>
            </w:pPr>
            <w:r>
              <w:t>Activos corrientes/pasivos corrientes</w:t>
            </w:r>
          </w:p>
        </w:tc>
        <w:tc>
          <w:tcPr>
            <w:tcW w:w="1134" w:type="dxa"/>
          </w:tcPr>
          <w:p w14:paraId="6E14978B" w14:textId="019390AC" w:rsidR="002A65E6" w:rsidRDefault="00766C40" w:rsidP="00766C40">
            <w:pPr>
              <w:pStyle w:val="BodyText"/>
              <w:spacing w:after="0"/>
              <w:jc w:val="right"/>
            </w:pPr>
            <w:r>
              <w:t>4,26</w:t>
            </w:r>
          </w:p>
        </w:tc>
        <w:tc>
          <w:tcPr>
            <w:tcW w:w="1134" w:type="dxa"/>
          </w:tcPr>
          <w:p w14:paraId="27069387" w14:textId="128B1BF3" w:rsidR="002A65E6" w:rsidRDefault="00766C40" w:rsidP="00766C40">
            <w:pPr>
              <w:pStyle w:val="BodyText"/>
              <w:spacing w:after="0"/>
              <w:jc w:val="right"/>
            </w:pPr>
            <w:r>
              <w:t>1,83</w:t>
            </w:r>
          </w:p>
        </w:tc>
        <w:tc>
          <w:tcPr>
            <w:tcW w:w="1178" w:type="dxa"/>
          </w:tcPr>
          <w:p w14:paraId="42566867" w14:textId="48368B13" w:rsidR="002A65E6" w:rsidRDefault="00766C40" w:rsidP="00766C40">
            <w:pPr>
              <w:pStyle w:val="BodyText"/>
              <w:spacing w:after="0"/>
              <w:jc w:val="right"/>
            </w:pPr>
            <w:r>
              <w:t>0,51</w:t>
            </w:r>
          </w:p>
        </w:tc>
      </w:tr>
      <w:tr w:rsidR="002A65E6" w14:paraId="5E43994E" w14:textId="77777777" w:rsidTr="002A65E6">
        <w:tc>
          <w:tcPr>
            <w:tcW w:w="4674" w:type="dxa"/>
          </w:tcPr>
          <w:p w14:paraId="1D4C1FC0" w14:textId="37C0F85D" w:rsidR="002A65E6" w:rsidRDefault="00541439" w:rsidP="002A65E6">
            <w:pPr>
              <w:pStyle w:val="BodyText"/>
              <w:spacing w:after="0"/>
              <w:jc w:val="both"/>
            </w:pPr>
            <w:r>
              <w:t>Activos corrientes/pasivos corrientes (excluyendo cuenta por cobrar a Telconet)</w:t>
            </w:r>
          </w:p>
        </w:tc>
        <w:tc>
          <w:tcPr>
            <w:tcW w:w="1134" w:type="dxa"/>
          </w:tcPr>
          <w:p w14:paraId="1E654ADF" w14:textId="77777777" w:rsidR="00766C40" w:rsidRDefault="00766C40" w:rsidP="00766C40">
            <w:pPr>
              <w:pStyle w:val="BodyText"/>
              <w:spacing w:after="0"/>
              <w:jc w:val="right"/>
            </w:pPr>
          </w:p>
          <w:p w14:paraId="0C6AC24C" w14:textId="5CE37DFD" w:rsidR="002A65E6" w:rsidRDefault="00766C40" w:rsidP="00766C40">
            <w:pPr>
              <w:pStyle w:val="BodyText"/>
              <w:spacing w:after="0"/>
              <w:jc w:val="right"/>
            </w:pPr>
            <w:r>
              <w:t>0,93</w:t>
            </w:r>
          </w:p>
        </w:tc>
        <w:tc>
          <w:tcPr>
            <w:tcW w:w="1134" w:type="dxa"/>
          </w:tcPr>
          <w:p w14:paraId="5E662516" w14:textId="77777777" w:rsidR="00766C40" w:rsidRDefault="00766C40" w:rsidP="00766C40">
            <w:pPr>
              <w:pStyle w:val="BodyText"/>
              <w:spacing w:after="0"/>
              <w:jc w:val="right"/>
            </w:pPr>
          </w:p>
          <w:p w14:paraId="76ACA444" w14:textId="28F87325" w:rsidR="002A65E6" w:rsidRDefault="00766C40" w:rsidP="00766C40">
            <w:pPr>
              <w:pStyle w:val="BodyText"/>
              <w:spacing w:after="0"/>
              <w:jc w:val="right"/>
            </w:pPr>
            <w:r>
              <w:t>0,26</w:t>
            </w:r>
          </w:p>
        </w:tc>
        <w:tc>
          <w:tcPr>
            <w:tcW w:w="1178" w:type="dxa"/>
          </w:tcPr>
          <w:p w14:paraId="2167CC73" w14:textId="77777777" w:rsidR="00766C40" w:rsidRDefault="00766C40" w:rsidP="00766C40">
            <w:pPr>
              <w:pStyle w:val="BodyText"/>
              <w:spacing w:after="0"/>
              <w:jc w:val="right"/>
            </w:pPr>
          </w:p>
          <w:p w14:paraId="5826A98E" w14:textId="050EBCA6" w:rsidR="002A65E6" w:rsidRDefault="00766C40" w:rsidP="00766C40">
            <w:pPr>
              <w:pStyle w:val="BodyText"/>
              <w:spacing w:after="0"/>
              <w:jc w:val="right"/>
            </w:pPr>
            <w:r>
              <w:t>0,51</w:t>
            </w:r>
          </w:p>
        </w:tc>
      </w:tr>
      <w:tr w:rsidR="002A65E6" w14:paraId="08575057" w14:textId="77777777" w:rsidTr="002A65E6">
        <w:tc>
          <w:tcPr>
            <w:tcW w:w="4674" w:type="dxa"/>
          </w:tcPr>
          <w:p w14:paraId="625D34AD" w14:textId="1865F267" w:rsidR="002A65E6" w:rsidRDefault="00541439" w:rsidP="002A65E6">
            <w:pPr>
              <w:pStyle w:val="BodyText"/>
              <w:spacing w:after="0"/>
              <w:jc w:val="both"/>
            </w:pPr>
            <w:r>
              <w:t>Días promedio de cuentas por cobrar</w:t>
            </w:r>
          </w:p>
        </w:tc>
        <w:tc>
          <w:tcPr>
            <w:tcW w:w="1134" w:type="dxa"/>
          </w:tcPr>
          <w:p w14:paraId="2CBACDE8" w14:textId="08EC666A" w:rsidR="002A65E6" w:rsidRDefault="00483E15" w:rsidP="00766C40">
            <w:pPr>
              <w:pStyle w:val="BodyText"/>
              <w:spacing w:after="0"/>
              <w:jc w:val="right"/>
            </w:pPr>
            <w:r>
              <w:t>49</w:t>
            </w:r>
          </w:p>
        </w:tc>
        <w:tc>
          <w:tcPr>
            <w:tcW w:w="1134" w:type="dxa"/>
          </w:tcPr>
          <w:p w14:paraId="1579F6D4" w14:textId="7E0A7611" w:rsidR="002A65E6" w:rsidRDefault="00483E15" w:rsidP="00766C40">
            <w:pPr>
              <w:pStyle w:val="BodyText"/>
              <w:spacing w:after="0"/>
              <w:jc w:val="right"/>
            </w:pPr>
            <w:r>
              <w:t>35</w:t>
            </w:r>
          </w:p>
        </w:tc>
        <w:tc>
          <w:tcPr>
            <w:tcW w:w="1178" w:type="dxa"/>
          </w:tcPr>
          <w:p w14:paraId="02FEE9AD" w14:textId="7666DD8D" w:rsidR="002A65E6" w:rsidRDefault="00483E15" w:rsidP="00766C40">
            <w:pPr>
              <w:pStyle w:val="BodyText"/>
              <w:spacing w:after="0"/>
              <w:jc w:val="right"/>
            </w:pPr>
            <w:r>
              <w:t>97</w:t>
            </w:r>
          </w:p>
        </w:tc>
      </w:tr>
      <w:tr w:rsidR="00541439" w14:paraId="590F7F9A" w14:textId="77777777" w:rsidTr="002A65E6">
        <w:tc>
          <w:tcPr>
            <w:tcW w:w="4674" w:type="dxa"/>
          </w:tcPr>
          <w:p w14:paraId="406697FE" w14:textId="437559D2" w:rsidR="00541439" w:rsidRDefault="00541439" w:rsidP="002A65E6">
            <w:pPr>
              <w:pStyle w:val="BodyText"/>
              <w:spacing w:after="0"/>
              <w:jc w:val="both"/>
            </w:pPr>
            <w:r>
              <w:t>Días promedio de cuentas por pagar</w:t>
            </w:r>
          </w:p>
        </w:tc>
        <w:tc>
          <w:tcPr>
            <w:tcW w:w="1134" w:type="dxa"/>
          </w:tcPr>
          <w:p w14:paraId="3AE1C603" w14:textId="5831EE79" w:rsidR="00541439" w:rsidRDefault="00541439" w:rsidP="00766C40">
            <w:pPr>
              <w:pStyle w:val="BodyText"/>
              <w:spacing w:after="0"/>
              <w:jc w:val="right"/>
            </w:pPr>
          </w:p>
        </w:tc>
        <w:tc>
          <w:tcPr>
            <w:tcW w:w="1134" w:type="dxa"/>
          </w:tcPr>
          <w:p w14:paraId="027639A9" w14:textId="3E365E29" w:rsidR="00541439" w:rsidRDefault="00541439" w:rsidP="00766C40">
            <w:pPr>
              <w:pStyle w:val="BodyText"/>
              <w:spacing w:after="0"/>
              <w:jc w:val="right"/>
            </w:pPr>
          </w:p>
        </w:tc>
        <w:tc>
          <w:tcPr>
            <w:tcW w:w="1178" w:type="dxa"/>
          </w:tcPr>
          <w:p w14:paraId="0C8EB056" w14:textId="5E15F1C8" w:rsidR="00541439" w:rsidRDefault="00541439" w:rsidP="00766C40">
            <w:pPr>
              <w:pStyle w:val="BodyText"/>
              <w:spacing w:after="0"/>
              <w:jc w:val="right"/>
            </w:pPr>
          </w:p>
        </w:tc>
      </w:tr>
      <w:tr w:rsidR="002A65E6" w14:paraId="231A435C" w14:textId="77777777" w:rsidTr="002A65E6">
        <w:tc>
          <w:tcPr>
            <w:tcW w:w="4674" w:type="dxa"/>
          </w:tcPr>
          <w:p w14:paraId="18B1DFD1" w14:textId="2D73338C" w:rsidR="002A65E6" w:rsidRDefault="00541439" w:rsidP="002A65E6">
            <w:pPr>
              <w:pStyle w:val="BodyText"/>
              <w:spacing w:after="0"/>
              <w:jc w:val="both"/>
            </w:pPr>
            <w:r>
              <w:t xml:space="preserve">Apalancamiento: </w:t>
            </w:r>
            <w:r w:rsidR="00483E15">
              <w:t>Pas</w:t>
            </w:r>
            <w:r>
              <w:t>ivos totales/</w:t>
            </w:r>
            <w:r w:rsidR="00483E15">
              <w:t>Act</w:t>
            </w:r>
            <w:r>
              <w:t>ivos totales</w:t>
            </w:r>
          </w:p>
        </w:tc>
        <w:tc>
          <w:tcPr>
            <w:tcW w:w="1134" w:type="dxa"/>
          </w:tcPr>
          <w:p w14:paraId="7AE426F6" w14:textId="4B035E0F" w:rsidR="002A65E6" w:rsidRDefault="00483E15" w:rsidP="00766C40">
            <w:pPr>
              <w:pStyle w:val="BodyText"/>
              <w:spacing w:after="0"/>
              <w:jc w:val="right"/>
            </w:pPr>
            <w:r>
              <w:t>0,64</w:t>
            </w:r>
          </w:p>
        </w:tc>
        <w:tc>
          <w:tcPr>
            <w:tcW w:w="1134" w:type="dxa"/>
          </w:tcPr>
          <w:p w14:paraId="1DB7985A" w14:textId="38A8363D" w:rsidR="002A65E6" w:rsidRDefault="00483E15" w:rsidP="00766C40">
            <w:pPr>
              <w:pStyle w:val="BodyText"/>
              <w:spacing w:after="0"/>
              <w:jc w:val="right"/>
            </w:pPr>
            <w:r>
              <w:t>0,81</w:t>
            </w:r>
          </w:p>
        </w:tc>
        <w:tc>
          <w:tcPr>
            <w:tcW w:w="1178" w:type="dxa"/>
          </w:tcPr>
          <w:p w14:paraId="275C82FF" w14:textId="72B27D17" w:rsidR="002A65E6" w:rsidRDefault="00483E15" w:rsidP="00766C40">
            <w:pPr>
              <w:pStyle w:val="BodyText"/>
              <w:spacing w:after="0"/>
              <w:jc w:val="right"/>
            </w:pPr>
            <w:r>
              <w:t>1,22</w:t>
            </w:r>
          </w:p>
        </w:tc>
      </w:tr>
      <w:tr w:rsidR="002A65E6" w14:paraId="665DABD6" w14:textId="77777777" w:rsidTr="002A65E6">
        <w:tc>
          <w:tcPr>
            <w:tcW w:w="4674" w:type="dxa"/>
          </w:tcPr>
          <w:p w14:paraId="4196E847" w14:textId="2CB8015B" w:rsidR="002A65E6" w:rsidRDefault="00541439" w:rsidP="002A65E6">
            <w:pPr>
              <w:pStyle w:val="BodyText"/>
              <w:spacing w:after="0"/>
              <w:jc w:val="both"/>
            </w:pPr>
            <w:r>
              <w:t>Flujos operacionales</w:t>
            </w:r>
          </w:p>
        </w:tc>
        <w:tc>
          <w:tcPr>
            <w:tcW w:w="1134" w:type="dxa"/>
          </w:tcPr>
          <w:p w14:paraId="5559CD0D" w14:textId="38EC8104" w:rsidR="002A65E6" w:rsidRDefault="00483E15" w:rsidP="00766C40">
            <w:pPr>
              <w:pStyle w:val="BodyText"/>
              <w:spacing w:after="0"/>
              <w:jc w:val="right"/>
            </w:pPr>
            <w:r>
              <w:t>n/d</w:t>
            </w:r>
          </w:p>
        </w:tc>
        <w:tc>
          <w:tcPr>
            <w:tcW w:w="1134" w:type="dxa"/>
          </w:tcPr>
          <w:p w14:paraId="711C3CB8" w14:textId="279B3EA5" w:rsidR="002A65E6" w:rsidRDefault="00483E15" w:rsidP="00766C40">
            <w:pPr>
              <w:pStyle w:val="BodyText"/>
              <w:spacing w:after="0"/>
              <w:jc w:val="right"/>
            </w:pPr>
            <w:r>
              <w:t>86,050</w:t>
            </w:r>
          </w:p>
        </w:tc>
        <w:tc>
          <w:tcPr>
            <w:tcW w:w="1178" w:type="dxa"/>
          </w:tcPr>
          <w:p w14:paraId="6352463E" w14:textId="6FE11C20" w:rsidR="002A65E6" w:rsidRDefault="00483E15" w:rsidP="00766C40">
            <w:pPr>
              <w:pStyle w:val="BodyText"/>
              <w:spacing w:after="0"/>
              <w:jc w:val="right"/>
            </w:pPr>
            <w:r>
              <w:t>-151,273</w:t>
            </w:r>
          </w:p>
        </w:tc>
      </w:tr>
    </w:tbl>
    <w:p w14:paraId="0CD92968" w14:textId="13369B20" w:rsidR="007B1142" w:rsidRDefault="00DD5FDE">
      <w:pPr>
        <w:pStyle w:val="BodyText"/>
        <w:spacing w:after="0"/>
        <w:ind w:left="708" w:hanging="424"/>
        <w:jc w:val="both"/>
      </w:pPr>
      <w:r>
        <w:rPr>
          <w:rFonts w:ascii="Arial" w:hAnsi="Arial" w:cs="Arial"/>
        </w:rPr>
        <w:lastRenderedPageBreak/>
        <w:t xml:space="preserve">d)  </w:t>
      </w:r>
      <w:r>
        <w:rPr>
          <w:rFonts w:ascii="Arial" w:hAnsi="Arial" w:cs="Arial"/>
          <w:u w:val="single"/>
        </w:rPr>
        <w:t>Políticas Contables</w:t>
      </w:r>
      <w:r w:rsidR="00766C40" w:rsidRPr="00766C40">
        <w:rPr>
          <w:rFonts w:ascii="Arial" w:hAnsi="Arial" w:cs="Arial"/>
        </w:rPr>
        <w:t xml:space="preserve"> -</w:t>
      </w:r>
      <w:r>
        <w:rPr>
          <w:rFonts w:ascii="Arial" w:hAnsi="Arial" w:cs="Arial"/>
        </w:rPr>
        <w:t xml:space="preserve"> </w:t>
      </w:r>
      <w:r w:rsidR="00766C40">
        <w:rPr>
          <w:rFonts w:ascii="Arial" w:hAnsi="Arial" w:cs="Arial"/>
        </w:rPr>
        <w:t>Hemos identificado las siguientes políticas contables como las más significativas del negocio:</w:t>
      </w:r>
    </w:p>
    <w:p w14:paraId="00FD891C" w14:textId="77777777" w:rsidR="007B1142" w:rsidRDefault="007B1142" w:rsidP="00B87B37">
      <w:pPr>
        <w:pStyle w:val="BodyText"/>
        <w:spacing w:after="0"/>
        <w:jc w:val="both"/>
        <w:rPr>
          <w:rFonts w:ascii="Arial" w:hAnsi="Arial" w:cs="Arial"/>
        </w:rPr>
      </w:pPr>
    </w:p>
    <w:p w14:paraId="1981BA89" w14:textId="77777777" w:rsidR="007B1142" w:rsidRDefault="00DD5FDE" w:rsidP="00845DEA">
      <w:pPr>
        <w:pStyle w:val="Heading2"/>
        <w:spacing w:before="0" w:after="200"/>
        <w:jc w:val="both"/>
        <w:rPr>
          <w:rFonts w:ascii="Arial" w:hAnsi="Arial" w:cs="Arial"/>
          <w:sz w:val="22"/>
          <w:szCs w:val="22"/>
        </w:rPr>
      </w:pPr>
      <w:bookmarkStart w:id="0" w:name="_Hlk34652855"/>
      <w:r>
        <w:rPr>
          <w:rFonts w:ascii="Arial" w:hAnsi="Arial" w:cs="Arial"/>
          <w:sz w:val="22"/>
          <w:szCs w:val="22"/>
        </w:rPr>
        <w:t xml:space="preserve">II - FACTORES DE LA INDUSTRIA, REGULACIONES Y OTROS FACTORES </w:t>
      </w:r>
      <w:bookmarkEnd w:id="0"/>
      <w:r>
        <w:rPr>
          <w:rFonts w:ascii="Arial" w:hAnsi="Arial" w:cs="Arial"/>
          <w:sz w:val="22"/>
          <w:szCs w:val="22"/>
        </w:rPr>
        <w:t>EXTERNOS</w:t>
      </w:r>
    </w:p>
    <w:p w14:paraId="765315CA" w14:textId="6B937436" w:rsidR="005B4FB2" w:rsidRDefault="005B4FB2">
      <w:pPr>
        <w:pStyle w:val="BodyText"/>
        <w:numPr>
          <w:ilvl w:val="0"/>
          <w:numId w:val="2"/>
        </w:numPr>
        <w:spacing w:after="0"/>
        <w:jc w:val="both"/>
        <w:rPr>
          <w:rFonts w:ascii="Arial" w:hAnsi="Arial" w:cs="Arial"/>
        </w:rPr>
      </w:pPr>
      <w:r w:rsidRPr="00B82553">
        <w:rPr>
          <w:rFonts w:ascii="Arial" w:hAnsi="Arial" w:cs="Arial"/>
          <w:u w:val="single"/>
        </w:rPr>
        <w:t xml:space="preserve">Regulaciones </w:t>
      </w:r>
      <w:r w:rsidR="00B82553" w:rsidRPr="00B82553">
        <w:rPr>
          <w:rFonts w:ascii="Arial" w:hAnsi="Arial" w:cs="Arial"/>
          <w:u w:val="single"/>
        </w:rPr>
        <w:t>de la Industria</w:t>
      </w:r>
      <w:r w:rsidR="00B82553">
        <w:rPr>
          <w:rFonts w:ascii="Arial" w:hAnsi="Arial" w:cs="Arial"/>
        </w:rPr>
        <w:t xml:space="preserve"> </w:t>
      </w:r>
      <w:r>
        <w:rPr>
          <w:rFonts w:ascii="Arial" w:hAnsi="Arial" w:cs="Arial"/>
        </w:rPr>
        <w:t>–</w:t>
      </w:r>
      <w:r w:rsidRPr="005B4FB2">
        <w:rPr>
          <w:rFonts w:ascii="Arial" w:hAnsi="Arial" w:cs="Arial"/>
        </w:rPr>
        <w:t xml:space="preserve"> </w:t>
      </w:r>
    </w:p>
    <w:p w14:paraId="5B0FC3F0" w14:textId="3E122700" w:rsidR="005B4FB2" w:rsidRDefault="005B4FB2" w:rsidP="005B4FB2">
      <w:pPr>
        <w:pStyle w:val="BodyText"/>
        <w:spacing w:after="0"/>
        <w:ind w:left="720"/>
        <w:jc w:val="both"/>
        <w:rPr>
          <w:rFonts w:ascii="Arial" w:hAnsi="Arial" w:cs="Arial"/>
        </w:rPr>
      </w:pPr>
    </w:p>
    <w:p w14:paraId="596F0E6E" w14:textId="48DF0565" w:rsidR="00B87B37" w:rsidRDefault="00B87B37" w:rsidP="005B4FB2">
      <w:pPr>
        <w:pStyle w:val="BodyText"/>
        <w:spacing w:after="0"/>
        <w:ind w:left="720"/>
        <w:jc w:val="both"/>
        <w:rPr>
          <w:rFonts w:ascii="Arial" w:hAnsi="Arial" w:cs="Arial"/>
        </w:rPr>
      </w:pPr>
      <w:r>
        <w:rPr>
          <w:rFonts w:ascii="Arial" w:hAnsi="Arial" w:cs="Arial"/>
          <w:noProof/>
        </w:rPr>
        <w:drawing>
          <wp:inline distT="0" distB="0" distL="0" distR="0" wp14:anchorId="04D3D196" wp14:editId="0FA851C9">
            <wp:extent cx="4838700" cy="146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1466850"/>
                    </a:xfrm>
                    <a:prstGeom prst="rect">
                      <a:avLst/>
                    </a:prstGeom>
                    <a:noFill/>
                    <a:ln>
                      <a:noFill/>
                    </a:ln>
                  </pic:spPr>
                </pic:pic>
              </a:graphicData>
            </a:graphic>
          </wp:inline>
        </w:drawing>
      </w:r>
    </w:p>
    <w:p w14:paraId="2EDECE35" w14:textId="7993650C" w:rsidR="00B87B37" w:rsidRDefault="00B87B37" w:rsidP="005B4FB2">
      <w:pPr>
        <w:pStyle w:val="BodyText"/>
        <w:spacing w:after="0"/>
        <w:ind w:left="720"/>
        <w:jc w:val="both"/>
        <w:rPr>
          <w:rFonts w:ascii="Arial" w:hAnsi="Arial" w:cs="Arial"/>
        </w:rPr>
      </w:pPr>
    </w:p>
    <w:p w14:paraId="26988189" w14:textId="77777777" w:rsidR="00B87B37" w:rsidRDefault="00B87B37" w:rsidP="005B4FB2">
      <w:pPr>
        <w:pStyle w:val="BodyText"/>
        <w:spacing w:after="0"/>
        <w:ind w:left="720"/>
        <w:jc w:val="both"/>
        <w:rPr>
          <w:rFonts w:ascii="Arial" w:hAnsi="Arial" w:cs="Arial"/>
        </w:rPr>
      </w:pPr>
    </w:p>
    <w:p w14:paraId="773006AF" w14:textId="77777777" w:rsidR="00B87B37" w:rsidRPr="005B4FB2" w:rsidRDefault="00B87B37" w:rsidP="005B4FB2">
      <w:pPr>
        <w:pStyle w:val="BodyText"/>
        <w:spacing w:after="0"/>
        <w:ind w:left="720"/>
        <w:jc w:val="both"/>
        <w:rPr>
          <w:rFonts w:ascii="Arial" w:hAnsi="Arial" w:cs="Arial"/>
        </w:rPr>
      </w:pPr>
    </w:p>
    <w:p w14:paraId="79C9D387" w14:textId="7642A8CF" w:rsidR="007B1142" w:rsidRDefault="00DD5FDE">
      <w:pPr>
        <w:pStyle w:val="BodyText"/>
        <w:numPr>
          <w:ilvl w:val="0"/>
          <w:numId w:val="2"/>
        </w:numPr>
        <w:spacing w:after="0"/>
        <w:jc w:val="both"/>
      </w:pPr>
      <w:r>
        <w:rPr>
          <w:rFonts w:ascii="Arial" w:hAnsi="Arial" w:cs="Arial"/>
          <w:bCs/>
          <w:u w:val="single"/>
        </w:rPr>
        <w:t>Principales clientes</w:t>
      </w:r>
      <w:r>
        <w:rPr>
          <w:rFonts w:ascii="Arial" w:hAnsi="Arial" w:cs="Arial"/>
          <w:bCs/>
        </w:rPr>
        <w:t xml:space="preserve"> – En los años anteriores </w:t>
      </w:r>
      <w:r w:rsidR="00845DEA">
        <w:rPr>
          <w:rFonts w:ascii="Arial" w:hAnsi="Arial" w:cs="Arial"/>
          <w:bCs/>
        </w:rPr>
        <w:t>el monto de los clientes de telefonía fija se ha</w:t>
      </w:r>
      <w:r>
        <w:rPr>
          <w:rFonts w:ascii="Arial" w:hAnsi="Arial" w:cs="Arial"/>
          <w:bCs/>
        </w:rPr>
        <w:t xml:space="preserve"> mantenido hasta la actualidad, </w:t>
      </w:r>
      <w:r w:rsidR="00845DEA">
        <w:rPr>
          <w:rFonts w:ascii="Arial" w:hAnsi="Arial" w:cs="Arial"/>
          <w:bCs/>
        </w:rPr>
        <w:t>alrededor</w:t>
      </w:r>
      <w:r>
        <w:rPr>
          <w:rFonts w:ascii="Arial" w:hAnsi="Arial" w:cs="Arial"/>
          <w:bCs/>
        </w:rPr>
        <w:t xml:space="preserve"> de US $110.000, para el año 2019 se procedió a realizar trabajos para Telconet por un monto de US $1’672.067, el cual represento el 94% de las cuentas por cobrar de la empresa, tal como se lo detalla en el siguiente cuadro: </w:t>
      </w:r>
    </w:p>
    <w:p w14:paraId="4EC4E7FA" w14:textId="77777777" w:rsidR="007B1142" w:rsidRDefault="007B1142">
      <w:pPr>
        <w:pStyle w:val="BodyText"/>
        <w:spacing w:after="0"/>
        <w:ind w:left="720"/>
        <w:jc w:val="both"/>
        <w:rPr>
          <w:rFonts w:ascii="Arial" w:hAnsi="Arial" w:cs="Arial"/>
          <w:bCs/>
        </w:rPr>
      </w:pPr>
    </w:p>
    <w:p w14:paraId="730442B3" w14:textId="77777777" w:rsidR="007B1142" w:rsidRDefault="00DD5FDE">
      <w:pPr>
        <w:pStyle w:val="BodyText"/>
        <w:spacing w:after="0"/>
        <w:ind w:left="720"/>
        <w:jc w:val="both"/>
        <w:rPr>
          <w:rFonts w:ascii="Arial" w:hAnsi="Arial" w:cs="Arial"/>
          <w:bCs/>
        </w:rPr>
      </w:pPr>
      <w:r>
        <w:rPr>
          <w:rFonts w:ascii="Arial" w:hAnsi="Arial" w:cs="Arial"/>
          <w:bCs/>
          <w:noProof/>
        </w:rPr>
        <w:drawing>
          <wp:anchor distT="0" distB="0" distL="0" distR="0" simplePos="0" relativeHeight="2" behindDoc="0" locked="0" layoutInCell="1" allowOverlap="1" wp14:anchorId="157680C8" wp14:editId="7E3737F8">
            <wp:simplePos x="0" y="0"/>
            <wp:positionH relativeFrom="column">
              <wp:align>center</wp:align>
            </wp:positionH>
            <wp:positionV relativeFrom="paragraph">
              <wp:posOffset>635</wp:posOffset>
            </wp:positionV>
            <wp:extent cx="3834130" cy="1137920"/>
            <wp:effectExtent l="0" t="0" r="0" b="0"/>
            <wp:wrapSquare wrapText="largest"/>
            <wp:docPr id="1" name="Objet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to1"/>
                    <pic:cNvPicPr>
                      <a:picLocks noChangeAspect="1" noChangeArrowheads="1"/>
                    </pic:cNvPicPr>
                  </pic:nvPicPr>
                  <pic:blipFill>
                    <a:blip r:embed="rId8"/>
                    <a:stretch>
                      <a:fillRect/>
                    </a:stretch>
                  </pic:blipFill>
                  <pic:spPr bwMode="auto">
                    <a:xfrm>
                      <a:off x="0" y="0"/>
                      <a:ext cx="3834130" cy="1137920"/>
                    </a:xfrm>
                    <a:prstGeom prst="rect">
                      <a:avLst/>
                    </a:prstGeom>
                  </pic:spPr>
                </pic:pic>
              </a:graphicData>
            </a:graphic>
          </wp:anchor>
        </w:drawing>
      </w:r>
    </w:p>
    <w:p w14:paraId="057FC7EA" w14:textId="77777777" w:rsidR="007B1142" w:rsidRDefault="007B1142">
      <w:pPr>
        <w:pStyle w:val="BodyText"/>
        <w:spacing w:after="0"/>
        <w:ind w:left="720"/>
        <w:jc w:val="both"/>
        <w:rPr>
          <w:rFonts w:ascii="Arial" w:hAnsi="Arial" w:cs="Arial"/>
          <w:bCs/>
        </w:rPr>
      </w:pPr>
    </w:p>
    <w:p w14:paraId="12250B4A" w14:textId="77777777" w:rsidR="007B1142" w:rsidRDefault="007B1142">
      <w:pPr>
        <w:pStyle w:val="BodyText"/>
        <w:spacing w:after="0"/>
        <w:ind w:left="720"/>
        <w:jc w:val="both"/>
        <w:rPr>
          <w:rFonts w:ascii="Arial" w:hAnsi="Arial" w:cs="Arial"/>
          <w:bCs/>
        </w:rPr>
      </w:pPr>
    </w:p>
    <w:p w14:paraId="322EE0F6" w14:textId="77777777" w:rsidR="007B1142" w:rsidRDefault="007B1142">
      <w:pPr>
        <w:pStyle w:val="BodyText"/>
        <w:spacing w:after="0"/>
        <w:ind w:left="720"/>
        <w:jc w:val="both"/>
        <w:rPr>
          <w:rFonts w:ascii="Arial" w:hAnsi="Arial" w:cs="Arial"/>
          <w:bCs/>
        </w:rPr>
      </w:pPr>
    </w:p>
    <w:p w14:paraId="4B79175B" w14:textId="77777777" w:rsidR="007B1142" w:rsidRDefault="007B1142">
      <w:pPr>
        <w:pStyle w:val="BodyText"/>
        <w:spacing w:after="0"/>
        <w:ind w:left="720"/>
        <w:jc w:val="both"/>
        <w:rPr>
          <w:rFonts w:ascii="Arial" w:hAnsi="Arial" w:cs="Arial"/>
          <w:bCs/>
        </w:rPr>
      </w:pPr>
    </w:p>
    <w:p w14:paraId="7F81DDAA" w14:textId="77777777" w:rsidR="007B1142" w:rsidRDefault="007B1142">
      <w:pPr>
        <w:pStyle w:val="BodyText"/>
        <w:spacing w:after="0"/>
        <w:ind w:left="720"/>
        <w:jc w:val="both"/>
        <w:rPr>
          <w:rFonts w:ascii="Arial" w:hAnsi="Arial" w:cs="Arial"/>
          <w:bCs/>
        </w:rPr>
      </w:pPr>
    </w:p>
    <w:p w14:paraId="3421BA45" w14:textId="77777777" w:rsidR="007B1142" w:rsidRDefault="007B1142">
      <w:pPr>
        <w:pStyle w:val="BodyText"/>
        <w:spacing w:after="0"/>
        <w:ind w:left="720"/>
        <w:jc w:val="both"/>
        <w:rPr>
          <w:rFonts w:ascii="Arial" w:hAnsi="Arial" w:cs="Arial"/>
          <w:bCs/>
        </w:rPr>
      </w:pPr>
    </w:p>
    <w:p w14:paraId="7CEB2293" w14:textId="509ABCF1" w:rsidR="007B1142" w:rsidRDefault="00DD5FDE">
      <w:pPr>
        <w:pStyle w:val="BodyText"/>
        <w:spacing w:after="0"/>
        <w:ind w:left="720"/>
        <w:jc w:val="both"/>
      </w:pPr>
      <w:r>
        <w:rPr>
          <w:rFonts w:ascii="Arial" w:hAnsi="Arial" w:cs="Arial"/>
          <w:bCs/>
        </w:rPr>
        <w:t xml:space="preserve">Como puede observarse, la Gerencia de la Compañía ha logrado compensar la pérdida de ingresos de los años anteriores mediante la prestación de servicios de mantenimiento preventivo y correctivo a la red de nodos e infraestructura urbana </w:t>
      </w:r>
      <w:r w:rsidR="00845DEA">
        <w:rPr>
          <w:rFonts w:ascii="Arial" w:hAnsi="Arial" w:cs="Arial"/>
          <w:bCs/>
        </w:rPr>
        <w:t>de acuerdo con el</w:t>
      </w:r>
      <w:r>
        <w:rPr>
          <w:rFonts w:ascii="Arial" w:hAnsi="Arial" w:cs="Arial"/>
          <w:bCs/>
        </w:rPr>
        <w:t xml:space="preserve"> contrato establecido con Telconet en diciembre del 2018.</w:t>
      </w:r>
    </w:p>
    <w:p w14:paraId="639A4CC6" w14:textId="77777777" w:rsidR="007B1142" w:rsidRDefault="007B1142">
      <w:pPr>
        <w:pStyle w:val="BodyText"/>
        <w:spacing w:after="0"/>
        <w:ind w:left="720"/>
        <w:jc w:val="both"/>
        <w:rPr>
          <w:rFonts w:ascii="Arial" w:hAnsi="Arial" w:cs="Arial"/>
          <w:bCs/>
        </w:rPr>
      </w:pPr>
    </w:p>
    <w:p w14:paraId="31802D02" w14:textId="1DF35237" w:rsidR="007B1142" w:rsidRDefault="00DD5FDE">
      <w:pPr>
        <w:pStyle w:val="BodyText"/>
        <w:numPr>
          <w:ilvl w:val="0"/>
          <w:numId w:val="2"/>
        </w:numPr>
        <w:spacing w:after="0"/>
        <w:jc w:val="both"/>
      </w:pPr>
      <w:r>
        <w:rPr>
          <w:rFonts w:ascii="Arial" w:hAnsi="Arial" w:cs="Arial"/>
          <w:bCs/>
          <w:u w:val="single"/>
        </w:rPr>
        <w:t>Principales proveedores</w:t>
      </w:r>
      <w:r>
        <w:rPr>
          <w:rFonts w:ascii="Arial" w:hAnsi="Arial" w:cs="Arial"/>
          <w:bCs/>
        </w:rPr>
        <w:t xml:space="preserve"> – Dado que la compañía trabaja en conjunto con el grupo Telconet, se hace uso de la infraestructura ya establecida para la </w:t>
      </w:r>
      <w:r w:rsidR="00541439">
        <w:rPr>
          <w:rFonts w:ascii="Arial" w:hAnsi="Arial" w:cs="Arial"/>
          <w:bCs/>
        </w:rPr>
        <w:t>interconexión</w:t>
      </w:r>
      <w:r>
        <w:rPr>
          <w:rFonts w:ascii="Arial" w:hAnsi="Arial" w:cs="Arial"/>
          <w:bCs/>
        </w:rPr>
        <w:t xml:space="preserve"> con la red propia, estableciendo así al grupo Telconet como la principal empresa proveedora.</w:t>
      </w:r>
    </w:p>
    <w:p w14:paraId="1D4B80D8" w14:textId="77777777" w:rsidR="007B1142" w:rsidRDefault="007B1142">
      <w:pPr>
        <w:pStyle w:val="BodyText"/>
        <w:spacing w:after="0"/>
        <w:ind w:left="720"/>
        <w:jc w:val="both"/>
        <w:rPr>
          <w:rFonts w:ascii="Arial" w:hAnsi="Arial" w:cs="Arial"/>
          <w:bCs/>
        </w:rPr>
      </w:pPr>
    </w:p>
    <w:p w14:paraId="749A8D25" w14:textId="77777777" w:rsidR="007B1142" w:rsidRDefault="00DD5FDE">
      <w:pPr>
        <w:pStyle w:val="BodyText"/>
        <w:spacing w:after="0"/>
        <w:ind w:left="720"/>
        <w:jc w:val="both"/>
      </w:pPr>
      <w:r>
        <w:rPr>
          <w:rFonts w:ascii="Arial" w:hAnsi="Arial" w:cs="Arial"/>
          <w:bCs/>
        </w:rPr>
        <w:lastRenderedPageBreak/>
        <w:t xml:space="preserve">Otras empresas proveedoras son CONECEL S.A. y la Corporación Nacional de Telecomunicaciones (CNT EP), por los costos que representa realizar una conexión con los nodos de estas infraestructuras que se encuentran fuera del grupo Telconet. </w:t>
      </w:r>
    </w:p>
    <w:p w14:paraId="6825CADC" w14:textId="77777777" w:rsidR="007B1142" w:rsidRDefault="007B1142">
      <w:pPr>
        <w:pStyle w:val="BodyText"/>
        <w:spacing w:after="0"/>
        <w:ind w:left="720"/>
        <w:jc w:val="both"/>
        <w:rPr>
          <w:rFonts w:ascii="Arial" w:hAnsi="Arial" w:cs="Arial"/>
          <w:u w:val="single"/>
        </w:rPr>
      </w:pPr>
    </w:p>
    <w:p w14:paraId="0CE45508" w14:textId="77777777" w:rsidR="007B1142" w:rsidRDefault="00DD5FDE">
      <w:pPr>
        <w:pStyle w:val="BodyText"/>
        <w:numPr>
          <w:ilvl w:val="0"/>
          <w:numId w:val="2"/>
        </w:numPr>
        <w:spacing w:after="0"/>
        <w:jc w:val="both"/>
      </w:pPr>
      <w:r>
        <w:rPr>
          <w:rFonts w:ascii="Arial" w:hAnsi="Arial" w:cs="Arial"/>
          <w:bCs/>
          <w:u w:val="single"/>
        </w:rPr>
        <w:t>Entorno competitivo</w:t>
      </w:r>
      <w:r>
        <w:rPr>
          <w:rFonts w:ascii="Arial" w:hAnsi="Arial" w:cs="Arial"/>
          <w:bCs/>
        </w:rPr>
        <w:t xml:space="preserve"> – La compañía considera como sus principales competidores a SETEL S.A., </w:t>
      </w:r>
      <w:proofErr w:type="spellStart"/>
      <w:r>
        <w:rPr>
          <w:rFonts w:ascii="Arial" w:hAnsi="Arial" w:cs="Arial"/>
          <w:bCs/>
        </w:rPr>
        <w:t>Ecuadortelecom</w:t>
      </w:r>
      <w:proofErr w:type="spellEnd"/>
      <w:r>
        <w:rPr>
          <w:rFonts w:ascii="Arial" w:hAnsi="Arial" w:cs="Arial"/>
          <w:bCs/>
        </w:rPr>
        <w:t xml:space="preserve"> S.A., Global </w:t>
      </w:r>
      <w:proofErr w:type="spellStart"/>
      <w:r>
        <w:rPr>
          <w:rFonts w:ascii="Arial" w:hAnsi="Arial" w:cs="Arial"/>
          <w:bCs/>
        </w:rPr>
        <w:t>Crossing</w:t>
      </w:r>
      <w:proofErr w:type="spellEnd"/>
      <w:r>
        <w:rPr>
          <w:rFonts w:ascii="Arial" w:hAnsi="Arial" w:cs="Arial"/>
          <w:bCs/>
        </w:rPr>
        <w:t xml:space="preserve">, Comunicaciones Ecuador S.A. y </w:t>
      </w:r>
      <w:proofErr w:type="spellStart"/>
      <w:r>
        <w:rPr>
          <w:rFonts w:ascii="Arial" w:hAnsi="Arial" w:cs="Arial"/>
          <w:bCs/>
        </w:rPr>
        <w:t>Grupocoripar</w:t>
      </w:r>
      <w:proofErr w:type="spellEnd"/>
      <w:r>
        <w:rPr>
          <w:rFonts w:ascii="Arial" w:hAnsi="Arial" w:cs="Arial"/>
          <w:bCs/>
        </w:rPr>
        <w:t xml:space="preserve"> S.A. competencias directas en cuanto a empresas privadas se refiere.</w:t>
      </w:r>
    </w:p>
    <w:p w14:paraId="2E9ED818" w14:textId="77777777" w:rsidR="007B1142" w:rsidRDefault="007B1142">
      <w:pPr>
        <w:pStyle w:val="BodyText"/>
        <w:spacing w:after="0"/>
        <w:ind w:left="720"/>
        <w:jc w:val="both"/>
        <w:rPr>
          <w:rFonts w:ascii="Arial" w:hAnsi="Arial" w:cs="Arial"/>
          <w:bCs/>
        </w:rPr>
      </w:pPr>
    </w:p>
    <w:p w14:paraId="1ED4CF70" w14:textId="3A063D13" w:rsidR="007B1142" w:rsidRDefault="00DD5FDE">
      <w:pPr>
        <w:pStyle w:val="BodyText"/>
        <w:spacing w:after="0"/>
        <w:ind w:left="720"/>
        <w:jc w:val="both"/>
      </w:pPr>
      <w:r>
        <w:rPr>
          <w:rFonts w:ascii="Arial" w:hAnsi="Arial" w:cs="Arial"/>
          <w:bCs/>
        </w:rPr>
        <w:t xml:space="preserve">En cuanto a empresas </w:t>
      </w:r>
      <w:r w:rsidR="00845DEA">
        <w:rPr>
          <w:rFonts w:ascii="Arial" w:hAnsi="Arial" w:cs="Arial"/>
          <w:bCs/>
        </w:rPr>
        <w:t>públicas</w:t>
      </w:r>
      <w:r>
        <w:rPr>
          <w:rFonts w:ascii="Arial" w:hAnsi="Arial" w:cs="Arial"/>
          <w:bCs/>
        </w:rPr>
        <w:t xml:space="preserve"> tenemos a Corporación Nacional de Telecomunicaciones (CNT EP) y ETAPA EP. </w:t>
      </w:r>
    </w:p>
    <w:p w14:paraId="6526B06F" w14:textId="5D9BA853" w:rsidR="007B1142" w:rsidRDefault="007B1142">
      <w:pPr>
        <w:pStyle w:val="BodyText"/>
        <w:spacing w:after="0"/>
        <w:ind w:left="720"/>
        <w:jc w:val="both"/>
        <w:rPr>
          <w:rFonts w:ascii="Arial" w:hAnsi="Arial" w:cs="Arial"/>
        </w:rPr>
      </w:pPr>
    </w:p>
    <w:p w14:paraId="37955510" w14:textId="1AF97E81" w:rsidR="0025447B" w:rsidRDefault="0025447B">
      <w:pPr>
        <w:pStyle w:val="BodyText"/>
        <w:spacing w:after="0"/>
        <w:ind w:left="720"/>
        <w:jc w:val="both"/>
        <w:rPr>
          <w:rFonts w:ascii="Arial" w:hAnsi="Arial" w:cs="Arial"/>
        </w:rPr>
      </w:pPr>
      <w:r>
        <w:rPr>
          <w:rFonts w:ascii="Arial" w:hAnsi="Arial" w:cs="Arial"/>
          <w:noProof/>
        </w:rPr>
        <w:drawing>
          <wp:inline distT="0" distB="0" distL="0" distR="0" wp14:anchorId="57E26DD4" wp14:editId="30F698ED">
            <wp:extent cx="5133975" cy="19088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9413" cy="1914637"/>
                    </a:xfrm>
                    <a:prstGeom prst="rect">
                      <a:avLst/>
                    </a:prstGeom>
                    <a:noFill/>
                    <a:ln>
                      <a:noFill/>
                    </a:ln>
                  </pic:spPr>
                </pic:pic>
              </a:graphicData>
            </a:graphic>
          </wp:inline>
        </w:drawing>
      </w:r>
    </w:p>
    <w:p w14:paraId="7076DA06" w14:textId="1A971D1B" w:rsidR="00E15AC1" w:rsidRDefault="00E15AC1">
      <w:pPr>
        <w:pStyle w:val="BodyText"/>
        <w:spacing w:after="0"/>
        <w:ind w:left="720"/>
        <w:jc w:val="both"/>
        <w:rPr>
          <w:rFonts w:ascii="Arial" w:hAnsi="Arial" w:cs="Arial"/>
        </w:rPr>
      </w:pPr>
    </w:p>
    <w:p w14:paraId="32445147" w14:textId="63115B77" w:rsidR="00E15AC1" w:rsidRDefault="00E15AC1">
      <w:pPr>
        <w:pStyle w:val="BodyText"/>
        <w:spacing w:after="0"/>
        <w:ind w:left="720"/>
        <w:jc w:val="both"/>
        <w:rPr>
          <w:rFonts w:ascii="Arial" w:hAnsi="Arial" w:cs="Arial"/>
        </w:rPr>
      </w:pPr>
      <w:r>
        <w:rPr>
          <w:rFonts w:ascii="Arial" w:hAnsi="Arial" w:cs="Arial"/>
          <w:noProof/>
        </w:rPr>
        <w:drawing>
          <wp:inline distT="0" distB="0" distL="0" distR="0" wp14:anchorId="7EE1C6AC" wp14:editId="623CA27D">
            <wp:extent cx="5076825" cy="2781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2781300"/>
                    </a:xfrm>
                    <a:prstGeom prst="rect">
                      <a:avLst/>
                    </a:prstGeom>
                    <a:noFill/>
                    <a:ln>
                      <a:noFill/>
                    </a:ln>
                  </pic:spPr>
                </pic:pic>
              </a:graphicData>
            </a:graphic>
          </wp:inline>
        </w:drawing>
      </w:r>
    </w:p>
    <w:p w14:paraId="036368D3" w14:textId="77777777" w:rsidR="0025447B" w:rsidRDefault="0025447B">
      <w:pPr>
        <w:pStyle w:val="BodyText"/>
        <w:spacing w:after="0"/>
        <w:ind w:left="720"/>
        <w:jc w:val="both"/>
        <w:rPr>
          <w:rFonts w:ascii="Arial" w:hAnsi="Arial" w:cs="Arial"/>
        </w:rPr>
      </w:pPr>
    </w:p>
    <w:p w14:paraId="184B8DBC" w14:textId="3046AB10" w:rsidR="007B1142" w:rsidRDefault="00DD5FDE">
      <w:pPr>
        <w:pStyle w:val="BodyText"/>
        <w:numPr>
          <w:ilvl w:val="0"/>
          <w:numId w:val="2"/>
        </w:numPr>
        <w:spacing w:after="0"/>
        <w:jc w:val="both"/>
      </w:pPr>
      <w:r>
        <w:rPr>
          <w:rFonts w:ascii="Arial" w:hAnsi="Arial" w:cs="Arial"/>
          <w:u w:val="single"/>
        </w:rPr>
        <w:t>Desarrollos Tecnológicos</w:t>
      </w:r>
      <w:r>
        <w:rPr>
          <w:rFonts w:ascii="Arial" w:hAnsi="Arial" w:cs="Arial"/>
        </w:rPr>
        <w:t xml:space="preserve"> – Linkotel S.A. al ser una empresa que se dedicada a establecer comunicaciones debe de estar a la vanguardia en cuanto a infraestructura de trabajo se refiere. En el </w:t>
      </w:r>
      <w:r w:rsidR="00845DEA">
        <w:rPr>
          <w:rFonts w:ascii="Arial" w:hAnsi="Arial" w:cs="Arial"/>
        </w:rPr>
        <w:t>área</w:t>
      </w:r>
      <w:r>
        <w:rPr>
          <w:rFonts w:ascii="Arial" w:hAnsi="Arial" w:cs="Arial"/>
        </w:rPr>
        <w:t xml:space="preserve"> contable Linkotel al ser parte del </w:t>
      </w:r>
      <w:r>
        <w:rPr>
          <w:rFonts w:ascii="Arial" w:hAnsi="Arial" w:cs="Arial"/>
        </w:rPr>
        <w:lastRenderedPageBreak/>
        <w:t>grupo Telconet se decide utilizar la misma plataforma contable que el resto del grupo para facilitar el trabajo entre contadores de las distintas compañías con las cuales Linkotel pueda tener relaciones comerciales.</w:t>
      </w:r>
    </w:p>
    <w:p w14:paraId="25891EFE" w14:textId="77777777" w:rsidR="007B1142" w:rsidRDefault="007B1142">
      <w:pPr>
        <w:pStyle w:val="BodyText"/>
        <w:spacing w:after="0"/>
        <w:ind w:left="720"/>
        <w:jc w:val="both"/>
        <w:rPr>
          <w:rFonts w:ascii="Arial" w:hAnsi="Arial" w:cs="Arial"/>
        </w:rPr>
      </w:pPr>
    </w:p>
    <w:p w14:paraId="1876CADF" w14:textId="6215E266" w:rsidR="007B1142" w:rsidRDefault="00DD5FDE">
      <w:pPr>
        <w:pStyle w:val="BodyText"/>
        <w:numPr>
          <w:ilvl w:val="0"/>
          <w:numId w:val="2"/>
        </w:numPr>
        <w:spacing w:after="0"/>
        <w:jc w:val="both"/>
      </w:pPr>
      <w:r>
        <w:rPr>
          <w:rFonts w:ascii="Arial" w:hAnsi="Arial" w:cs="Arial"/>
          <w:u w:val="single"/>
        </w:rPr>
        <w:t>Marco de referencia de Información Financiera</w:t>
      </w:r>
      <w:r>
        <w:rPr>
          <w:rFonts w:ascii="Arial" w:hAnsi="Arial" w:cs="Arial"/>
        </w:rPr>
        <w:t xml:space="preserve"> – Linkotel S.A. es una empresa mediana y </w:t>
      </w:r>
      <w:r w:rsidR="003E2DD0">
        <w:rPr>
          <w:rFonts w:ascii="Arial" w:hAnsi="Arial" w:cs="Arial"/>
        </w:rPr>
        <w:t>debido a que forma parte del grupo Telconet</w:t>
      </w:r>
      <w:r w:rsidR="00DA53BE">
        <w:rPr>
          <w:rFonts w:ascii="Arial" w:hAnsi="Arial" w:cs="Arial"/>
        </w:rPr>
        <w:t xml:space="preserve"> aplica NIIF completas</w:t>
      </w:r>
      <w:r>
        <w:rPr>
          <w:rFonts w:ascii="Arial" w:hAnsi="Arial" w:cs="Arial"/>
        </w:rPr>
        <w:t xml:space="preserve">. El informe de </w:t>
      </w:r>
      <w:r w:rsidR="00845DEA">
        <w:rPr>
          <w:rFonts w:ascii="Arial" w:hAnsi="Arial" w:cs="Arial"/>
        </w:rPr>
        <w:t>auditoría</w:t>
      </w:r>
      <w:r>
        <w:rPr>
          <w:rFonts w:ascii="Arial" w:hAnsi="Arial" w:cs="Arial"/>
        </w:rPr>
        <w:t xml:space="preserve"> utiliza este marco de referencia.</w:t>
      </w:r>
    </w:p>
    <w:p w14:paraId="20518343" w14:textId="77777777" w:rsidR="007B1142" w:rsidRDefault="007B1142">
      <w:pPr>
        <w:pStyle w:val="BodyText"/>
        <w:spacing w:after="0"/>
        <w:jc w:val="both"/>
        <w:rPr>
          <w:rFonts w:ascii="Arial" w:hAnsi="Arial" w:cs="Arial"/>
        </w:rPr>
      </w:pPr>
    </w:p>
    <w:p w14:paraId="6E9ADF66" w14:textId="2C139842" w:rsidR="00DA53BE" w:rsidRDefault="00DD5FDE">
      <w:pPr>
        <w:pStyle w:val="BodyText"/>
        <w:numPr>
          <w:ilvl w:val="0"/>
          <w:numId w:val="2"/>
        </w:numPr>
        <w:spacing w:after="0"/>
        <w:jc w:val="both"/>
        <w:rPr>
          <w:rFonts w:ascii="Arial" w:hAnsi="Arial" w:cs="Arial"/>
        </w:rPr>
      </w:pPr>
      <w:r>
        <w:rPr>
          <w:rFonts w:ascii="Arial" w:hAnsi="Arial" w:cs="Arial"/>
          <w:u w:val="single"/>
        </w:rPr>
        <w:t>Nuevas Normas y Regulaciones de Información Financiera</w:t>
      </w:r>
      <w:r>
        <w:rPr>
          <w:rFonts w:ascii="Arial" w:hAnsi="Arial" w:cs="Arial"/>
        </w:rPr>
        <w:t xml:space="preserve"> – </w:t>
      </w:r>
      <w:r w:rsidR="00DA53BE">
        <w:rPr>
          <w:rFonts w:ascii="Arial" w:hAnsi="Arial" w:cs="Arial"/>
        </w:rPr>
        <w:t>A continuación, una tabla que resume las nuevas normas, incluyendo enmiendas, que son de aplicación obli</w:t>
      </w:r>
      <w:r w:rsidR="008C4994">
        <w:rPr>
          <w:rFonts w:ascii="Arial" w:hAnsi="Arial" w:cs="Arial"/>
        </w:rPr>
        <w:t>gatorias al 31 de diciembre</w:t>
      </w:r>
      <w:r w:rsidR="00DA53BE">
        <w:rPr>
          <w:rFonts w:ascii="Arial" w:hAnsi="Arial" w:cs="Arial"/>
        </w:rPr>
        <w:t xml:space="preserve"> del 2020</w:t>
      </w:r>
      <w:r w:rsidR="008C4994">
        <w:rPr>
          <w:rFonts w:ascii="Arial" w:hAnsi="Arial" w:cs="Arial"/>
        </w:rPr>
        <w:t>, ninguna de las cuales tienen efecto importante en las operaciones y registros contables de Linkotel</w:t>
      </w:r>
      <w:r w:rsidR="00DA53BE">
        <w:rPr>
          <w:rFonts w:ascii="Arial" w:hAnsi="Arial" w:cs="Arial"/>
        </w:rPr>
        <w:t>:</w:t>
      </w:r>
    </w:p>
    <w:p w14:paraId="40D88178" w14:textId="4CEBB07C" w:rsidR="00DA53BE" w:rsidRDefault="00DA53BE" w:rsidP="00DA53BE">
      <w:pPr>
        <w:pStyle w:val="BodyText"/>
        <w:spacing w:after="0"/>
        <w:ind w:left="720"/>
        <w:jc w:val="both"/>
        <w:rPr>
          <w:rFonts w:ascii="Arial" w:hAnsi="Arial" w:cs="Arial"/>
          <w:u w:val="single"/>
        </w:rPr>
      </w:pPr>
    </w:p>
    <w:p w14:paraId="08DE615D" w14:textId="41DA8244" w:rsidR="00DA53BE" w:rsidRDefault="00DA53BE" w:rsidP="00DA53BE">
      <w:pPr>
        <w:pStyle w:val="BodyText"/>
        <w:spacing w:after="0"/>
        <w:ind w:left="720"/>
        <w:jc w:val="both"/>
        <w:rPr>
          <w:rFonts w:ascii="Arial" w:hAnsi="Arial" w:cs="Arial"/>
        </w:rPr>
      </w:pPr>
      <w:r>
        <w:rPr>
          <w:rFonts w:ascii="Arial" w:hAnsi="Arial" w:cs="Arial"/>
          <w:noProof/>
        </w:rPr>
        <w:drawing>
          <wp:inline distT="0" distB="0" distL="0" distR="0" wp14:anchorId="075FDEE3" wp14:editId="793E84FC">
            <wp:extent cx="5610225" cy="2952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952750"/>
                    </a:xfrm>
                    <a:prstGeom prst="rect">
                      <a:avLst/>
                    </a:prstGeom>
                    <a:noFill/>
                    <a:ln>
                      <a:noFill/>
                    </a:ln>
                  </pic:spPr>
                </pic:pic>
              </a:graphicData>
            </a:graphic>
          </wp:inline>
        </w:drawing>
      </w:r>
    </w:p>
    <w:p w14:paraId="33F12E6F" w14:textId="77777777" w:rsidR="00DA53BE" w:rsidRDefault="00DA53BE" w:rsidP="00DA53BE">
      <w:pPr>
        <w:pStyle w:val="BodyText"/>
        <w:spacing w:after="0"/>
        <w:ind w:left="720"/>
        <w:jc w:val="both"/>
        <w:rPr>
          <w:rFonts w:ascii="Arial" w:hAnsi="Arial" w:cs="Arial"/>
          <w:u w:val="single"/>
        </w:rPr>
      </w:pPr>
    </w:p>
    <w:p w14:paraId="7225684B" w14:textId="6E80C0F6" w:rsidR="007B1142" w:rsidRDefault="00DD5FDE" w:rsidP="00DA53BE">
      <w:pPr>
        <w:pStyle w:val="BodyText"/>
        <w:spacing w:after="0"/>
        <w:ind w:left="720"/>
        <w:jc w:val="both"/>
        <w:rPr>
          <w:rFonts w:ascii="Arial" w:hAnsi="Arial" w:cs="Arial"/>
        </w:rPr>
      </w:pPr>
      <w:r>
        <w:rPr>
          <w:rFonts w:ascii="Arial" w:hAnsi="Arial" w:cs="Arial"/>
        </w:rPr>
        <w:t>Tampoco identificamos regulaciones contables nuevas que haya emitido la Superintendencia de Compañías o el SRI, que afecten el reporte de la información financiera. Desde el año 2019 se aumentó la tarifa de impuesto a la renta corporativo al 25% (antes 22%) y se mantiene sin cambios.</w:t>
      </w:r>
    </w:p>
    <w:p w14:paraId="201F05FA" w14:textId="77777777" w:rsidR="007B1142" w:rsidRDefault="007B1142">
      <w:pPr>
        <w:pStyle w:val="BodyText"/>
        <w:spacing w:after="0"/>
        <w:ind w:left="720"/>
        <w:jc w:val="both"/>
        <w:rPr>
          <w:rFonts w:ascii="Arial" w:hAnsi="Arial" w:cs="Arial"/>
          <w:u w:val="single"/>
        </w:rPr>
      </w:pPr>
    </w:p>
    <w:p w14:paraId="6134FDB1" w14:textId="06C4E170" w:rsidR="007B1142" w:rsidRDefault="00DD5FDE">
      <w:pPr>
        <w:pStyle w:val="BodyText"/>
        <w:spacing w:after="0"/>
        <w:ind w:left="720"/>
        <w:jc w:val="both"/>
      </w:pPr>
      <w:r>
        <w:rPr>
          <w:rFonts w:ascii="Arial" w:hAnsi="Arial" w:cs="Arial"/>
        </w:rPr>
        <w:t>A pesar de lo mencionado, la normativa tributaria se modifica todos los años por parte del Gobierno, generalmente a efectos de aumentar la recaudación para financiar el déficit fiscal del País. Estaremos atentos a la aprobación de nuevas regulaciones tributarias que se emitan hasta fin del 2019 y que puedan tener afectación a la Compañía.</w:t>
      </w:r>
    </w:p>
    <w:p w14:paraId="48F56024" w14:textId="77777777" w:rsidR="007B1142" w:rsidRDefault="007B1142">
      <w:pPr>
        <w:pStyle w:val="BodyText"/>
        <w:spacing w:after="0"/>
        <w:ind w:left="720"/>
        <w:jc w:val="both"/>
        <w:rPr>
          <w:rFonts w:ascii="Arial" w:hAnsi="Arial" w:cs="Arial"/>
        </w:rPr>
      </w:pPr>
    </w:p>
    <w:p w14:paraId="0876340D" w14:textId="77777777" w:rsidR="007B1142" w:rsidRDefault="00DD5FDE">
      <w:pPr>
        <w:pStyle w:val="BodyText"/>
        <w:numPr>
          <w:ilvl w:val="0"/>
          <w:numId w:val="2"/>
        </w:numPr>
        <w:spacing w:after="0"/>
        <w:jc w:val="both"/>
      </w:pPr>
      <w:r>
        <w:rPr>
          <w:rFonts w:ascii="Arial" w:hAnsi="Arial" w:cs="Arial"/>
          <w:u w:val="single"/>
        </w:rPr>
        <w:t>Condiciones económicas generales</w:t>
      </w:r>
      <w:r>
        <w:rPr>
          <w:rFonts w:ascii="Arial" w:hAnsi="Arial" w:cs="Arial"/>
        </w:rPr>
        <w:t xml:space="preserve"> – </w:t>
      </w:r>
    </w:p>
    <w:p w14:paraId="39B78A93" w14:textId="77777777" w:rsidR="007B1142" w:rsidRDefault="007B1142">
      <w:pPr>
        <w:pStyle w:val="BodyText"/>
        <w:spacing w:after="0"/>
        <w:ind w:left="708"/>
        <w:jc w:val="both"/>
        <w:rPr>
          <w:rFonts w:ascii="Arial" w:hAnsi="Arial" w:cs="Arial"/>
        </w:rPr>
      </w:pPr>
    </w:p>
    <w:p w14:paraId="514BF78D" w14:textId="77777777" w:rsidR="007B1142" w:rsidRDefault="00DD5FDE">
      <w:pPr>
        <w:pStyle w:val="BodyText"/>
        <w:spacing w:after="0"/>
        <w:ind w:left="708"/>
        <w:jc w:val="both"/>
      </w:pPr>
      <w:r>
        <w:rPr>
          <w:noProof/>
        </w:rPr>
        <w:lastRenderedPageBreak/>
        <w:drawing>
          <wp:inline distT="0" distB="0" distL="0" distR="0" wp14:anchorId="276B1197" wp14:editId="518EA84B">
            <wp:extent cx="5400040" cy="224790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2"/>
                    <a:stretch>
                      <a:fillRect/>
                    </a:stretch>
                  </pic:blipFill>
                  <pic:spPr bwMode="auto">
                    <a:xfrm>
                      <a:off x="0" y="0"/>
                      <a:ext cx="5400040" cy="2247900"/>
                    </a:xfrm>
                    <a:prstGeom prst="rect">
                      <a:avLst/>
                    </a:prstGeom>
                  </pic:spPr>
                </pic:pic>
              </a:graphicData>
            </a:graphic>
          </wp:inline>
        </w:drawing>
      </w:r>
    </w:p>
    <w:p w14:paraId="6A64C75E" w14:textId="77777777" w:rsidR="007B1142" w:rsidRDefault="00DD5FDE">
      <w:pPr>
        <w:pStyle w:val="BodyText"/>
        <w:spacing w:after="0"/>
        <w:ind w:left="708"/>
        <w:jc w:val="both"/>
      </w:pPr>
      <w:r>
        <w:rPr>
          <w:rFonts w:ascii="Arial" w:hAnsi="Arial" w:cs="Arial"/>
          <w:sz w:val="18"/>
          <w:szCs w:val="18"/>
        </w:rPr>
        <w:t>Indicadores macroeconómicos seleccionados por el FMI: Real hasta 2019, proyección del 2020 en adelante</w:t>
      </w:r>
    </w:p>
    <w:p w14:paraId="3741579C" w14:textId="77777777" w:rsidR="007B1142" w:rsidRDefault="007B1142">
      <w:pPr>
        <w:pStyle w:val="BodyText"/>
        <w:spacing w:after="0"/>
        <w:ind w:left="708"/>
        <w:jc w:val="both"/>
        <w:rPr>
          <w:rFonts w:ascii="Arial" w:hAnsi="Arial" w:cs="Arial"/>
        </w:rPr>
      </w:pPr>
    </w:p>
    <w:p w14:paraId="60CADC2E" w14:textId="57FCE777" w:rsidR="007B1142" w:rsidRDefault="00DD5FDE">
      <w:pPr>
        <w:pStyle w:val="BodyText"/>
        <w:spacing w:after="0"/>
        <w:ind w:left="708"/>
        <w:jc w:val="both"/>
      </w:pPr>
      <w:r>
        <w:rPr>
          <w:rFonts w:ascii="Arial" w:hAnsi="Arial" w:cs="Arial"/>
          <w:i/>
          <w:iCs/>
          <w:u w:val="single"/>
        </w:rPr>
        <w:t>Crecimiento del PIB</w:t>
      </w:r>
      <w:r>
        <w:rPr>
          <w:rFonts w:ascii="Arial" w:hAnsi="Arial" w:cs="Arial"/>
          <w:i/>
          <w:iCs/>
        </w:rPr>
        <w:t xml:space="preserve"> -</w:t>
      </w:r>
      <w:r>
        <w:rPr>
          <w:rFonts w:ascii="Arial" w:hAnsi="Arial" w:cs="Arial"/>
        </w:rPr>
        <w:t xml:space="preserve"> Antes de la pandemia del covid-19 la economía ecuatoriana ya </w:t>
      </w:r>
      <w:r w:rsidR="00845DEA">
        <w:rPr>
          <w:rFonts w:ascii="Arial" w:hAnsi="Arial" w:cs="Arial"/>
        </w:rPr>
        <w:t>tenía</w:t>
      </w:r>
      <w:r>
        <w:rPr>
          <w:rFonts w:ascii="Arial" w:hAnsi="Arial" w:cs="Arial"/>
        </w:rPr>
        <w:t xml:space="preserve"> vulnerabilidades preexistentes, lo que se veía reflejado en estancamiento o poco crecimiento del PIB en los últimos años: 0.1% en 2015, -1.2% en 2016, 2.4% en 2017, 1.3% en 2018 y 0.1% en 2019; con una alta dependencia de las exportaciones de petróleo y de su precio en el mercado internacional. </w:t>
      </w:r>
    </w:p>
    <w:p w14:paraId="616DA8C0" w14:textId="77777777" w:rsidR="007B1142" w:rsidRDefault="007B1142">
      <w:pPr>
        <w:pStyle w:val="BodyText"/>
        <w:spacing w:after="0"/>
        <w:ind w:left="708"/>
        <w:jc w:val="both"/>
        <w:rPr>
          <w:rFonts w:ascii="Arial" w:hAnsi="Arial" w:cs="Arial"/>
        </w:rPr>
      </w:pPr>
    </w:p>
    <w:p w14:paraId="46EFB800" w14:textId="77777777" w:rsidR="007B1142" w:rsidRDefault="00DD5FDE">
      <w:pPr>
        <w:pStyle w:val="BodyText"/>
        <w:spacing w:after="0"/>
        <w:ind w:left="708"/>
        <w:jc w:val="both"/>
      </w:pPr>
      <w:r>
        <w:rPr>
          <w:rFonts w:ascii="Arial" w:hAnsi="Arial" w:cs="Arial"/>
        </w:rPr>
        <w:t>Debido a los efectos económicos de la pandemia el PIB cayó -2.4% y -10% en el primero y segundo trimestres del 2020, respectivamente, aunque esta caída resulta menor que la de otros países latinoamericanos que si cuentan con fondos de emergencia. En el segundo semestre del 2020 se espera una recuperación debido a la recuperación en la producción y precios del petróleo y al relajamiento de las restricciones en la economía. Los especialistas estiman una contracción en la economía entre -7% y -8% a pesar de la última proyección de -11% hecha por el FMI.</w:t>
      </w:r>
    </w:p>
    <w:p w14:paraId="73B90EF1" w14:textId="77777777" w:rsidR="00DA53BE" w:rsidRDefault="00DA53BE">
      <w:pPr>
        <w:pStyle w:val="BodyText"/>
        <w:spacing w:after="0"/>
        <w:ind w:left="708"/>
        <w:jc w:val="both"/>
        <w:rPr>
          <w:rFonts w:ascii="Arial" w:hAnsi="Arial" w:cs="Arial"/>
          <w:u w:val="single"/>
        </w:rPr>
      </w:pPr>
    </w:p>
    <w:p w14:paraId="499F337D" w14:textId="77777777" w:rsidR="007B1142" w:rsidRDefault="00DD5FDE">
      <w:pPr>
        <w:pStyle w:val="BodyText"/>
        <w:spacing w:after="0"/>
        <w:ind w:left="708"/>
        <w:jc w:val="both"/>
      </w:pPr>
      <w:r>
        <w:rPr>
          <w:rFonts w:ascii="Arial" w:hAnsi="Arial" w:cs="Arial"/>
          <w:i/>
          <w:iCs/>
          <w:u w:val="single"/>
        </w:rPr>
        <w:t>COVID-19</w:t>
      </w:r>
      <w:r>
        <w:rPr>
          <w:rFonts w:ascii="Arial" w:hAnsi="Arial" w:cs="Arial"/>
          <w:i/>
          <w:iCs/>
        </w:rPr>
        <w:t xml:space="preserve"> - </w:t>
      </w:r>
      <w:r>
        <w:rPr>
          <w:rFonts w:ascii="Arial" w:hAnsi="Arial" w:cs="Arial"/>
        </w:rPr>
        <w:t>Las autoridades ecuatorianas han emprendido acciones profundas para abordar la situación económica y crisis de salud desencadenada por la pandemia COVID-19; medidas de contención tempranas (cierre de fronteras, espacios públicos y actividades comerciales no criticas) fueron clave para ralentizar y estabilizar la propagación del virus, además de imponer toque de queda nacional; combinando estas medidas de contención de corto plazo con créditos de soporte al sector privado y liquidez para el sistema financiero (créditos a PYMES, bonos a sectores más vulnerables, diferimiento en el pago de créditos) y tomando medidas para la sustentabilidad de las finanzas públicas a largo plazo.</w:t>
      </w:r>
    </w:p>
    <w:p w14:paraId="7B8715F4" w14:textId="77777777" w:rsidR="007B1142" w:rsidRDefault="007B1142">
      <w:pPr>
        <w:pStyle w:val="BodyText"/>
        <w:spacing w:after="0"/>
        <w:ind w:left="708"/>
        <w:jc w:val="both"/>
        <w:rPr>
          <w:rFonts w:ascii="Arial" w:hAnsi="Arial" w:cs="Arial"/>
          <w:u w:val="single"/>
        </w:rPr>
      </w:pPr>
    </w:p>
    <w:p w14:paraId="08621FCA" w14:textId="2FACF601" w:rsidR="007B1142" w:rsidRDefault="00DD5FDE">
      <w:pPr>
        <w:pStyle w:val="BodyText"/>
        <w:spacing w:after="0"/>
        <w:ind w:left="708"/>
        <w:jc w:val="both"/>
      </w:pPr>
      <w:r>
        <w:rPr>
          <w:rFonts w:ascii="Arial" w:hAnsi="Arial" w:cs="Arial"/>
        </w:rPr>
        <w:t xml:space="preserve">Las empresas ecuatorianas tienen una capacidad limitada de adaptación a una situación como esta; por ejemplo, en base a los estados financieros de estas se ha </w:t>
      </w:r>
      <w:r>
        <w:rPr>
          <w:rFonts w:ascii="Arial" w:hAnsi="Arial" w:cs="Arial"/>
        </w:rPr>
        <w:lastRenderedPageBreak/>
        <w:t xml:space="preserve">estimado que podrían resistir hasta 33 días, siendo los sectores </w:t>
      </w:r>
      <w:r w:rsidR="00DA53BE">
        <w:rPr>
          <w:rFonts w:ascii="Arial" w:hAnsi="Arial" w:cs="Arial"/>
        </w:rPr>
        <w:t>más</w:t>
      </w:r>
      <w:r>
        <w:rPr>
          <w:rFonts w:ascii="Arial" w:hAnsi="Arial" w:cs="Arial"/>
        </w:rPr>
        <w:t xml:space="preserve"> afectados: construcción, manufactura, turismo, servicios </w:t>
      </w:r>
    </w:p>
    <w:p w14:paraId="376A3C75" w14:textId="77777777" w:rsidR="007B1142" w:rsidRDefault="007B1142">
      <w:pPr>
        <w:pStyle w:val="BodyText"/>
        <w:spacing w:after="0"/>
        <w:ind w:left="708"/>
        <w:jc w:val="both"/>
        <w:rPr>
          <w:rFonts w:ascii="Arial" w:hAnsi="Arial" w:cs="Arial"/>
          <w:u w:val="single"/>
        </w:rPr>
      </w:pPr>
    </w:p>
    <w:p w14:paraId="019E3790" w14:textId="77777777" w:rsidR="007B1142" w:rsidRDefault="00DD5FDE">
      <w:pPr>
        <w:pStyle w:val="BodyText"/>
        <w:spacing w:after="0"/>
        <w:ind w:left="708"/>
        <w:jc w:val="both"/>
      </w:pPr>
      <w:r>
        <w:rPr>
          <w:rFonts w:ascii="Arial" w:hAnsi="Arial" w:cs="Arial"/>
        </w:rPr>
        <w:t>A septiembre del 2020 Ecuador mantiene una tasa de aproximadamente 10 nuevos contagios por cada 100,000 habitantes, por debajo de economías como EE. UU., Colombia, México, Brasil, Chile y Perú.</w:t>
      </w:r>
    </w:p>
    <w:p w14:paraId="2DC647BC" w14:textId="77777777" w:rsidR="007B1142" w:rsidRDefault="007B1142">
      <w:pPr>
        <w:pStyle w:val="BodyText"/>
        <w:spacing w:after="0"/>
        <w:ind w:left="708"/>
        <w:jc w:val="both"/>
        <w:rPr>
          <w:rFonts w:ascii="Arial" w:hAnsi="Arial" w:cs="Arial"/>
        </w:rPr>
      </w:pPr>
    </w:p>
    <w:p w14:paraId="2ABAC886" w14:textId="77777777" w:rsidR="007B1142" w:rsidRDefault="00DD5FDE">
      <w:pPr>
        <w:pStyle w:val="BodyText"/>
        <w:spacing w:after="0"/>
        <w:ind w:left="708"/>
        <w:jc w:val="both"/>
      </w:pPr>
      <w:r>
        <w:rPr>
          <w:noProof/>
        </w:rPr>
        <w:drawing>
          <wp:inline distT="0" distB="635" distL="0" distR="0" wp14:anchorId="68DB284D" wp14:editId="2440A14C">
            <wp:extent cx="5400040" cy="2847975"/>
            <wp:effectExtent l="0" t="0" r="0" b="952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3"/>
                    <a:stretch>
                      <a:fillRect/>
                    </a:stretch>
                  </pic:blipFill>
                  <pic:spPr bwMode="auto">
                    <a:xfrm>
                      <a:off x="0" y="0"/>
                      <a:ext cx="5400040" cy="2847975"/>
                    </a:xfrm>
                    <a:prstGeom prst="rect">
                      <a:avLst/>
                    </a:prstGeom>
                  </pic:spPr>
                </pic:pic>
              </a:graphicData>
            </a:graphic>
          </wp:inline>
        </w:drawing>
      </w:r>
    </w:p>
    <w:p w14:paraId="072A6336" w14:textId="77777777" w:rsidR="00DA53BE" w:rsidRDefault="00DA53BE">
      <w:pPr>
        <w:pStyle w:val="BodyText"/>
        <w:spacing w:after="0"/>
        <w:ind w:left="708"/>
        <w:jc w:val="both"/>
        <w:rPr>
          <w:rFonts w:ascii="Arial" w:hAnsi="Arial" w:cs="Arial"/>
          <w:i/>
          <w:iCs/>
          <w:u w:val="single"/>
        </w:rPr>
      </w:pPr>
    </w:p>
    <w:p w14:paraId="7F1E4313" w14:textId="5324219A" w:rsidR="007B1142" w:rsidRDefault="00DD5FDE">
      <w:pPr>
        <w:pStyle w:val="BodyText"/>
        <w:spacing w:after="0"/>
        <w:ind w:left="708"/>
        <w:jc w:val="both"/>
      </w:pPr>
      <w:r>
        <w:rPr>
          <w:rFonts w:ascii="Arial" w:hAnsi="Arial" w:cs="Arial"/>
          <w:i/>
          <w:iCs/>
          <w:u w:val="single"/>
        </w:rPr>
        <w:t>Niveles de Empleo</w:t>
      </w:r>
      <w:r>
        <w:rPr>
          <w:rFonts w:ascii="Arial" w:hAnsi="Arial" w:cs="Arial"/>
          <w:i/>
          <w:iCs/>
        </w:rPr>
        <w:t xml:space="preserve"> – </w:t>
      </w:r>
      <w:r>
        <w:rPr>
          <w:rFonts w:ascii="Arial" w:hAnsi="Arial" w:cs="Arial"/>
        </w:rPr>
        <w:t xml:space="preserve">Tanto las empresas privadas, así como el sector gubernamental se han visto obligados a prescindir de trabajadores debido a la inactividad económica durante la pandemia. Según la información de </w:t>
      </w:r>
      <w:r w:rsidR="00DA53BE">
        <w:rPr>
          <w:rFonts w:ascii="Arial" w:hAnsi="Arial" w:cs="Arial"/>
        </w:rPr>
        <w:t>número</w:t>
      </w:r>
      <w:r>
        <w:rPr>
          <w:rFonts w:ascii="Arial" w:hAnsi="Arial" w:cs="Arial"/>
        </w:rPr>
        <w:t xml:space="preserve"> de afiliados al IESS, de marzo a agosto del 2020 el empleo formal se ha reducido en 300,000 personas, principalmente en el sector privado.</w:t>
      </w:r>
    </w:p>
    <w:p w14:paraId="47002025" w14:textId="77777777" w:rsidR="007B1142" w:rsidRDefault="007B1142">
      <w:pPr>
        <w:pStyle w:val="BodyText"/>
        <w:spacing w:after="0"/>
        <w:ind w:left="708"/>
        <w:jc w:val="both"/>
        <w:rPr>
          <w:rFonts w:ascii="Arial" w:hAnsi="Arial" w:cs="Arial"/>
          <w:u w:val="single"/>
        </w:rPr>
      </w:pPr>
    </w:p>
    <w:p w14:paraId="6ADE092D" w14:textId="77777777" w:rsidR="007B1142" w:rsidRDefault="00DD5FDE">
      <w:pPr>
        <w:pStyle w:val="BodyText"/>
        <w:spacing w:after="0"/>
        <w:ind w:left="708"/>
        <w:jc w:val="both"/>
      </w:pPr>
      <w:r>
        <w:rPr>
          <w:noProof/>
        </w:rPr>
        <w:drawing>
          <wp:inline distT="0" distB="0" distL="0" distR="0" wp14:anchorId="0B1213B4" wp14:editId="4F8A8FF8">
            <wp:extent cx="4914900" cy="23622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4"/>
                    <a:stretch>
                      <a:fillRect/>
                    </a:stretch>
                  </pic:blipFill>
                  <pic:spPr bwMode="auto">
                    <a:xfrm>
                      <a:off x="0" y="0"/>
                      <a:ext cx="4914900" cy="2362200"/>
                    </a:xfrm>
                    <a:prstGeom prst="rect">
                      <a:avLst/>
                    </a:prstGeom>
                  </pic:spPr>
                </pic:pic>
              </a:graphicData>
            </a:graphic>
          </wp:inline>
        </w:drawing>
      </w:r>
    </w:p>
    <w:p w14:paraId="6312E61A" w14:textId="77777777" w:rsidR="007B1142" w:rsidRDefault="007B1142">
      <w:pPr>
        <w:pStyle w:val="BodyText"/>
        <w:spacing w:after="0"/>
        <w:ind w:left="708"/>
        <w:jc w:val="both"/>
        <w:rPr>
          <w:rFonts w:ascii="Arial" w:hAnsi="Arial" w:cs="Arial"/>
          <w:u w:val="single"/>
        </w:rPr>
      </w:pPr>
    </w:p>
    <w:p w14:paraId="67125CDE" w14:textId="77777777" w:rsidR="007B1142" w:rsidRDefault="00DD5FDE">
      <w:pPr>
        <w:pStyle w:val="BodyText"/>
        <w:spacing w:after="0"/>
        <w:ind w:left="708"/>
        <w:jc w:val="both"/>
      </w:pPr>
      <w:r>
        <w:rPr>
          <w:rFonts w:ascii="Arial" w:hAnsi="Arial" w:cs="Arial"/>
        </w:rPr>
        <w:lastRenderedPageBreak/>
        <w:t>Las leyes laborales vigentes son poco flexibles y el desgaste del gobierno, baja popularidad del presidente Moreno y la fragmentación política en la Asamblea Nacional impiden que se implementen reformas laborales para facilitar nuevas formas de contratación.</w:t>
      </w:r>
    </w:p>
    <w:p w14:paraId="4681A04B" w14:textId="77777777" w:rsidR="007B1142" w:rsidRDefault="007B1142">
      <w:pPr>
        <w:pStyle w:val="BodyText"/>
        <w:spacing w:after="0"/>
        <w:ind w:left="708"/>
        <w:jc w:val="both"/>
        <w:rPr>
          <w:rFonts w:ascii="Arial" w:hAnsi="Arial" w:cs="Arial"/>
          <w:u w:val="single"/>
        </w:rPr>
      </w:pPr>
    </w:p>
    <w:p w14:paraId="75EF2972" w14:textId="5FA81AFF" w:rsidR="007B1142" w:rsidRDefault="00DD5FDE">
      <w:pPr>
        <w:pStyle w:val="BodyText"/>
        <w:spacing w:after="0"/>
        <w:ind w:left="708"/>
        <w:jc w:val="both"/>
      </w:pPr>
      <w:r>
        <w:rPr>
          <w:rFonts w:ascii="Arial" w:hAnsi="Arial" w:cs="Arial"/>
          <w:i/>
          <w:iCs/>
          <w:u w:val="single"/>
        </w:rPr>
        <w:t>Gasto Público y Endeudamiento</w:t>
      </w:r>
      <w:r>
        <w:rPr>
          <w:rFonts w:ascii="Arial" w:hAnsi="Arial" w:cs="Arial"/>
          <w:i/>
          <w:iCs/>
        </w:rPr>
        <w:t xml:space="preserve"> -</w:t>
      </w:r>
      <w:r>
        <w:rPr>
          <w:rFonts w:ascii="Arial" w:hAnsi="Arial" w:cs="Arial"/>
        </w:rPr>
        <w:t xml:space="preserve"> El gasto público ha venido creciendo en base a endeudamiento externo y ha subido de US$20,084 millones en 2015 (20% del PIB) a US$35,541 millones en 2018 (33% del PIB) y US$55,336 millones en 2019 (52% del PIB) incluyendo, en el año 2019, un cambio en la metodología para contabilizar la deuda externa pública que aparentemente estaba subvaluada por el anterior gobierno debido al </w:t>
      </w:r>
      <w:r w:rsidR="00DA53BE">
        <w:rPr>
          <w:rFonts w:ascii="Arial" w:hAnsi="Arial" w:cs="Arial"/>
        </w:rPr>
        <w:t>límite</w:t>
      </w:r>
      <w:r>
        <w:rPr>
          <w:rFonts w:ascii="Arial" w:hAnsi="Arial" w:cs="Arial"/>
        </w:rPr>
        <w:t xml:space="preserve"> de 40% en la relación deuda/PIB que establece la constitución.</w:t>
      </w:r>
    </w:p>
    <w:p w14:paraId="7315F033" w14:textId="1EA23519" w:rsidR="007B1142" w:rsidRDefault="007B1142">
      <w:pPr>
        <w:pStyle w:val="BodyText"/>
        <w:spacing w:after="0"/>
        <w:ind w:left="708"/>
        <w:jc w:val="both"/>
        <w:rPr>
          <w:rFonts w:ascii="Arial" w:hAnsi="Arial" w:cs="Arial"/>
        </w:rPr>
      </w:pPr>
    </w:p>
    <w:p w14:paraId="4FDBC3E4" w14:textId="12BBFB6A" w:rsidR="00766C40" w:rsidRDefault="00766C40">
      <w:pPr>
        <w:pStyle w:val="BodyText"/>
        <w:spacing w:after="0"/>
        <w:ind w:left="708"/>
        <w:jc w:val="both"/>
        <w:rPr>
          <w:rFonts w:ascii="Arial" w:hAnsi="Arial" w:cs="Arial"/>
        </w:rPr>
      </w:pPr>
      <w:r>
        <w:rPr>
          <w:noProof/>
        </w:rPr>
        <w:drawing>
          <wp:inline distT="0" distB="0" distL="0" distR="0" wp14:anchorId="4D384A5F" wp14:editId="59BC99E0">
            <wp:extent cx="5153025" cy="2828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025" cy="2828925"/>
                    </a:xfrm>
                    <a:prstGeom prst="rect">
                      <a:avLst/>
                    </a:prstGeom>
                    <a:noFill/>
                    <a:ln>
                      <a:noFill/>
                    </a:ln>
                  </pic:spPr>
                </pic:pic>
              </a:graphicData>
            </a:graphic>
          </wp:inline>
        </w:drawing>
      </w:r>
    </w:p>
    <w:p w14:paraId="678C4750" w14:textId="77777777" w:rsidR="00766C40" w:rsidRDefault="00766C40">
      <w:pPr>
        <w:pStyle w:val="BodyText"/>
        <w:spacing w:after="0"/>
        <w:ind w:left="708"/>
        <w:jc w:val="both"/>
        <w:rPr>
          <w:rFonts w:ascii="Arial" w:hAnsi="Arial" w:cs="Arial"/>
        </w:rPr>
      </w:pPr>
    </w:p>
    <w:p w14:paraId="2BACC30C" w14:textId="77777777" w:rsidR="007B1142" w:rsidRDefault="00DD5FDE">
      <w:pPr>
        <w:pStyle w:val="BodyText"/>
        <w:spacing w:after="0"/>
        <w:ind w:left="708"/>
        <w:jc w:val="both"/>
      </w:pPr>
      <w:r>
        <w:rPr>
          <w:rFonts w:ascii="Arial" w:hAnsi="Arial" w:cs="Arial"/>
        </w:rPr>
        <w:t>En el IIIQ 2019 las autoridades económicas lograron completar el canje de bonos globales de Ecuador por US$17,400 millones a efectos de alcanzar un índice de deuda/PIB de 55% y 45% en 2025 y 2030, respectivamente; los nuevos bonos extienden el vencimiento promedio de la deuda ecuatoriana en 10 años, hasta el 2040, con tasas de aproximadamente la mitad de los bonos canjeados, e iniciando los pagos de capital en 2026, obteniendo un alivio momentáneo en la caja fiscal. Así también se logró la extensión de una facilidad crediticia por parte del FMI por US$6,500 millones para mitigar los efectos de la crisis de salud y restaurar la estabilidad macroeconómica.</w:t>
      </w:r>
    </w:p>
    <w:p w14:paraId="1DC37A34" w14:textId="77777777" w:rsidR="007B1142" w:rsidRDefault="007B1142">
      <w:pPr>
        <w:pStyle w:val="BodyText"/>
        <w:spacing w:after="0"/>
        <w:ind w:left="708"/>
        <w:jc w:val="both"/>
        <w:rPr>
          <w:rFonts w:ascii="Arial" w:hAnsi="Arial" w:cs="Arial"/>
        </w:rPr>
      </w:pPr>
    </w:p>
    <w:p w14:paraId="6F33E45F" w14:textId="77777777" w:rsidR="007B1142" w:rsidRDefault="00DD5FDE">
      <w:pPr>
        <w:pStyle w:val="BodyText"/>
        <w:spacing w:after="0"/>
        <w:ind w:left="708"/>
        <w:jc w:val="both"/>
      </w:pPr>
      <w:r>
        <w:rPr>
          <w:noProof/>
        </w:rPr>
        <w:lastRenderedPageBreak/>
        <w:drawing>
          <wp:inline distT="0" distB="0" distL="0" distR="0" wp14:anchorId="11C2040C" wp14:editId="5B2209DD">
            <wp:extent cx="5400040" cy="165735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6"/>
                    <a:stretch>
                      <a:fillRect/>
                    </a:stretch>
                  </pic:blipFill>
                  <pic:spPr bwMode="auto">
                    <a:xfrm>
                      <a:off x="0" y="0"/>
                      <a:ext cx="5400040" cy="1657350"/>
                    </a:xfrm>
                    <a:prstGeom prst="rect">
                      <a:avLst/>
                    </a:prstGeom>
                  </pic:spPr>
                </pic:pic>
              </a:graphicData>
            </a:graphic>
          </wp:inline>
        </w:drawing>
      </w:r>
    </w:p>
    <w:p w14:paraId="34CCF54B" w14:textId="77777777" w:rsidR="007B1142" w:rsidRDefault="007B1142">
      <w:pPr>
        <w:pStyle w:val="BodyText"/>
        <w:spacing w:after="0"/>
        <w:ind w:left="708"/>
        <w:jc w:val="both"/>
        <w:rPr>
          <w:rFonts w:ascii="Arial" w:hAnsi="Arial" w:cs="Arial"/>
        </w:rPr>
      </w:pPr>
    </w:p>
    <w:p w14:paraId="35EAFD90" w14:textId="77777777" w:rsidR="007B1142" w:rsidRDefault="00DD5FDE">
      <w:pPr>
        <w:pStyle w:val="BodyText"/>
        <w:spacing w:after="0"/>
        <w:ind w:left="708"/>
        <w:jc w:val="both"/>
      </w:pPr>
      <w:r>
        <w:rPr>
          <w:rFonts w:ascii="Arial" w:hAnsi="Arial" w:cs="Arial"/>
          <w:i/>
          <w:iCs/>
          <w:u w:val="single"/>
        </w:rPr>
        <w:t>Nivel de Precios</w:t>
      </w:r>
      <w:r>
        <w:rPr>
          <w:rFonts w:ascii="Arial" w:hAnsi="Arial" w:cs="Arial"/>
          <w:i/>
          <w:iCs/>
        </w:rPr>
        <w:t xml:space="preserve"> - </w:t>
      </w:r>
      <w:r>
        <w:rPr>
          <w:rFonts w:ascii="Arial" w:hAnsi="Arial" w:cs="Arial"/>
        </w:rPr>
        <w:t xml:space="preserve">Al encontrarse dolarizada la economía no es factible emitir moneda para financiar los déficits públicos y la productividad del sector privado no crece lo suficiente para compensar el menor precio del petróleo. Los precios en dólares se mantienen constantes e incluso se reducen debido a la competencia y por el efecto de promociones y bonificaciones (descuentos) para mantener o incrementar las ventas. </w:t>
      </w:r>
    </w:p>
    <w:p w14:paraId="130E4373" w14:textId="77777777" w:rsidR="007B1142" w:rsidRDefault="007B1142">
      <w:pPr>
        <w:pStyle w:val="BodyText"/>
        <w:spacing w:after="0"/>
        <w:ind w:left="708"/>
        <w:jc w:val="both"/>
        <w:rPr>
          <w:rFonts w:ascii="Arial" w:hAnsi="Arial" w:cs="Arial"/>
        </w:rPr>
      </w:pPr>
    </w:p>
    <w:p w14:paraId="253E46DB" w14:textId="77777777" w:rsidR="007B1142" w:rsidRDefault="00DD5FDE">
      <w:pPr>
        <w:pStyle w:val="BodyText"/>
        <w:spacing w:after="0"/>
        <w:ind w:left="708"/>
        <w:jc w:val="both"/>
      </w:pPr>
      <w:r>
        <w:rPr>
          <w:rFonts w:ascii="Arial" w:hAnsi="Arial" w:cs="Arial"/>
        </w:rPr>
        <w:t xml:space="preserve">La inflación promedio de los tres últimos años es 0.4% (2017), -0.2% (2018), y   -0.07% en el 2019; no se espera que existe incremento del nivel general de precios en el año 2020: 0.00% (productos que conforman la canasta básica) </w:t>
      </w:r>
    </w:p>
    <w:p w14:paraId="6130FC40" w14:textId="77777777" w:rsidR="007B1142" w:rsidRDefault="007B1142">
      <w:pPr>
        <w:pStyle w:val="BodyText"/>
        <w:spacing w:after="0"/>
        <w:ind w:left="708"/>
        <w:jc w:val="both"/>
        <w:rPr>
          <w:rFonts w:ascii="Arial" w:hAnsi="Arial" w:cs="Arial"/>
        </w:rPr>
      </w:pPr>
    </w:p>
    <w:p w14:paraId="2F4A0209" w14:textId="77777777" w:rsidR="007B1142" w:rsidRDefault="00DD5FDE">
      <w:pPr>
        <w:pStyle w:val="BodyText"/>
        <w:spacing w:after="0"/>
        <w:ind w:left="708"/>
        <w:jc w:val="both"/>
      </w:pPr>
      <w:r>
        <w:rPr>
          <w:rFonts w:ascii="Arial" w:hAnsi="Arial" w:cs="Arial"/>
          <w:i/>
          <w:iCs/>
          <w:u w:val="single"/>
        </w:rPr>
        <w:t>Riesgo País</w:t>
      </w:r>
      <w:r>
        <w:rPr>
          <w:rFonts w:ascii="Arial" w:hAnsi="Arial" w:cs="Arial"/>
        </w:rPr>
        <w:t xml:space="preserve"> - A partir de la renegociación de los bonos de la deuda externa pública en agosto del 2020 y el acuerdo para una nueva facilidad crediticia con el FMI el riesgo país de Ecuador viene bajando desde un pico de 6,063 puntos en marzo de este año a 952 puntos en septiembre 2020</w:t>
      </w:r>
    </w:p>
    <w:p w14:paraId="453CE47E" w14:textId="77777777" w:rsidR="007B1142" w:rsidRDefault="007B1142">
      <w:pPr>
        <w:pStyle w:val="BodyText"/>
        <w:spacing w:after="0"/>
        <w:jc w:val="both"/>
        <w:rPr>
          <w:rFonts w:ascii="Arial" w:hAnsi="Arial" w:cs="Arial"/>
        </w:rPr>
      </w:pPr>
    </w:p>
    <w:p w14:paraId="4C168BB7" w14:textId="77777777" w:rsidR="007B1142" w:rsidRDefault="00DD5FDE">
      <w:pPr>
        <w:pStyle w:val="BodyText"/>
        <w:spacing w:after="0"/>
        <w:jc w:val="both"/>
      </w:pPr>
      <w:r>
        <w:rPr>
          <w:rFonts w:ascii="Arial" w:hAnsi="Arial" w:cs="Arial"/>
          <w:b/>
          <w:bCs/>
          <w:color w:val="1F497D" w:themeColor="text2"/>
        </w:rPr>
        <w:t>III OBJETIVOS, ESTRATEGIAS Y RIESGOS DEL NEGOCIO</w:t>
      </w:r>
    </w:p>
    <w:p w14:paraId="17FAD26F" w14:textId="77777777" w:rsidR="007B1142" w:rsidRDefault="007B1142">
      <w:pPr>
        <w:pStyle w:val="BodyText"/>
        <w:spacing w:after="0"/>
        <w:jc w:val="both"/>
        <w:rPr>
          <w:rFonts w:ascii="Arial" w:hAnsi="Arial" w:cs="Arial"/>
        </w:rPr>
      </w:pPr>
    </w:p>
    <w:p w14:paraId="0C67B5D5" w14:textId="6E13F0B2" w:rsidR="007B1142" w:rsidRDefault="00DD5FDE">
      <w:pPr>
        <w:pStyle w:val="BodyText"/>
        <w:spacing w:after="0"/>
        <w:jc w:val="both"/>
      </w:pPr>
      <w:r>
        <w:rPr>
          <w:rFonts w:ascii="Arial" w:hAnsi="Arial" w:cs="Arial"/>
        </w:rPr>
        <w:t xml:space="preserve">Linkotel S.A. al contar con un nivel de ingreso fijo por venta de servicios </w:t>
      </w:r>
      <w:r w:rsidR="00DA53BE">
        <w:rPr>
          <w:rFonts w:ascii="Arial" w:hAnsi="Arial" w:cs="Arial"/>
        </w:rPr>
        <w:t>(6</w:t>
      </w:r>
      <w:r>
        <w:rPr>
          <w:rFonts w:ascii="Arial" w:hAnsi="Arial" w:cs="Arial"/>
        </w:rPr>
        <w:t xml:space="preserve">% del total de </w:t>
      </w:r>
      <w:r w:rsidR="00DA53BE">
        <w:rPr>
          <w:rFonts w:ascii="Arial" w:hAnsi="Arial" w:cs="Arial"/>
        </w:rPr>
        <w:t>ingresos)</w:t>
      </w:r>
      <w:r>
        <w:rPr>
          <w:rFonts w:ascii="Arial" w:hAnsi="Arial" w:cs="Arial"/>
        </w:rPr>
        <w:t xml:space="preserve">, tener un margen de gastos que supera por 7 dichos valores de ingresos por actividades, este nivel de endeudamiento no puede ser permitido debido a que el resto de </w:t>
      </w:r>
      <w:r w:rsidR="00766C40">
        <w:rPr>
          <w:rFonts w:ascii="Arial" w:hAnsi="Arial" w:cs="Arial"/>
        </w:rPr>
        <w:t>los ingresos</w:t>
      </w:r>
      <w:r>
        <w:rPr>
          <w:rFonts w:ascii="Arial" w:hAnsi="Arial" w:cs="Arial"/>
        </w:rPr>
        <w:t xml:space="preserve"> (94%) restantes, son ingresos que se obtienen mediante trabajos con entidades relacionadas.</w:t>
      </w:r>
    </w:p>
    <w:p w14:paraId="01B76720" w14:textId="77777777" w:rsidR="007B1142" w:rsidRDefault="007B1142">
      <w:pPr>
        <w:pStyle w:val="BodyText"/>
        <w:spacing w:after="0"/>
        <w:jc w:val="both"/>
        <w:rPr>
          <w:rFonts w:ascii="Arial" w:hAnsi="Arial" w:cs="Arial"/>
        </w:rPr>
      </w:pPr>
    </w:p>
    <w:p w14:paraId="73FBF9AF" w14:textId="77777777" w:rsidR="007B1142" w:rsidRDefault="00DD5FDE">
      <w:pPr>
        <w:pStyle w:val="BodyText"/>
        <w:spacing w:after="0"/>
        <w:jc w:val="both"/>
      </w:pPr>
      <w:r>
        <w:rPr>
          <w:rFonts w:ascii="Arial" w:hAnsi="Arial" w:cs="Arial"/>
        </w:rPr>
        <w:t>Según lo observado en la revisión de los documentos de trabajo se pudo apreciar los siguientes puntos:</w:t>
      </w:r>
    </w:p>
    <w:p w14:paraId="24A69E39" w14:textId="77777777" w:rsidR="007B1142" w:rsidRDefault="007B1142">
      <w:pPr>
        <w:pStyle w:val="BodyText"/>
        <w:spacing w:after="0"/>
        <w:jc w:val="both"/>
        <w:rPr>
          <w:rFonts w:ascii="Arial" w:hAnsi="Arial" w:cs="Arial"/>
        </w:rPr>
      </w:pPr>
    </w:p>
    <w:p w14:paraId="2710ADA0" w14:textId="77777777" w:rsidR="007B1142" w:rsidRDefault="00DD5FDE">
      <w:pPr>
        <w:pStyle w:val="BodyText"/>
        <w:numPr>
          <w:ilvl w:val="0"/>
          <w:numId w:val="4"/>
        </w:numPr>
        <w:spacing w:after="0"/>
        <w:jc w:val="both"/>
      </w:pPr>
      <w:r>
        <w:rPr>
          <w:rFonts w:ascii="Arial" w:hAnsi="Arial" w:cs="Arial"/>
        </w:rPr>
        <w:t>impulsar campañas de Marketing, para fomentar la captación de nuevos clientes.</w:t>
      </w:r>
    </w:p>
    <w:p w14:paraId="45E1A073" w14:textId="77777777" w:rsidR="007B1142" w:rsidRDefault="00DD5FDE">
      <w:pPr>
        <w:pStyle w:val="BodyText"/>
        <w:numPr>
          <w:ilvl w:val="0"/>
          <w:numId w:val="4"/>
        </w:numPr>
        <w:spacing w:after="0"/>
        <w:jc w:val="both"/>
      </w:pPr>
      <w:r>
        <w:rPr>
          <w:rFonts w:ascii="Arial" w:hAnsi="Arial" w:cs="Arial"/>
        </w:rPr>
        <w:t xml:space="preserve">Fomentar el ingreso por servicios que provee la empresa y no depender tanto de las ventas a las compañías relacionadas, dado que a las mismas se </w:t>
      </w:r>
      <w:proofErr w:type="gramStart"/>
      <w:r>
        <w:rPr>
          <w:rFonts w:ascii="Arial" w:hAnsi="Arial" w:cs="Arial"/>
        </w:rPr>
        <w:t>les</w:t>
      </w:r>
      <w:proofErr w:type="gramEnd"/>
      <w:r>
        <w:rPr>
          <w:rFonts w:ascii="Arial" w:hAnsi="Arial" w:cs="Arial"/>
        </w:rPr>
        <w:t xml:space="preserve"> provee un crédito a mayor plazo sin retribución alguna por dichos plazos.</w:t>
      </w:r>
    </w:p>
    <w:p w14:paraId="7BD546FF" w14:textId="699BBC89" w:rsidR="007B1142" w:rsidRDefault="00DD5FDE">
      <w:pPr>
        <w:pStyle w:val="BodyText"/>
        <w:numPr>
          <w:ilvl w:val="0"/>
          <w:numId w:val="4"/>
        </w:numPr>
        <w:spacing w:after="0"/>
        <w:jc w:val="both"/>
      </w:pPr>
      <w:r>
        <w:rPr>
          <w:rFonts w:ascii="Arial" w:hAnsi="Arial" w:cs="Arial"/>
        </w:rPr>
        <w:t xml:space="preserve">Fomentar servicios adicionales, y no centrarse solo en proveer llamadas de voz </w:t>
      </w:r>
      <w:proofErr w:type="spellStart"/>
      <w:r>
        <w:rPr>
          <w:rFonts w:ascii="Arial" w:hAnsi="Arial" w:cs="Arial"/>
        </w:rPr>
        <w:t>ip</w:t>
      </w:r>
      <w:proofErr w:type="spellEnd"/>
      <w:r>
        <w:rPr>
          <w:rFonts w:ascii="Arial" w:hAnsi="Arial" w:cs="Arial"/>
        </w:rPr>
        <w:t xml:space="preserve">, </w:t>
      </w:r>
      <w:r w:rsidR="00DA53BE">
        <w:rPr>
          <w:rFonts w:ascii="Arial" w:hAnsi="Arial" w:cs="Arial"/>
        </w:rPr>
        <w:t>también</w:t>
      </w:r>
      <w:r>
        <w:rPr>
          <w:rFonts w:ascii="Arial" w:hAnsi="Arial" w:cs="Arial"/>
        </w:rPr>
        <w:t xml:space="preserve"> se puede proveer de servicios de internet, entre otros.</w:t>
      </w:r>
    </w:p>
    <w:p w14:paraId="4011A211" w14:textId="77777777" w:rsidR="007B1142" w:rsidRDefault="00DD5FDE">
      <w:pPr>
        <w:pStyle w:val="BodyText"/>
        <w:numPr>
          <w:ilvl w:val="0"/>
          <w:numId w:val="4"/>
        </w:numPr>
        <w:spacing w:after="0"/>
        <w:jc w:val="both"/>
      </w:pPr>
      <w:r>
        <w:rPr>
          <w:rFonts w:ascii="Arial" w:hAnsi="Arial" w:cs="Arial"/>
        </w:rPr>
        <w:lastRenderedPageBreak/>
        <w:t>Recuperarse de las pérdidas de años pasados y lograr, en el 2020, llegar por lo menos al punto de equilibrio.</w:t>
      </w:r>
    </w:p>
    <w:p w14:paraId="7F8342B5" w14:textId="77777777" w:rsidR="007B1142" w:rsidRDefault="00DD5FDE">
      <w:pPr>
        <w:pStyle w:val="BodyText"/>
        <w:numPr>
          <w:ilvl w:val="0"/>
          <w:numId w:val="4"/>
        </w:numPr>
        <w:spacing w:after="0"/>
        <w:jc w:val="both"/>
      </w:pPr>
      <w:r>
        <w:rPr>
          <w:rFonts w:ascii="Arial" w:hAnsi="Arial" w:cs="Arial"/>
        </w:rPr>
        <w:t>Debido a las condiciones del mercado, el crecimiento de Linkotel S.A. a efectos de recuperarse de las pérdidas acumuladas requerirá más financiamiento, ya sea de parte de los Accionistas o con Bancos y, estos últimos, pudieran no estar dispuesto a conceder préstamos en vista de los malos resultados de los últimos años.</w:t>
      </w:r>
    </w:p>
    <w:p w14:paraId="69A32678" w14:textId="77777777" w:rsidR="007B1142" w:rsidRDefault="007B1142">
      <w:pPr>
        <w:pStyle w:val="BodyText"/>
        <w:spacing w:after="0"/>
        <w:jc w:val="both"/>
        <w:rPr>
          <w:rFonts w:ascii="Arial" w:hAnsi="Arial" w:cs="Arial"/>
        </w:rPr>
      </w:pPr>
    </w:p>
    <w:p w14:paraId="3307A83B" w14:textId="77777777" w:rsidR="007B1142" w:rsidRDefault="007B1142">
      <w:pPr>
        <w:pStyle w:val="BodyText"/>
        <w:spacing w:after="0"/>
        <w:jc w:val="both"/>
        <w:rPr>
          <w:rFonts w:ascii="Arial" w:hAnsi="Arial" w:cs="Arial"/>
          <w:b/>
          <w:bCs/>
          <w:color w:val="1F497D" w:themeColor="text2"/>
        </w:rPr>
      </w:pPr>
    </w:p>
    <w:p w14:paraId="47CDA2B8" w14:textId="77777777" w:rsidR="007B1142" w:rsidRDefault="007B1142">
      <w:pPr>
        <w:pStyle w:val="BodyText"/>
        <w:spacing w:after="0"/>
        <w:jc w:val="both"/>
        <w:rPr>
          <w:rFonts w:ascii="Arial" w:hAnsi="Arial" w:cs="Arial"/>
        </w:rPr>
      </w:pPr>
    </w:p>
    <w:p w14:paraId="36E84B08" w14:textId="77777777" w:rsidR="007B1142" w:rsidRDefault="00DD5FDE">
      <w:pPr>
        <w:pStyle w:val="BodyText"/>
        <w:spacing w:after="0"/>
        <w:jc w:val="both"/>
        <w:rPr>
          <w:rFonts w:ascii="Arial" w:hAnsi="Arial" w:cs="Arial"/>
        </w:rPr>
      </w:pPr>
      <w:r>
        <w:rPr>
          <w:rFonts w:ascii="Arial" w:hAnsi="Arial" w:cs="Arial"/>
        </w:rPr>
        <w:t>Preparado por: Carlos G. Almeida (Socio)</w:t>
      </w:r>
    </w:p>
    <w:p w14:paraId="089331C0" w14:textId="77777777" w:rsidR="007B1142" w:rsidRDefault="00DD5FDE">
      <w:pPr>
        <w:pStyle w:val="BodyText"/>
        <w:spacing w:after="0"/>
        <w:jc w:val="both"/>
      </w:pPr>
      <w:r>
        <w:rPr>
          <w:rFonts w:ascii="Arial" w:hAnsi="Arial" w:cs="Arial"/>
        </w:rPr>
        <w:t xml:space="preserve">Fecha: </w:t>
      </w:r>
    </w:p>
    <w:p w14:paraId="11E83CF0" w14:textId="77777777" w:rsidR="007B1142" w:rsidRDefault="007B1142">
      <w:pPr>
        <w:pStyle w:val="BodyText"/>
        <w:spacing w:after="0"/>
        <w:jc w:val="both"/>
      </w:pPr>
    </w:p>
    <w:sectPr w:rsidR="007B1142">
      <w:headerReference w:type="default" r:id="rId17"/>
      <w:pgSz w:w="12240" w:h="15840"/>
      <w:pgMar w:top="1417" w:right="1701" w:bottom="1417" w:left="1701"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3BBA9" w14:textId="77777777" w:rsidR="002352C6" w:rsidRDefault="002352C6">
      <w:pPr>
        <w:spacing w:after="0" w:line="240" w:lineRule="auto"/>
      </w:pPr>
      <w:r>
        <w:separator/>
      </w:r>
    </w:p>
  </w:endnote>
  <w:endnote w:type="continuationSeparator" w:id="0">
    <w:p w14:paraId="00E45BB1" w14:textId="77777777" w:rsidR="002352C6" w:rsidRDefault="00235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1047B" w14:textId="77777777" w:rsidR="002352C6" w:rsidRDefault="002352C6">
      <w:pPr>
        <w:spacing w:after="0" w:line="240" w:lineRule="auto"/>
      </w:pPr>
      <w:r>
        <w:separator/>
      </w:r>
    </w:p>
  </w:footnote>
  <w:footnote w:type="continuationSeparator" w:id="0">
    <w:p w14:paraId="1D6BEFF8" w14:textId="77777777" w:rsidR="002352C6" w:rsidRDefault="002352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91F50" w14:textId="77777777" w:rsidR="007B1142" w:rsidRDefault="00DD5FDE">
    <w:pPr>
      <w:pStyle w:val="Header"/>
    </w:pPr>
    <w:r>
      <w:rPr>
        <w:b/>
        <w:bCs/>
        <w:u w:val="single"/>
        <w:lang w:val="es-EC"/>
      </w:rPr>
      <w:t>LINKOTEL S.A.</w:t>
    </w:r>
  </w:p>
  <w:p w14:paraId="0672EA53" w14:textId="77777777" w:rsidR="007B1142" w:rsidRDefault="00DD5FDE">
    <w:pPr>
      <w:pStyle w:val="Header"/>
      <w:rPr>
        <w:b/>
        <w:bCs/>
        <w:lang w:val="es-EC"/>
      </w:rPr>
    </w:pPr>
    <w:r>
      <w:rPr>
        <w:b/>
        <w:bCs/>
        <w:lang w:val="es-EC"/>
      </w:rPr>
      <w:t>ENTENDIMIENTO DE LA ENTIDAD Y SU ENTORNO</w:t>
    </w:r>
  </w:p>
  <w:p w14:paraId="019436B7" w14:textId="0ACF4BAB" w:rsidR="007B1142" w:rsidRDefault="00DD5FDE">
    <w:pPr>
      <w:pStyle w:val="Header"/>
      <w:rPr>
        <w:b/>
        <w:bCs/>
        <w:lang w:val="es-EC"/>
      </w:rPr>
    </w:pPr>
    <w:r>
      <w:rPr>
        <w:b/>
        <w:bCs/>
        <w:lang w:val="es-EC"/>
      </w:rPr>
      <w:t>Al 31 de diciembre del 2020</w:t>
    </w:r>
  </w:p>
  <w:p w14:paraId="4D96A7CD" w14:textId="77777777" w:rsidR="00FF2854" w:rsidRDefault="00FF2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24F48"/>
    <w:multiLevelType w:val="multilevel"/>
    <w:tmpl w:val="A6D0E2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D686DD5"/>
    <w:multiLevelType w:val="multilevel"/>
    <w:tmpl w:val="A76EB66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537D0C"/>
    <w:multiLevelType w:val="multilevel"/>
    <w:tmpl w:val="365607D4"/>
    <w:lvl w:ilvl="0">
      <w:start w:val="1"/>
      <w:numFmt w:val="bullet"/>
      <w:lvlText w:val=""/>
      <w:lvlJc w:val="left"/>
      <w:pPr>
        <w:tabs>
          <w:tab w:val="num" w:pos="1428"/>
        </w:tabs>
        <w:ind w:left="1428" w:hanging="360"/>
      </w:pPr>
      <w:rPr>
        <w:rFonts w:ascii="Symbol" w:hAnsi="Symbol" w:cs="Open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Open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Open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3" w15:restartNumberingAfterBreak="0">
    <w:nsid w:val="4632235A"/>
    <w:multiLevelType w:val="multilevel"/>
    <w:tmpl w:val="C09CDB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2E06BEC"/>
    <w:multiLevelType w:val="multilevel"/>
    <w:tmpl w:val="14C2A0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142"/>
    <w:rsid w:val="00015D28"/>
    <w:rsid w:val="000545C1"/>
    <w:rsid w:val="00151C34"/>
    <w:rsid w:val="00233F14"/>
    <w:rsid w:val="002352C6"/>
    <w:rsid w:val="0025447B"/>
    <w:rsid w:val="002A65E6"/>
    <w:rsid w:val="003643CE"/>
    <w:rsid w:val="003E2DD0"/>
    <w:rsid w:val="0043165E"/>
    <w:rsid w:val="00475E14"/>
    <w:rsid w:val="00483E15"/>
    <w:rsid w:val="00541439"/>
    <w:rsid w:val="005B4FB2"/>
    <w:rsid w:val="00657A81"/>
    <w:rsid w:val="00766C40"/>
    <w:rsid w:val="007B1142"/>
    <w:rsid w:val="007B6609"/>
    <w:rsid w:val="007D39A2"/>
    <w:rsid w:val="00845DEA"/>
    <w:rsid w:val="008770C0"/>
    <w:rsid w:val="008C4994"/>
    <w:rsid w:val="009258C5"/>
    <w:rsid w:val="009B56B5"/>
    <w:rsid w:val="00AC071B"/>
    <w:rsid w:val="00B82553"/>
    <w:rsid w:val="00B85908"/>
    <w:rsid w:val="00B87B37"/>
    <w:rsid w:val="00C9224C"/>
    <w:rsid w:val="00CA119D"/>
    <w:rsid w:val="00D30FDB"/>
    <w:rsid w:val="00D87518"/>
    <w:rsid w:val="00DA53BE"/>
    <w:rsid w:val="00DD5FDE"/>
    <w:rsid w:val="00E15AC1"/>
    <w:rsid w:val="00E70255"/>
    <w:rsid w:val="00F60674"/>
    <w:rsid w:val="00FD4CD0"/>
    <w:rsid w:val="00FF2854"/>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DA63"/>
  <w15:docId w15:val="{70D15424-442E-46D4-BA44-8442ECD1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uiPriority w:val="9"/>
    <w:qFormat/>
    <w:rsid w:val="0023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10D64"/>
  </w:style>
  <w:style w:type="character" w:customStyle="1" w:styleId="FooterChar">
    <w:name w:val="Footer Char"/>
    <w:basedOn w:val="DefaultParagraphFont"/>
    <w:link w:val="Footer"/>
    <w:uiPriority w:val="99"/>
    <w:qFormat/>
    <w:rsid w:val="00610D64"/>
  </w:style>
  <w:style w:type="character" w:customStyle="1" w:styleId="BalloonTextChar">
    <w:name w:val="Balloon Text Char"/>
    <w:basedOn w:val="DefaultParagraphFont"/>
    <w:link w:val="BalloonText"/>
    <w:uiPriority w:val="99"/>
    <w:semiHidden/>
    <w:qFormat/>
    <w:rsid w:val="00610D64"/>
    <w:rPr>
      <w:rFonts w:ascii="Tahoma" w:hAnsi="Tahoma" w:cs="Tahoma"/>
      <w:sz w:val="16"/>
      <w:szCs w:val="16"/>
    </w:rPr>
  </w:style>
  <w:style w:type="character" w:customStyle="1" w:styleId="Heading1Char">
    <w:name w:val="Heading 1 Char"/>
    <w:basedOn w:val="DefaultParagraphFont"/>
    <w:link w:val="Heading1"/>
    <w:uiPriority w:val="9"/>
    <w:qFormat/>
    <w:rsid w:val="002326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2326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232669"/>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uiPriority w:val="99"/>
    <w:qFormat/>
    <w:rsid w:val="00232669"/>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ietas">
    <w:name w:val="Viñetas"/>
    <w:qFormat/>
    <w:rPr>
      <w:rFonts w:ascii="OpenSymbol" w:eastAsia="OpenSymbol" w:hAnsi="OpenSymbol" w:cs="OpenSymbol"/>
    </w:rPr>
  </w:style>
  <w:style w:type="character" w:customStyle="1" w:styleId="ListLabel4">
    <w:name w:val="ListLabel 4"/>
    <w:qFormat/>
    <w:rPr>
      <w:rFonts w:ascii="Arial" w:hAnsi="Arial"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paragraph" w:customStyle="1" w:styleId="Ttulo">
    <w:name w:val="Título"/>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unhideWhenUsed/>
    <w:rsid w:val="00232669"/>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ListParagraph">
    <w:name w:val="List Paragraph"/>
    <w:basedOn w:val="Normal"/>
    <w:uiPriority w:val="34"/>
    <w:qFormat/>
    <w:rsid w:val="007B2189"/>
    <w:pPr>
      <w:ind w:left="720"/>
      <w:contextualSpacing/>
    </w:pPr>
  </w:style>
  <w:style w:type="paragraph" w:styleId="Header">
    <w:name w:val="header"/>
    <w:basedOn w:val="Normal"/>
    <w:link w:val="HeaderChar"/>
    <w:uiPriority w:val="99"/>
    <w:unhideWhenUsed/>
    <w:rsid w:val="00610D64"/>
    <w:pPr>
      <w:tabs>
        <w:tab w:val="center" w:pos="4419"/>
        <w:tab w:val="right" w:pos="8838"/>
      </w:tabs>
      <w:spacing w:after="0" w:line="240" w:lineRule="auto"/>
    </w:pPr>
  </w:style>
  <w:style w:type="paragraph" w:styleId="Footer">
    <w:name w:val="footer"/>
    <w:basedOn w:val="Normal"/>
    <w:link w:val="FooterChar"/>
    <w:uiPriority w:val="99"/>
    <w:unhideWhenUsed/>
    <w:rsid w:val="00610D64"/>
    <w:pPr>
      <w:tabs>
        <w:tab w:val="center" w:pos="4419"/>
        <w:tab w:val="right" w:pos="8838"/>
      </w:tabs>
      <w:spacing w:after="0" w:line="240" w:lineRule="auto"/>
    </w:pPr>
  </w:style>
  <w:style w:type="paragraph" w:styleId="BalloonText">
    <w:name w:val="Balloon Text"/>
    <w:basedOn w:val="Normal"/>
    <w:link w:val="BalloonTextChar"/>
    <w:uiPriority w:val="99"/>
    <w:semiHidden/>
    <w:unhideWhenUsed/>
    <w:qFormat/>
    <w:rsid w:val="00610D64"/>
    <w:pPr>
      <w:spacing w:after="0" w:line="240" w:lineRule="auto"/>
    </w:pPr>
    <w:rPr>
      <w:rFonts w:ascii="Tahoma" w:hAnsi="Tahoma" w:cs="Tahoma"/>
      <w:sz w:val="16"/>
      <w:szCs w:val="16"/>
    </w:rPr>
  </w:style>
  <w:style w:type="paragraph" w:customStyle="1" w:styleId="Instruccionesenvocorreo">
    <w:name w:val="Instrucciones envío correo"/>
    <w:basedOn w:val="Normal"/>
    <w:qFormat/>
    <w:rsid w:val="00232669"/>
  </w:style>
  <w:style w:type="table" w:styleId="TableGrid">
    <w:name w:val="Table Grid"/>
    <w:basedOn w:val="TableNormal"/>
    <w:uiPriority w:val="59"/>
    <w:rsid w:val="002D6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1139</TotalTime>
  <Pages>1</Pages>
  <Words>1851</Words>
  <Characters>10183</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Cesar Alberto Leon Galarraga</cp:lastModifiedBy>
  <cp:revision>41</cp:revision>
  <dcterms:created xsi:type="dcterms:W3CDTF">2020-03-02T16:59:00Z</dcterms:created>
  <dcterms:modified xsi:type="dcterms:W3CDTF">2021-02-03T10:06:00Z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