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BE5F" w14:textId="77777777" w:rsidR="00C83393" w:rsidRDefault="00C83393" w:rsidP="00C83393">
      <w:r>
        <w:t>4 OBJETIVOS</w:t>
      </w:r>
    </w:p>
    <w:p w14:paraId="723E2916" w14:textId="77777777" w:rsidR="00C83393" w:rsidRDefault="00C83393" w:rsidP="00C83393"/>
    <w:p w14:paraId="55BB2461" w14:textId="77777777" w:rsidR="00C83393" w:rsidRDefault="00C83393" w:rsidP="00C83393">
      <w:r>
        <w:t>4.1 Objetivo geral</w:t>
      </w:r>
    </w:p>
    <w:p w14:paraId="5E655BD4" w14:textId="77777777" w:rsidR="00C83393" w:rsidRDefault="00C83393" w:rsidP="00C83393">
      <w:r>
        <w:t>Verificar a tendência da qualidade da atenção primária à saúde e sua associação com aspectos relacionados ao estado nutricional e consumo alimentar da população das capitais brasileiras e Distrito Federal.</w:t>
      </w:r>
    </w:p>
    <w:p w14:paraId="7180AEE7" w14:textId="77777777" w:rsidR="00C83393" w:rsidRDefault="00C83393" w:rsidP="00C83393"/>
    <w:p w14:paraId="7976874A" w14:textId="710ED861" w:rsidR="00C83393" w:rsidRDefault="00C83393" w:rsidP="00C83393">
      <w:r>
        <w:t>4.2 Objetivos específicos</w:t>
      </w:r>
    </w:p>
    <w:p w14:paraId="53311BCA" w14:textId="77777777" w:rsidR="00C83393" w:rsidRDefault="00C83393" w:rsidP="00C83393">
      <w:r>
        <w:t>Avaliar as tendências da qualidade da atenção primária à saúde; das taxas de ICSAP relacionadas ao estado nutricional e da avaliação nutricional da população entre os anos 2010 e 2019;</w:t>
      </w:r>
    </w:p>
    <w:p w14:paraId="271C4304" w14:textId="7CE78E99" w:rsidR="00B71A42" w:rsidRDefault="00C83393" w:rsidP="00C83393">
      <w:r>
        <w:t>Correlacionar a qualidade da atenção primária à saúde com as taxas de ICSAP relacionadas ao cuidado nutricional e com a avaliação nutricional da população</w:t>
      </w:r>
    </w:p>
    <w:p w14:paraId="1552F9C5" w14:textId="19AB0734" w:rsidR="00C83393" w:rsidRDefault="00C83393" w:rsidP="00C83393">
      <w:r w:rsidRPr="00C83393">
        <w:t>Construir clusters das capitais brasileiras considerando a avaliação da qualidade da atenção primária à saúde, as taxas de ICSAP relacionadas ao cuidado nutricional e a avaliação nutricional da população.</w:t>
      </w:r>
    </w:p>
    <w:p w14:paraId="003A854C" w14:textId="77777777" w:rsidR="00C83393" w:rsidRDefault="00C83393" w:rsidP="00C83393"/>
    <w:p w14:paraId="7671F8B8" w14:textId="77777777" w:rsidR="00C83393" w:rsidRDefault="00C83393" w:rsidP="00C83393"/>
    <w:p w14:paraId="27465EBC" w14:textId="77777777" w:rsidR="00C83393" w:rsidRDefault="00C83393" w:rsidP="00C83393"/>
    <w:p w14:paraId="232D07DE" w14:textId="26D4B6EC" w:rsidR="00C83393" w:rsidRDefault="00C83393" w:rsidP="00C83393">
      <w:r>
        <w:t>Estudo longitudinal e ecológico</w:t>
      </w:r>
    </w:p>
    <w:p w14:paraId="6FE7D6FC" w14:textId="560D4DFA" w:rsidR="00C83393" w:rsidRDefault="00C83393" w:rsidP="00C83393">
      <w:r>
        <w:t>Utilizar capitais brasileiras e DF</w:t>
      </w:r>
    </w:p>
    <w:p w14:paraId="5B144C3B" w14:textId="18FF0AB3" w:rsidR="00C83393" w:rsidRPr="00C83393" w:rsidRDefault="00C83393" w:rsidP="00C83393">
      <w:pPr>
        <w:rPr>
          <w:b/>
          <w:bCs/>
        </w:rPr>
      </w:pPr>
      <w:r w:rsidRPr="00C83393">
        <w:rPr>
          <w:b/>
          <w:bCs/>
        </w:rPr>
        <w:t>Variáveis desfecho:</w:t>
      </w:r>
    </w:p>
    <w:p w14:paraId="6730B4BF" w14:textId="3649CCAA" w:rsidR="00C83393" w:rsidRDefault="00C83393" w:rsidP="00C83393">
      <w:r>
        <w:t xml:space="preserve">Taxas de ICSAP relacionadas ao cuidado nutricional </w:t>
      </w:r>
    </w:p>
    <w:p w14:paraId="75263253" w14:textId="73A5AA3E" w:rsidR="00C83393" w:rsidRDefault="00C83393" w:rsidP="00C83393">
      <w:r>
        <w:tab/>
      </w:r>
      <w:r w:rsidR="00697F08">
        <w:t xml:space="preserve">Anemia: </w:t>
      </w:r>
      <w:r>
        <w:t>D50</w:t>
      </w:r>
    </w:p>
    <w:p w14:paraId="37C1ECAE" w14:textId="3795187A" w:rsidR="00C83393" w:rsidRDefault="00C83393" w:rsidP="00C83393">
      <w:r>
        <w:tab/>
      </w:r>
      <w:r w:rsidR="00697F08">
        <w:t xml:space="preserve">Diabetes: </w:t>
      </w:r>
      <w:r>
        <w:t>E10 – E14</w:t>
      </w:r>
    </w:p>
    <w:p w14:paraId="595EBE44" w14:textId="779DC19A" w:rsidR="00C83393" w:rsidRDefault="00C83393" w:rsidP="00C83393">
      <w:r>
        <w:tab/>
      </w:r>
      <w:r w:rsidR="00697F08">
        <w:t xml:space="preserve">Desnutrições proteico calórica: </w:t>
      </w:r>
      <w:r>
        <w:t>E40 - E46</w:t>
      </w:r>
    </w:p>
    <w:p w14:paraId="1F6C9BAC" w14:textId="29A475FA" w:rsidR="00C83393" w:rsidRDefault="00C83393" w:rsidP="00C83393">
      <w:r>
        <w:tab/>
      </w:r>
      <w:r w:rsidR="00697F08">
        <w:t xml:space="preserve">Outras deficiências nutricionais: </w:t>
      </w:r>
      <w:r>
        <w:t>E50 - E64</w:t>
      </w:r>
    </w:p>
    <w:p w14:paraId="150AEBA3" w14:textId="756CC14B" w:rsidR="00C83393" w:rsidRDefault="00C83393" w:rsidP="00C83393">
      <w:r>
        <w:tab/>
      </w:r>
      <w:r w:rsidR="00697F08">
        <w:t xml:space="preserve">Hipertensão: </w:t>
      </w:r>
      <w:r>
        <w:t>I10 – I11</w:t>
      </w:r>
    </w:p>
    <w:p w14:paraId="7D7938E7" w14:textId="0B35097A" w:rsidR="00C83393" w:rsidRDefault="00C83393" w:rsidP="00C83393">
      <w:r w:rsidRPr="00C83393">
        <w:t>Vigitel - Estado nutricional (IMC calculado com base em peso e altura autorreferidos) e consumo alimentar (consumo regular de frutas e hortaliças, consumo recomendado de frutas e hortaliças, consumo regular de feijão, consumo regular de refrigerantes, consumo de alimentos ultraprocessados, consumo de alimentos in natura ou minimamente processados</w:t>
      </w:r>
    </w:p>
    <w:p w14:paraId="3CF72140" w14:textId="77777777" w:rsidR="00C83393" w:rsidRDefault="00C83393" w:rsidP="00C83393"/>
    <w:p w14:paraId="392685B9" w14:textId="1D6C28E0" w:rsidR="00C83393" w:rsidRPr="00C83393" w:rsidRDefault="00C83393" w:rsidP="00C83393">
      <w:pPr>
        <w:rPr>
          <w:b/>
          <w:bCs/>
        </w:rPr>
      </w:pPr>
      <w:r w:rsidRPr="00C83393">
        <w:rPr>
          <w:b/>
          <w:bCs/>
        </w:rPr>
        <w:t>Variável exposição:</w:t>
      </w:r>
    </w:p>
    <w:p w14:paraId="0D444456" w14:textId="77777777" w:rsidR="00C83393" w:rsidRDefault="00C83393" w:rsidP="00C83393">
      <w:r>
        <w:t>Notas do PMAQ dos municípios nos 3 ciclos</w:t>
      </w:r>
    </w:p>
    <w:p w14:paraId="3EDB3A38" w14:textId="77777777" w:rsidR="00C83393" w:rsidRPr="00C83393" w:rsidRDefault="00C83393" w:rsidP="00C83393">
      <w:pPr>
        <w:rPr>
          <w:b/>
          <w:bCs/>
        </w:rPr>
      </w:pPr>
      <w:r w:rsidRPr="00C83393">
        <w:rPr>
          <w:b/>
          <w:bCs/>
        </w:rPr>
        <w:lastRenderedPageBreak/>
        <w:t>Variáveis controle:</w:t>
      </w:r>
    </w:p>
    <w:p w14:paraId="16B1C9DE" w14:textId="77777777" w:rsidR="00C83393" w:rsidRDefault="00C83393" w:rsidP="00C83393">
      <w:r>
        <w:t>●</w:t>
      </w:r>
      <w:r>
        <w:tab/>
        <w:t>Índice de Desenvolvimento Humano e Social Municipal (IDHM), calculado pelo Programa para Desenvolvimento das Nações Unidas (PNUD), em 2010, que considera as dimensões longevidade, educação e renda da população de cada município.</w:t>
      </w:r>
    </w:p>
    <w:p w14:paraId="3D9A02F8" w14:textId="77777777" w:rsidR="00C83393" w:rsidRDefault="00C83393" w:rsidP="00C83393">
      <w:r>
        <w:t>●</w:t>
      </w:r>
      <w:r>
        <w:tab/>
        <w:t>Índice de Vulnerabilidade Social (IVS), disponível no Atlas da Vulnerabilidade Social do Instituto de Pesquisa Econômica Aplicada (IPEA), referente ao ano 2010, que considera as dimensões infraestrutura urbana; capital humano dos domicílios; renda, acesso ao trabalho e forma de inserção no mercado de trabalho dos residentes.</w:t>
      </w:r>
    </w:p>
    <w:p w14:paraId="5870BC35" w14:textId="77777777" w:rsidR="00C83393" w:rsidRDefault="00C83393" w:rsidP="00C83393">
      <w:r>
        <w:t>●</w:t>
      </w:r>
      <w:r>
        <w:tab/>
        <w:t xml:space="preserve">Coeficiente de Gini, disponibilizado pelo IPEA, referente ao ano 2010, que identifica a desigualdade social a partir do grau de concentração da distribuição de renda domiciliar per capta. </w:t>
      </w:r>
    </w:p>
    <w:p w14:paraId="77F12E78" w14:textId="77777777" w:rsidR="00C83393" w:rsidRDefault="00C83393" w:rsidP="00C83393">
      <w:r>
        <w:t>●</w:t>
      </w:r>
      <w:r>
        <w:tab/>
        <w:t>Cobertura da ESF, extraída da base de dados do Ministério da Saúde, para o mês de junho de cada ano. Para o cálculo da cobertura populacional, será utilizado o seguinte cálculo: nº de eSFx3.450/População estimada do IBGE, multiplicado por 100.</w:t>
      </w:r>
    </w:p>
    <w:p w14:paraId="7A909D0A" w14:textId="77777777" w:rsidR="00C83393" w:rsidRDefault="00C83393" w:rsidP="00C83393">
      <w:r>
        <w:t>●</w:t>
      </w:r>
      <w:r>
        <w:tab/>
        <w:t>Porte populacional, definido de acordo com a classificação do IBGE e as estimativas populacionais para cada ano, sendo municípios de pequeno porte I até 20.000 habitantes; pequeno porte II entre 20.001 e 50.000; médio porte entre 50.001 e 100.000; grande porte entre 100.001 e 900.000; metrópoles com mais de 900.000 habitantes.</w:t>
      </w:r>
    </w:p>
    <w:p w14:paraId="18E574C2" w14:textId="77777777" w:rsidR="00C83393" w:rsidRDefault="00C83393" w:rsidP="00C83393">
      <w:r>
        <w:t>●</w:t>
      </w:r>
      <w:r>
        <w:tab/>
        <w:t>Percentual de cobertura de planos de saúde privados: calculada pela razão entre número de beneficiários de planos e seguros privados de saúde no mês de junho de cada ano, disponíveis no site da Agência Nacional de Saúde Suplementar (ANS), e a população estimada, multiplicado por 100. Também serão utilizados os dados disponíveis no Vigitel, referentes a cada ano.</w:t>
      </w:r>
    </w:p>
    <w:p w14:paraId="35BCEE26" w14:textId="77777777" w:rsidR="00C83393" w:rsidRDefault="00C83393" w:rsidP="00C83393">
      <w:r>
        <w:t>●</w:t>
      </w:r>
      <w:r>
        <w:tab/>
        <w:t>Número de leitos hospitalares disponíveis para o SUS por município no mês de junho de cada ano, extraída do Cadastro Nacional de Estabelecimentos de Saúde (CNES), e calculada pela razão entre o número de leitos hospitalares e a população estimada do município para cada ano, multiplicado por 1.000.</w:t>
      </w:r>
    </w:p>
    <w:p w14:paraId="067CBF59" w14:textId="2C090012" w:rsidR="00C83393" w:rsidRDefault="00C83393" w:rsidP="00C83393">
      <w:r>
        <w:t>Todas as estimativas populacionais anuais para cálculo proporcional serão extraídas do site do IBGE.</w:t>
      </w:r>
      <w:r>
        <w:tab/>
      </w:r>
    </w:p>
    <w:p w14:paraId="6A833597" w14:textId="77777777" w:rsidR="00C83393" w:rsidRDefault="00C83393" w:rsidP="00C83393"/>
    <w:p w14:paraId="4AAD4F63" w14:textId="77777777" w:rsidR="00C83393" w:rsidRDefault="00C83393" w:rsidP="00C83393"/>
    <w:p w14:paraId="416CC5F9" w14:textId="77777777" w:rsidR="00C83393" w:rsidRDefault="00C83393" w:rsidP="00C83393"/>
    <w:p w14:paraId="1795AB11" w14:textId="77777777" w:rsidR="00C83393" w:rsidRDefault="00C83393" w:rsidP="00C83393"/>
    <w:p w14:paraId="4C085BA0" w14:textId="77777777" w:rsidR="00C83393" w:rsidRDefault="00C83393" w:rsidP="00C83393"/>
    <w:sectPr w:rsidR="00C8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CD4"/>
    <w:multiLevelType w:val="multilevel"/>
    <w:tmpl w:val="00D2D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90330E"/>
    <w:multiLevelType w:val="multilevel"/>
    <w:tmpl w:val="CF882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580158">
    <w:abstractNumId w:val="0"/>
  </w:num>
  <w:num w:numId="2" w16cid:durableId="1480073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93"/>
    <w:rsid w:val="00697F08"/>
    <w:rsid w:val="00B71A42"/>
    <w:rsid w:val="00C8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17C5"/>
  <w15:chartTrackingRefBased/>
  <w15:docId w15:val="{D9210C7B-079B-4046-8ED9-70D29506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Siqueira</dc:creator>
  <cp:keywords/>
  <dc:description/>
  <cp:lastModifiedBy>Catarina Siqueira</cp:lastModifiedBy>
  <cp:revision>2</cp:revision>
  <dcterms:created xsi:type="dcterms:W3CDTF">2023-10-19T14:18:00Z</dcterms:created>
  <dcterms:modified xsi:type="dcterms:W3CDTF">2023-10-19T14:28:00Z</dcterms:modified>
</cp:coreProperties>
</file>