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 Challenge - Pipeline Híbrido de Alfabetização no GCP</w:t>
      </w:r>
    </w:p>
    <w:p>
      <w:pPr>
        <w:jc w:val="center"/>
      </w:pPr>
      <w:r>
        <w:rPr>
          <w:b/>
          <w:color w:val="147D92"/>
          <w:sz w:val="28"/>
        </w:rPr>
        <w:t>Manual simplificado de implementação</w:t>
      </w:r>
    </w:p>
    <w:p>
      <w:pPr>
        <w:jc w:val="center"/>
      </w:pPr>
      <w:r>
        <w:rPr>
          <w:i/>
        </w:rPr>
        <w:t>Documento escrito como registro do sistema que eu desenvolvi e de como ele pode ser reproduzido.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18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Objetivo do projeto</w:t>
      </w:r>
    </w:p>
    <w:p>
      <w:r>
        <w:t>Neste projeto eu implementei uma pipeline híbrida para organizar e analisar dados públicos de alfabetização no Brasil. A solução integra resultados, metas e dados territoriais, aplica a arquitetura medalhão e deixa a camada Gold pronta para dashboards e estudos futuros de inteligência artificial.</w:t>
      </w:r>
    </w:p>
    <w:p>
      <w:pPr>
        <w:pStyle w:val="ListBullet"/>
        <w:spacing w:after="40"/>
      </w:pPr>
      <w:r>
        <w:t>Ingestão histórica em batch pelo BigQuery público da Base dos Dados.</w:t>
      </w:r>
    </w:p>
    <w:p>
      <w:pPr>
        <w:pStyle w:val="ListBullet"/>
        <w:spacing w:after="40"/>
      </w:pPr>
      <w:r>
        <w:t>Streaming simulado com Pub/Sub e Dataflow.</w:t>
      </w:r>
    </w:p>
    <w:p>
      <w:pPr>
        <w:pStyle w:val="ListBullet"/>
        <w:spacing w:after="40"/>
      </w:pPr>
      <w:r>
        <w:t>Camadas Bronze, Silver e Gold no BigQuery.</w:t>
      </w:r>
    </w:p>
    <w:p>
      <w:pPr>
        <w:pStyle w:val="ListBullet"/>
        <w:spacing w:after="40"/>
      </w:pPr>
      <w:r>
        <w:t>Regras de qualidade, auditoria e controle de custos.</w:t>
      </w:r>
    </w:p>
    <w:p>
      <w:pPr>
        <w:pStyle w:val="ListBullet"/>
        <w:spacing w:after="40"/>
      </w:pPr>
      <w:r>
        <w:t>Infraestrutura criada e removida por Terraform e scripts de limpeza.</w:t>
      </w:r>
    </w:p>
    <w:p>
      <w:pPr>
        <w:pStyle w:val="Heading1"/>
      </w:pPr>
      <w:r>
        <w:t>2. Arquitetura e funcionamento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 que eu implementei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Bronze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Cópia bruta das fontes, metadados de ingestão, eventos válidos e rejeitados.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Histórico e rastreabilidade.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Silver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Limpeza, tipos, nulos, chaves, deduplicação e integração.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Dados confiáveis e consistentes.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7"/>
              </w:rPr>
              <w:t>Gold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Indicadores municipais e estaduais, metas, evolução, ranking e features.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pronta para BI e IA.</w:t>
            </w:r>
          </w:p>
        </w:tc>
      </w:tr>
    </w:tbl>
    <w:p>
      <w:pPr>
        <w:pStyle w:val="Heading1"/>
      </w:pPr>
      <w:r>
        <w:t>3. Estratégia de controle de custos</w:t>
      </w:r>
    </w:p>
    <w:p>
      <w:r>
        <w:t>A tabela pública de alunos pode ser grande. Para evitar uma carga completa apenas para a demonstração, eu implementei uma amostra física criada uma única vez.</w:t>
      </w:r>
    </w:p>
    <w:p>
      <w:pPr>
        <w:pStyle w:val="ListBullet"/>
        <w:spacing w:after="40"/>
      </w:pPr>
      <w:r>
        <w:t>O BigQuery usa TABLESAMPLE para ler somente uma porcentagem dos blocos.</w:t>
      </w:r>
    </w:p>
    <w:p>
      <w:pPr>
        <w:pStyle w:val="ListBullet"/>
        <w:spacing w:after="40"/>
      </w:pPr>
      <w:r>
        <w:t>A tabela local alfabetizacao_bronze.alunos_amostra recebe até 500 linhas.</w:t>
      </w:r>
    </w:p>
    <w:p>
      <w:pPr>
        <w:pStyle w:val="ListBullet"/>
        <w:spacing w:after="40"/>
      </w:pPr>
      <w:r>
        <w:t>Nas execuções seguintes, o código verifica que a amostra existe e a reutiliza.</w:t>
      </w:r>
    </w:p>
    <w:p>
      <w:pPr>
        <w:pStyle w:val="ListBullet"/>
        <w:spacing w:after="40"/>
      </w:pPr>
      <w:r>
        <w:t>Silver e Gold usam a amostra local e não consultam novamente a tabela pública de alunos.</w:t>
      </w:r>
    </w:p>
    <w:p>
      <w:pPr>
        <w:pStyle w:val="ListBullet"/>
        <w:spacing w:after="40"/>
      </w:pPr>
      <w:r>
        <w:t>Cada consulta batch possui um teto de 10 GiB em maximum_bytes_billed.</w:t>
      </w:r>
    </w:p>
    <w:p>
      <w:pPr>
        <w:pStyle w:val="ListBullet"/>
        <w:spacing w:after="40"/>
      </w:pPr>
      <w:r>
        <w:t>O Dataflow deve ser encerrado imediatamente após a apresentação.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python scripts\transferir_dados_inep.py `</w:t>
      </w:r>
      <w:r>
        <w:br/>
      </w:r>
      <w:r>
        <w:rPr>
          <w:rFonts w:ascii="Consolas" w:hAnsi="Consolas"/>
          <w:sz w:val="17"/>
        </w:rPr>
        <w:t xml:space="preserve">  --project-id SEU_PROJECT_ID `</w:t>
      </w:r>
      <w:r>
        <w:br/>
      </w:r>
      <w:r>
        <w:rPr>
          <w:rFonts w:ascii="Consolas" w:hAnsi="Consolas"/>
          <w:sz w:val="17"/>
        </w:rPr>
        <w:t xml:space="preserve">  --sem-parquet</w:t>
      </w:r>
    </w:p>
    <w:p>
      <w:r>
        <w:t>A amostra é adequada para demonstrar a engenharia da solução, mas não deve ser usada para conclusões estatísticas nacionais.</w:t>
      </w:r>
    </w:p>
    <w:p>
      <w:pPr>
        <w:pStyle w:val="Heading1"/>
      </w:pPr>
      <w:r>
        <w:t>4. Fontes de dados</w:t>
      </w:r>
    </w:p>
    <w:p>
      <w:r>
        <w:t>A principal origem é o dataset público: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basedosdados.br_inep_avaliacao_alfabetizacao</w:t>
      </w:r>
    </w:p>
    <w:p>
      <w:pPr>
        <w:pStyle w:val="ListBullet"/>
        <w:spacing w:after="40"/>
      </w:pPr>
      <w:r>
        <w:t>uf e municipio: resultados territoriais;</w:t>
      </w:r>
    </w:p>
    <w:p>
      <w:pPr>
        <w:pStyle w:val="ListBullet"/>
        <w:spacing w:after="40"/>
      </w:pPr>
      <w:r>
        <w:t>alunos: somente para criar alunos_amostra;</w:t>
      </w:r>
    </w:p>
    <w:p>
      <w:pPr>
        <w:pStyle w:val="ListBullet"/>
        <w:spacing w:after="40"/>
      </w:pPr>
      <w:r>
        <w:t>meta_alfabetizacao_brasil, meta_alfabetizacao_uf e meta_alfabetizacao_municipio;</w:t>
      </w:r>
    </w:p>
    <w:p>
      <w:pPr>
        <w:pStyle w:val="ListBullet"/>
        <w:spacing w:after="40"/>
      </w:pPr>
      <w:r>
        <w:t>dicionario: explicação dos campos;</w:t>
      </w:r>
    </w:p>
    <w:p>
      <w:pPr>
        <w:pStyle w:val="ListBullet"/>
        <w:spacing w:after="40"/>
      </w:pPr>
      <w:r>
        <w:t>br_bd_diretorios_brasil.municipio: enriquecimento territorial.</w:t>
      </w:r>
    </w:p>
    <w:p>
      <w:r>
        <w:t>As URLs exatas estão em docs/FONTES_DADOS_URLS.txt.</w:t>
      </w:r>
    </w:p>
    <w:p>
      <w:pPr>
        <w:pStyle w:val="Heading1"/>
      </w:pPr>
      <w:r>
        <w:t>5. Onde informar o projeto GCP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 que deve ser alterado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Terminal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gcloud config set project SEU_PROJECT_ID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.env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GCP_PROJECT_ID e GCS_BUCKET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terraform/terraform.tfvars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project_id e bucket_name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Dataform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defaultProject ou configure_dataform.py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SQLs de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substituir PROJECT_ID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Limpeza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-ProjectId e -Bucket</w:t>
            </w:r>
          </w:p>
        </w:tc>
      </w:tr>
    </w:tbl>
    <w:p>
      <w:r>
        <w:t>O arquivo docs/ONDE_COLOCAR_PROJECT_ID.txt detalha cada ponto.</w:t>
      </w:r>
    </w:p>
    <w:p>
      <w:pPr>
        <w:pStyle w:val="Heading1"/>
      </w:pPr>
      <w:r>
        <w:t>6. Passo a passo de execução</w:t>
      </w:r>
    </w:p>
    <w:p>
      <w:pPr>
        <w:pStyle w:val="Heading2"/>
      </w:pPr>
      <w:r>
        <w:t>6.1 Autenticação e configuração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gcloud auth login</w:t>
      </w:r>
      <w:r>
        <w:br/>
      </w:r>
      <w:r>
        <w:rPr>
          <w:rFonts w:ascii="Consolas" w:hAnsi="Consolas"/>
          <w:sz w:val="17"/>
        </w:rPr>
        <w:t>gcloud auth application-default login</w:t>
      </w:r>
    </w:p>
    <w:p>
      <w:r>
        <w:t>No Git Bash, o setup pode criar o projeto temporário, habilitar APIs e gerar os arquivos locais: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bash scripts/setup_gcp.sh \</w:t>
      </w:r>
      <w:r>
        <w:br/>
      </w:r>
      <w:r>
        <w:rPr>
          <w:rFonts w:ascii="Consolas" w:hAnsi="Consolas"/>
          <w:sz w:val="17"/>
        </w:rPr>
        <w:t xml:space="preserve">  SEU_PROJECT_ID \</w:t>
      </w:r>
      <w:r>
        <w:br/>
      </w:r>
      <w:r>
        <w:rPr>
          <w:rFonts w:ascii="Consolas" w:hAnsi="Consolas"/>
          <w:sz w:val="17"/>
        </w:rPr>
        <w:t xml:space="preserve">  SEU_PROJECT_ID-alfabetizacao-lake \</w:t>
      </w:r>
      <w:r>
        <w:br/>
      </w:r>
      <w:r>
        <w:rPr>
          <w:rFonts w:ascii="Consolas" w:hAnsi="Consolas"/>
          <w:sz w:val="17"/>
        </w:rPr>
        <w:t xml:space="preserve">  SUA_BILLING_ACCOUNT</w:t>
      </w:r>
    </w:p>
    <w:p>
      <w:pPr>
        <w:pStyle w:val="Heading2"/>
      </w:pPr>
      <w:r>
        <w:t>6.2 Dependências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python -m venv .venv</w:t>
      </w:r>
      <w:r>
        <w:br/>
      </w:r>
      <w:r>
        <w:rPr>
          <w:rFonts w:ascii="Consolas" w:hAnsi="Consolas"/>
          <w:sz w:val="17"/>
        </w:rPr>
        <w:t>.\.venv\Scripts\Activate.ps1</w:t>
      </w:r>
      <w:r>
        <w:br/>
      </w:r>
      <w:r>
        <w:rPr>
          <w:rFonts w:ascii="Consolas" w:hAnsi="Consolas"/>
          <w:sz w:val="17"/>
        </w:rPr>
        <w:t>python -m pip install --upgrade pip</w:t>
      </w:r>
      <w:r>
        <w:br/>
      </w:r>
      <w:r>
        <w:rPr>
          <w:rFonts w:ascii="Consolas" w:hAnsi="Consolas"/>
          <w:sz w:val="17"/>
        </w:rPr>
        <w:t>pip install -e ".[dev]"</w:t>
      </w:r>
      <w:r>
        <w:br/>
      </w:r>
      <w:r>
        <w:rPr>
          <w:rFonts w:ascii="Consolas" w:hAnsi="Consolas"/>
          <w:sz w:val="17"/>
        </w:rPr>
        <w:t>pytest</w:t>
      </w:r>
    </w:p>
    <w:p>
      <w:pPr>
        <w:pStyle w:val="Heading2"/>
      </w:pPr>
      <w:r>
        <w:t>6.3 Terraform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terraform -chdir=terraform init</w:t>
      </w:r>
      <w:r>
        <w:br/>
      </w:r>
      <w:r>
        <w:rPr>
          <w:rFonts w:ascii="Consolas" w:hAnsi="Consolas"/>
          <w:sz w:val="17"/>
        </w:rPr>
        <w:t>terraform -chdir=terraform plan</w:t>
      </w:r>
      <w:r>
        <w:br/>
      </w:r>
      <w:r>
        <w:rPr>
          <w:rFonts w:ascii="Consolas" w:hAnsi="Consolas"/>
          <w:sz w:val="17"/>
        </w:rPr>
        <w:t>terraform -chdir=terraform apply</w:t>
      </w:r>
    </w:p>
    <w:p>
      <w:pPr>
        <w:pStyle w:val="Heading2"/>
      </w:pPr>
      <w:r>
        <w:t>6.4 Bronze, Silver e Gold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python scripts\transferir_dados_inep.py --project-id SEU_PROJECT_ID --sem-parquet</w:t>
      </w:r>
      <w:r>
        <w:br/>
      </w:r>
      <w:r>
        <w:rPr>
          <w:rFonts w:ascii="Consolas" w:hAnsi="Consolas"/>
          <w:sz w:val="17"/>
        </w:rPr>
        <w:t>bash scripts/run_dataform.sh</w:t>
      </w:r>
      <w:r>
        <w:br/>
      </w:r>
      <w:r>
        <w:rPr>
          <w:rFonts w:ascii="Consolas" w:hAnsi="Consolas"/>
          <w:sz w:val="17"/>
        </w:rPr>
        <w:t>python -m src.quality.run_checks</w:t>
      </w:r>
    </w:p>
    <w:p>
      <w:pPr>
        <w:pStyle w:val="Heading2"/>
      </w:pPr>
      <w:r>
        <w:t>6.5 Streaming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bash scripts/run_dataflow.sh</w:t>
      </w:r>
      <w:r>
        <w:br/>
      </w:r>
      <w:r>
        <w:rPr>
          <w:rFonts w:ascii="Consolas" w:hAnsi="Consolas"/>
          <w:sz w:val="17"/>
        </w:rPr>
        <w:t>python -m src.streaming.publisher --count 30 --interval 1 --invalid-rate 0.10</w:t>
      </w:r>
      <w:r>
        <w:br/>
      </w:r>
      <w:r>
        <w:rPr>
          <w:rFonts w:ascii="Consolas" w:hAnsi="Consolas"/>
          <w:sz w:val="17"/>
        </w:rPr>
        <w:t>bash scripts/stop_dataflow.sh</w:t>
      </w:r>
    </w:p>
    <w:p>
      <w:pPr>
        <w:pStyle w:val="Heading1"/>
      </w:pPr>
      <w:r>
        <w:t>7. Qualidade e resultados da Gold</w:t>
      </w:r>
    </w:p>
    <w:p>
      <w:pPr>
        <w:pStyle w:val="ListBullet"/>
        <w:spacing w:after="40"/>
      </w:pPr>
      <w:r>
        <w:t>Chaves municipais com sete dígitos e integridade entre município e UF.</w:t>
      </w:r>
    </w:p>
    <w:p>
      <w:pPr>
        <w:pStyle w:val="ListBullet"/>
        <w:spacing w:after="40"/>
      </w:pPr>
      <w:r>
        <w:t>Percentuais dentro de 0 a 100 e eventos sem data futura.</w:t>
      </w:r>
    </w:p>
    <w:p>
      <w:pPr>
        <w:pStyle w:val="ListBullet"/>
        <w:spacing w:after="40"/>
      </w:pPr>
      <w:r>
        <w:t>Remoção de duplicidades e tratamento de tipos e valores ausentes.</w:t>
      </w:r>
    </w:p>
    <w:p>
      <w:pPr>
        <w:pStyle w:val="ListBullet"/>
        <w:spacing w:after="40"/>
      </w:pPr>
      <w:r>
        <w:t>Indicador por município e UF.</w:t>
      </w:r>
    </w:p>
    <w:p>
      <w:pPr>
        <w:pStyle w:val="ListBullet"/>
        <w:spacing w:after="40"/>
      </w:pPr>
      <w:r>
        <w:t>Comparação entre metas e resultados.</w:t>
      </w:r>
    </w:p>
    <w:p>
      <w:pPr>
        <w:pStyle w:val="ListBullet"/>
        <w:spacing w:after="40"/>
      </w:pPr>
      <w:r>
        <w:t>Evolução temporal e ranking municipal.</w:t>
      </w:r>
    </w:p>
    <w:p>
      <w:pPr>
        <w:pStyle w:val="ListBullet"/>
        <w:spacing w:after="40"/>
      </w:pPr>
      <w:r>
        <w:t>Tabela features_ml para aplicações futuras.</w:t>
      </w:r>
    </w:p>
    <w:p>
      <w:pPr>
        <w:pStyle w:val="Heading1"/>
      </w:pPr>
      <w:r>
        <w:t>8. Como apagar tudo e excluir o projeto</w:t>
      </w:r>
    </w:p>
    <w:p>
      <w:r>
        <w:t>Primeiro eu executo uma simulação: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.\scripts\limpar_gcp.ps1 `</w:t>
      </w:r>
      <w:r>
        <w:br/>
      </w:r>
      <w:r>
        <w:rPr>
          <w:rFonts w:ascii="Consolas" w:hAnsi="Consolas"/>
          <w:sz w:val="17"/>
        </w:rPr>
        <w:t xml:space="preserve">  -ProjectId SEU_PROJECT_ID `</w:t>
      </w:r>
      <w:r>
        <w:br/>
      </w:r>
      <w:r>
        <w:rPr>
          <w:rFonts w:ascii="Consolas" w:hAnsi="Consolas"/>
          <w:sz w:val="17"/>
        </w:rPr>
        <w:t xml:space="preserve">  -Bucket SEU_PROJECT_ID-alfabetizacao-lake `</w:t>
      </w:r>
      <w:r>
        <w:br/>
      </w:r>
      <w:r>
        <w:rPr>
          <w:rFonts w:ascii="Consolas" w:hAnsi="Consolas"/>
          <w:sz w:val="17"/>
        </w:rPr>
        <w:t xml:space="preserve">  -DeleteProject `</w:t>
      </w:r>
      <w:r>
        <w:br/>
      </w:r>
      <w:r>
        <w:rPr>
          <w:rFonts w:ascii="Consolas" w:hAnsi="Consolas"/>
          <w:sz w:val="17"/>
        </w:rPr>
        <w:t xml:space="preserve">  -DryRun</w:t>
      </w:r>
    </w:p>
    <w:p>
      <w:r>
        <w:t>Depois eu faço a exclusão real: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.\scripts\limpar_gcp.ps1 `</w:t>
      </w:r>
      <w:r>
        <w:br/>
      </w:r>
      <w:r>
        <w:rPr>
          <w:rFonts w:ascii="Consolas" w:hAnsi="Consolas"/>
          <w:sz w:val="17"/>
        </w:rPr>
        <w:t xml:space="preserve">  -ProjectId SEU_PROJECT_ID `</w:t>
      </w:r>
      <w:r>
        <w:br/>
      </w:r>
      <w:r>
        <w:rPr>
          <w:rFonts w:ascii="Consolas" w:hAnsi="Consolas"/>
          <w:sz w:val="17"/>
        </w:rPr>
        <w:t xml:space="preserve">  -Bucket SEU_PROJECT_ID-alfabetizacao-lake `</w:t>
      </w:r>
      <w:r>
        <w:br/>
      </w:r>
      <w:r>
        <w:rPr>
          <w:rFonts w:ascii="Consolas" w:hAnsi="Consolas"/>
          <w:sz w:val="17"/>
        </w:rPr>
        <w:t xml:space="preserve">  -DeleteProject</w:t>
      </w:r>
    </w:p>
    <w:p>
      <w:r>
        <w:t>A frase exigida é: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EXCLUIR PROJETO SEU_PROJECT_ID</w:t>
      </w:r>
    </w:p>
    <w:p>
      <w:r>
        <w:t>O script remove agendamentos, cancela Dataflow, remove Cloud Run, executa Terraform destroy quando possível, exclui Pub/Sub, BigQuery, Cloud Storage e solicita a exclusão do projeto. O projeto público basedosdados está bloqueado.</w:t>
      </w:r>
    </w:p>
    <w:p>
      <w:pPr>
        <w:pStyle w:val="Heading1"/>
      </w:pPr>
      <w:r>
        <w:t>9. Conclusão</w:t>
      </w:r>
    </w:p>
    <w:p>
      <w:r>
        <w:t>A solução atende aos requisitos de ingestão batch e streaming, arquitetura medalhão, qualidade, monitoramento, FinOps e preparação para BI e IA. A implementação foi adaptada para uma demonstração acadêmica de baixo custo e pode ser completamente removida do GCP depois da apresentação.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Manual de implementação simplificado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Tech Challenge - Alfabetização no GCP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