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595959"/>
          <w:sz w:val="20"/>
          <w:szCs w:val="20"/>
        </w:rPr>
        <w:t xml:space="preserve">PROYECTO FINAL · OPCIÓN 4 de 10</w:t>
      </w:r>
    </w:p>
    <w:p>
      <w:pPr>
        <w:pStyle w:val="Title"/>
      </w:pPr>
      <w:r>
        <w:t xml:space="preserve">Manual de instalación</w:t>
      </w:r>
    </w:p>
    <w:p>
      <w:pPr>
        <w:pBdr>
          <w:bottom w:val="single" w:color="1E2761" w:sz="12" w:space="6"/>
        </w:pBdr>
        <w:spacing w:after="240"/>
      </w:pPr>
      <w:r>
        <w:rPr>
          <w:i/>
          <w:iCs/>
          <w:color w:val="1E2761"/>
          <w:sz w:val="24"/>
          <w:szCs w:val="24"/>
        </w:rPr>
        <w:t xml:space="preserve">Gateway LLM Propio con Seguridad de Nivel Producción</w:t>
      </w:r>
    </w:p>
    <w:p>
      <w:r>
        <w:t xml:space="preserve">Versión 1.0 · Octubre 2026 · Autor: César · Repositorio: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github.com/cesarmv85-del/fundamentos-arquitectura-llm-gateway-owasp</w:t>
      </w:r>
    </w:p>
    <w:p>
      <w:r>
        <w:t xml:space="preserve">Este manual explica cómo instalar, configurar y verificar el Gateway LLM en un equipo local, cómo conectarlo a un proveedor real de modelos y qué se necesita para llevarlo a producción. Está dirigido a quien administra el gateway. Para el uso diario (enviar consultas, leer los registros, emitir claves) consulte el </w:t>
      </w:r>
      <w:r>
        <w:rPr>
          <w:b/>
          <w:bCs/>
        </w:rPr>
        <w:t xml:space="preserve">Manual de usuario</w:t>
      </w:r>
      <w:r>
        <w:t xml:space="preserve">.</w:t>
      </w:r>
    </w:p>
    <w:p>
      <w:pPr>
        <w:pStyle w:val="Heading1"/>
      </w:pPr>
      <w:r>
        <w:t xml:space="preserve">1. Qué se instala</w:t>
      </w:r>
    </w:p>
    <w:p>
      <w:r>
        <w:t xml:space="preserve">El gateway es un servicio web (FastAPI) que recibe todas las consultas a modelos de lenguaje de la organización por un único punto de entrada,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POST /v1/chat</w:t>
      </w:r>
      <w:r>
        <w:t xml:space="preserve">, y aplica cuatro controles de seguridad del marco OWASP Top 10 for LLM Applications 2025 antes y después de llamar al proveedor.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1"/>
        <w:gridCol w:w="7029"/>
      </w:tblGrid>
      <w:tr>
        <w:trPr>
          <w:tblHeader/>
        </w:trPr>
        <w:tc>
          <w:tcPr>
            <w:tcW w:type="dxa" w:w="233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702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233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gateway/</w:t>
            </w:r>
          </w:p>
        </w:tc>
        <w:tc>
          <w:tcPr>
            <w:tcW w:type="dxa" w:w="702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Código del servicio</w:t>
            </w:r>
          </w:p>
        </w:tc>
      </w:tr>
      <w:tr>
        <w:tc>
          <w:tcPr>
            <w:tcW w:type="dxa" w:w="233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scripts/</w:t>
            </w:r>
          </w:p>
        </w:tc>
        <w:tc>
          <w:tcPr>
            <w:tcW w:type="dxa" w:w="702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Emisión de claves, demostración antes/después, escáner de secretos</w:t>
            </w:r>
          </w:p>
        </w:tc>
      </w:tr>
      <w:tr>
        <w:tc>
          <w:tcPr>
            <w:tcW w:type="dxa" w:w="233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tests/</w:t>
            </w:r>
          </w:p>
        </w:tc>
        <w:tc>
          <w:tcPr>
            <w:tcW w:type="dxa" w:w="702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63 pruebas automáticas</w:t>
            </w:r>
          </w:p>
        </w:tc>
      </w:tr>
      <w:tr>
        <w:tc>
          <w:tcPr>
            <w:tcW w:type="dxa" w:w="233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.env</w:t>
            </w:r>
          </w:p>
        </w:tc>
        <w:tc>
          <w:tcPr>
            <w:tcW w:type="dxa" w:w="702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Configuración local (se crea durante la instalación; nunca se sube a GitHub)</w:t>
            </w:r>
          </w:p>
        </w:tc>
      </w:tr>
      <w:tr>
        <w:tc>
          <w:tcPr>
            <w:tcW w:type="dxa" w:w="233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logs/gateway.jsonl</w:t>
            </w:r>
          </w:p>
        </w:tc>
        <w:tc>
          <w:tcPr>
            <w:tcW w:type="dxa" w:w="702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Registro de auditoría (se crea al arrancar)</w:t>
            </w:r>
          </w:p>
        </w:tc>
      </w:tr>
    </w:tbl>
    <w:p>
      <w:pPr>
        <w:spacing w:after="60"/>
      </w:pPr>
    </w:p>
    <w:p>
      <w:r>
        <w:t xml:space="preserve">La instalación básica no requiere API keys ni conexión a ningún proveedor: usa un </w:t>
      </w:r>
      <w:r>
        <w:rPr>
          <w:b/>
          <w:bCs/>
        </w:rPr>
        <w:t xml:space="preserve">proveedor simulado</w:t>
      </w:r>
      <w:r>
        <w:t xml:space="preserve"> que permite comprobar todo el funcionamiento sin costo.</w:t>
      </w:r>
    </w:p>
    <w:p>
      <w:pPr>
        <w:pStyle w:val="Heading1"/>
      </w:pPr>
      <w:r>
        <w:t xml:space="preserve">2. Requisitos previos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5"/>
        <w:gridCol w:w="7075"/>
      </w:tblGrid>
      <w:tr>
        <w:trPr>
          <w:tblHeader/>
        </w:trPr>
        <w:tc>
          <w:tcPr>
            <w:tcW w:type="dxa" w:w="228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707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28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Sistema operativo</w:t>
            </w:r>
          </w:p>
        </w:tc>
        <w:tc>
          <w:tcPr>
            <w:tcW w:type="dxa" w:w="707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Linux, macOS o Windows 10/11</w:t>
            </w:r>
          </w:p>
        </w:tc>
      </w:tr>
      <w:tr>
        <w:tc>
          <w:tcPr>
            <w:tcW w:type="dxa" w:w="228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Python</w:t>
            </w:r>
          </w:p>
        </w:tc>
        <w:tc>
          <w:tcPr>
            <w:tcW w:type="dxa" w:w="707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3.11 o 3.12</w:t>
            </w:r>
          </w:p>
        </w:tc>
      </w:tr>
      <w:tr>
        <w:tc>
          <w:tcPr>
            <w:tcW w:type="dxa" w:w="228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Git</w:t>
            </w:r>
          </w:p>
        </w:tc>
        <w:tc>
          <w:tcPr>
            <w:tcW w:type="dxa" w:w="707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Cualquier versión reciente (en Windows incluye </w:t>
            </w:r>
            <w:r>
              <w:rPr>
                <w:b/>
                <w:bCs/>
                <w:color w:val="212121"/>
                <w:sz w:val="18"/>
                <w:szCs w:val="18"/>
              </w:rPr>
              <w:t xml:space="preserve">Git Bash</w:t>
            </w:r>
            <w:r>
              <w:rPr>
                <w:color w:val="212121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228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Espacio en disco</w:t>
            </w:r>
          </w:p>
        </w:tc>
        <w:tc>
          <w:tcPr>
            <w:tcW w:type="dxa" w:w="707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150 MB aproximadamente</w:t>
            </w:r>
          </w:p>
        </w:tc>
      </w:tr>
      <w:tr>
        <w:tc>
          <w:tcPr>
            <w:tcW w:type="dxa" w:w="228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Red</w:t>
            </w:r>
          </w:p>
        </w:tc>
        <w:tc>
          <w:tcPr>
            <w:tcW w:type="dxa" w:w="707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Acceso a internet para descargar las dependencias</w:t>
            </w:r>
          </w:p>
        </w:tc>
      </w:tr>
      <w:tr>
        <w:tc>
          <w:tcPr>
            <w:tcW w:type="dxa" w:w="228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Puerto</w:t>
            </w:r>
          </w:p>
        </w:tc>
        <w:tc>
          <w:tcPr>
            <w:tcW w:type="dxa" w:w="707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8000 libre (se puede cambiar)</w:t>
            </w:r>
          </w:p>
        </w:tc>
      </w:tr>
    </w:tbl>
    <w:p>
      <w:pPr>
        <w:spacing w:after="60"/>
      </w:pPr>
    </w:p>
    <w:p>
      <w:r>
        <w:t xml:space="preserve">Opcionales, según el uso: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0"/>
        <w:gridCol w:w="5450"/>
      </w:tblGrid>
      <w:tr>
        <w:trPr>
          <w:tblHeader/>
        </w:trPr>
        <w:tc>
          <w:tcPr>
            <w:tcW w:type="dxa" w:w="391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Opcional</w:t>
            </w:r>
          </w:p>
        </w:tc>
        <w:tc>
          <w:tcPr>
            <w:tcW w:type="dxa" w:w="545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Para qué</w:t>
            </w:r>
          </w:p>
        </w:tc>
      </w:tr>
      <w:tr>
        <w:tc>
          <w:tcPr>
            <w:tcW w:type="dxa" w:w="391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API key de OpenAI, Anthropic o Google</w:t>
            </w:r>
          </w:p>
        </w:tc>
        <w:tc>
          <w:tcPr>
            <w:tcW w:type="dxa" w:w="545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Usar un modelo real en lugar del simulado</w:t>
            </w:r>
          </w:p>
        </w:tc>
      </w:tr>
      <w:tr>
        <w:tc>
          <w:tcPr>
            <w:tcW w:type="dxa" w:w="391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Ollama</w:t>
            </w:r>
          </w:p>
        </w:tc>
        <w:tc>
          <w:tcPr>
            <w:tcW w:type="dxa" w:w="545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Usar un modelo local sin costo</w:t>
            </w:r>
          </w:p>
        </w:tc>
      </w:tr>
      <w:tr>
        <w:tc>
          <w:tcPr>
            <w:tcW w:type="dxa" w:w="391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Docker</w:t>
            </w:r>
          </w:p>
        </w:tc>
        <w:tc>
          <w:tcPr>
            <w:tcW w:type="dxa" w:w="545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Ejecutar el gateway como contenedor</w:t>
            </w:r>
          </w:p>
        </w:tc>
      </w:tr>
      <w:tr>
        <w:tc>
          <w:tcPr>
            <w:tcW w:type="dxa" w:w="391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Redis</w:t>
            </w:r>
          </w:p>
        </w:tc>
        <w:tc>
          <w:tcPr>
            <w:tcW w:type="dxa" w:w="545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Compartir el contador de cuotas entre varias réplicas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Plataformas verificadas:</w:t>
      </w:r>
      <w:r>
        <w:t xml:space="preserve"> la instalación, las pruebas y los ejemplos de este manual se ejecutaron en Linux (Ubuntu) con Python 3.11 y 3.12. En Windows y macOS se usan los comandos equivalentes que se indican en cada paso.</w:t>
      </w:r>
    </w:p>
    <w:p>
      <w:r>
        <w:t xml:space="preserve">Compruebe los requisitos antes de empezar: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python --version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git --version</w:t>
            </w:r>
          </w:p>
        </w:tc>
      </w:tr>
    </w:tbl>
    <w:p>
      <w:pPr>
        <w:spacing w:after="60"/>
      </w:pPr>
    </w:p>
    <w:p>
      <w:pPr>
        <w:pBdr>
          <w:left w:val="single" w:color="CADCFC" w:sz="18" w:space="8"/>
        </w:pBdr>
        <w:ind w:left="360"/>
      </w:pPr>
      <w:r>
        <w:rPr>
          <w:b/>
          <w:bCs/>
          <w:i/>
          <w:iCs/>
          <w:color w:val="595959"/>
        </w:rPr>
        <w:t xml:space="preserve">Nota para Windows:</w:t>
      </w:r>
      <w:r>
        <w:rPr>
          <w:i/>
          <w:iCs/>
          <w:color w:val="595959"/>
        </w:rPr>
        <w:t xml:space="preserve"> si </w:t>
      </w:r>
      <w:r>
        <w:rPr>
          <w:rFonts w:ascii="Consolas" w:cs="Consolas" w:eastAsia="Consolas" w:hAnsi="Consolas"/>
          <w:i/>
          <w:iCs/>
          <w:color w:val="595959"/>
          <w:sz w:val="19"/>
          <w:szCs w:val="19"/>
        </w:rPr>
        <w:t xml:space="preserve">python</w:t>
      </w:r>
      <w:r>
        <w:rPr>
          <w:i/>
          <w:iCs/>
          <w:color w:val="595959"/>
        </w:rPr>
        <w:t xml:space="preserve"> no se reconoce, instale Python desde python.org y marque la casilla "Add python.exe to PATH". En Linux y macOS el comando puede ser </w:t>
      </w:r>
      <w:r>
        <w:rPr>
          <w:rFonts w:ascii="Consolas" w:cs="Consolas" w:eastAsia="Consolas" w:hAnsi="Consolas"/>
          <w:i/>
          <w:iCs/>
          <w:color w:val="595959"/>
          <w:sz w:val="19"/>
          <w:szCs w:val="19"/>
        </w:rPr>
        <w:t xml:space="preserve">python3</w:t>
      </w:r>
      <w:r>
        <w:rPr>
          <w:i/>
          <w:iCs/>
          <w:color w:val="595959"/>
        </w:rPr>
        <w:t xml:space="preserve"> o </w:t>
      </w:r>
      <w:r>
        <w:rPr>
          <w:rFonts w:ascii="Consolas" w:cs="Consolas" w:eastAsia="Consolas" w:hAnsi="Consolas"/>
          <w:i/>
          <w:iCs/>
          <w:color w:val="595959"/>
          <w:sz w:val="19"/>
          <w:szCs w:val="19"/>
        </w:rPr>
        <w:t xml:space="preserve">python3.12</w:t>
      </w:r>
      <w:r>
        <w:rPr>
          <w:i/>
          <w:iCs/>
          <w:color w:val="595959"/>
        </w:rPr>
        <w:t xml:space="preserve">.</w:t>
      </w:r>
    </w:p>
    <w:p>
      <w:pPr>
        <w:pStyle w:val="Heading1"/>
      </w:pPr>
      <w:r>
        <w:t xml:space="preserve">3. Instalación paso a paso</w:t>
      </w:r>
    </w:p>
    <w:p>
      <w:r>
        <w:t xml:space="preserve">Hay tres terminales posibles. Use siempre la misma durante toda la instalación.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0"/>
        <w:gridCol w:w="7580"/>
      </w:tblGrid>
      <w:tr>
        <w:trPr>
          <w:tblHeader/>
        </w:trPr>
        <w:tc>
          <w:tcPr>
            <w:tcW w:type="dxa" w:w="178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Terminal</w:t>
            </w:r>
          </w:p>
        </w:tc>
        <w:tc>
          <w:tcPr>
            <w:tcW w:type="dxa" w:w="758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Cuándo usarla</w:t>
            </w:r>
          </w:p>
        </w:tc>
      </w:tr>
      <w:tr>
        <w:tc>
          <w:tcPr>
            <w:tcW w:type="dxa" w:w="178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Linux / macOS</w:t>
            </w:r>
          </w:p>
        </w:tc>
        <w:tc>
          <w:tcPr>
            <w:tcW w:type="dxa" w:w="758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Terminal del sistema</w:t>
            </w:r>
          </w:p>
        </w:tc>
      </w:tr>
      <w:tr>
        <w:tc>
          <w:tcPr>
            <w:tcW w:type="dxa" w:w="178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Windows · Git Bash</w:t>
            </w:r>
          </w:p>
        </w:tc>
        <w:tc>
          <w:tcPr>
            <w:tcW w:type="dxa" w:w="758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12121"/>
                <w:sz w:val="18"/>
                <w:szCs w:val="18"/>
              </w:rPr>
              <w:t xml:space="preserve">Recomendada en Windows</w:t>
            </w:r>
            <w:r>
              <w:rPr>
                <w:color w:val="212121"/>
                <w:sz w:val="18"/>
                <w:szCs w:val="18"/>
              </w:rPr>
              <w:t xml:space="preserve">: acepta los mismos comandos que Linux y permite ejecutar el script de demostración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.sh</w:t>
            </w:r>
          </w:p>
        </w:tc>
      </w:tr>
      <w:tr>
        <w:tc>
          <w:tcPr>
            <w:tcW w:type="dxa" w:w="178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Windows · PowerShell</w:t>
            </w:r>
          </w:p>
        </w:tc>
        <w:tc>
          <w:tcPr>
            <w:tcW w:type="dxa" w:w="758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Alternativa; algunos comandos cambian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Paso 1 · Obtener el código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git clone https://github.com/cesarmv85-del/fundamentos-arquitectura-llm-gateway-owasp.git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cd fundamentos-arquitectura-llm-gateway-owasp</w:t>
            </w:r>
          </w:p>
        </w:tc>
      </w:tr>
    </w:tbl>
    <w:p>
      <w:pPr>
        <w:spacing w:after="60"/>
      </w:pPr>
    </w:p>
    <w:p>
      <w:r>
        <w:t xml:space="preserve">Sin Git: en la página del repositorio, botón </w:t>
      </w:r>
      <w:r>
        <w:rPr>
          <w:b/>
          <w:bCs/>
        </w:rPr>
        <w:t xml:space="preserve">Code → Download ZIP</w:t>
      </w:r>
      <w:r>
        <w:t xml:space="preserve">, y descomprima la carpeta.</w:t>
      </w:r>
    </w:p>
    <w:p>
      <w:pPr>
        <w:pStyle w:val="Heading2"/>
      </w:pPr>
      <w:r>
        <w:t xml:space="preserve">Paso 2 · Crear el entorno virtual e instalar dependencias</w:t>
      </w:r>
    </w:p>
    <w:p>
      <w:r>
        <w:t xml:space="preserve">El entorno virtual aísla las librerías del gateway de las del resto del equipo.</w:t>
      </w:r>
    </w:p>
    <w:p>
      <w:r>
        <w:t xml:space="preserve">Linux / macOS: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python3 -m venv venv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source venv/bin/activate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pip install -r requirements.txt</w:t>
            </w:r>
          </w:p>
        </w:tc>
      </w:tr>
    </w:tbl>
    <w:p>
      <w:pPr>
        <w:spacing w:after="60"/>
      </w:pPr>
    </w:p>
    <w:p>
      <w:r>
        <w:t xml:space="preserve">Windows · Git Bash: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python -m venv venv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source venv/Scripts/activate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pip install -r requirements.txt</w:t>
            </w:r>
          </w:p>
        </w:tc>
      </w:tr>
    </w:tbl>
    <w:p>
      <w:pPr>
        <w:spacing w:after="60"/>
      </w:pPr>
    </w:p>
    <w:p>
      <w:r>
        <w:t xml:space="preserve">Windows · PowerShell: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python -m venv venv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.\venv\Scripts\Activate.ps1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pip install -r requirements.txt</w:t>
            </w:r>
          </w:p>
        </w:tc>
      </w:tr>
    </w:tbl>
    <w:p>
      <w:pPr>
        <w:spacing w:after="60"/>
      </w:pPr>
    </w:p>
    <w:p>
      <w:pPr>
        <w:pBdr>
          <w:left w:val="single" w:color="CADCFC" w:sz="18" w:space="8"/>
        </w:pBdr>
        <w:ind w:left="360"/>
      </w:pPr>
      <w:r>
        <w:rPr>
          <w:b/>
          <w:bCs/>
          <w:i/>
          <w:iCs/>
          <w:color w:val="595959"/>
        </w:rPr>
        <w:t xml:space="preserve">Nota:</w:t>
      </w:r>
      <w:r>
        <w:rPr>
          <w:i/>
          <w:iCs/>
          <w:color w:val="595959"/>
        </w:rPr>
        <w:t xml:space="preserve"> si PowerShell bloquea la activación por la política de ejecución de scripts, ejecute antes </w:t>
      </w:r>
      <w:r>
        <w:rPr>
          <w:rFonts w:ascii="Consolas" w:cs="Consolas" w:eastAsia="Consolas" w:hAnsi="Consolas"/>
          <w:i/>
          <w:iCs/>
          <w:color w:val="595959"/>
          <w:sz w:val="19"/>
          <w:szCs w:val="19"/>
        </w:rPr>
        <w:t xml:space="preserve">Set-ExecutionPolicy -Scope Process -ExecutionPolicy Bypass</w:t>
      </w:r>
      <w:r>
        <w:rPr>
          <w:i/>
          <w:iCs/>
          <w:color w:val="595959"/>
        </w:rPr>
        <w:t xml:space="preserve"> y repita el comando.</w:t>
      </w:r>
    </w:p>
    <w:p>
      <w:r>
        <w:t xml:space="preserve">Al terminar, el indicador de la terminal muestra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(venv)</w:t>
      </w:r>
      <w:r>
        <w:t xml:space="preserve">. Cada vez que abra una terminal nueva debe </w:t>
      </w:r>
      <w:r>
        <w:rPr>
          <w:b/>
          <w:bCs/>
        </w:rPr>
        <w:t xml:space="preserve">activar de nuevo</w:t>
      </w:r>
      <w:r>
        <w:t xml:space="preserve"> el entorno con el segundo comando.</w:t>
      </w:r>
    </w:p>
    <w:p>
      <w:pPr>
        <w:pStyle w:val="Heading2"/>
      </w:pPr>
      <w:r>
        <w:t xml:space="preserve">Paso 3 · Crear el archivo de configuración</w:t>
      </w:r>
    </w:p>
    <w:p>
      <w:r>
        <w:t xml:space="preserve">Linux / macOS / Git Bash: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cp .env.example .env</w:t>
            </w:r>
          </w:p>
        </w:tc>
      </w:tr>
    </w:tbl>
    <w:p>
      <w:pPr>
        <w:spacing w:after="60"/>
      </w:pPr>
    </w:p>
    <w:p>
      <w:r>
        <w:t xml:space="preserve">Windows · PowerShell: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Copy-Item .env.example .env</w:t>
            </w:r>
          </w:p>
        </w:tc>
      </w:tr>
    </w:tbl>
    <w:p>
      <w:pPr>
        <w:spacing w:after="60"/>
      </w:pPr>
    </w:p>
    <w:p>
      <w:r>
        <w:t xml:space="preserve">El archivo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.env</w:t>
      </w:r>
      <w:r>
        <w:t xml:space="preserve"> ya trae valores válidos para funcionar con el proveedor simulado. Solo falta agregar una clave de cliente (paso siguiente).</w:t>
      </w:r>
    </w:p>
    <w:p>
      <w:pPr>
        <w:pStyle w:val="Heading2"/>
      </w:pPr>
      <w:r>
        <w:t xml:space="preserve">Paso 4 · Emitir la primera clave de cliente</w:t>
      </w:r>
    </w:p>
    <w:p>
      <w:r>
        <w:t xml:space="preserve">Toda aplicación que consuma el gateway necesita su propia clave. El gateway </w:t>
      </w:r>
      <w:r>
        <w:rPr>
          <w:b/>
          <w:bCs/>
        </w:rPr>
        <w:t xml:space="preserve">no guarda la clave</w:t>
      </w:r>
      <w:r>
        <w:t xml:space="preserve">, solo su huella (hash SHA-256).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python scripts/generar_clave_cliente.py equipo_soporte</w:t>
            </w:r>
          </w:p>
        </w:tc>
      </w:tr>
    </w:tbl>
    <w:p>
      <w:pPr>
        <w:spacing w:after="60"/>
      </w:pPr>
    </w:p>
    <w:p>
      <w:r>
        <w:t xml:space="preserve">Salida: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Clave para 'equipo_soporte' (guárdela ahora, no se vuelve a mostrar):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gw_ZCrh1e…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Agregue a GATEWAY_CLIENT_KEYS_SHA256 en .env (separar clientes con coma):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equipo_soporte:84d6c15ce47267c4…</w:t>
            </w:r>
          </w:p>
        </w:tc>
      </w:tr>
    </w:tbl>
    <w:p>
      <w:pPr>
        <w:spacing w:after="60"/>
      </w:pPr>
    </w:p>
    <w:p>
      <w:r>
        <w:t xml:space="preserve">Haga dos cosas con esa salida: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Guarde la clave</w:t>
      </w:r>
      <w:r>
        <w:t xml:space="preserve">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gw_…</w:t>
      </w:r>
      <w:r>
        <w:t xml:space="preserve"> en un lugar seguro (un gestor de contraseñas). Es la que usará la aplicación cliente.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Copie la última línea completa</w:t>
      </w:r>
      <w:r>
        <w:t xml:space="preserve"> (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equipo_soporte:…</w:t>
      </w:r>
      <w:r>
        <w:t xml:space="preserve">) en el archivo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.env</w:t>
      </w:r>
      <w:r>
        <w:t xml:space="preserve">, a la derecha de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GATEWAY_CLIENT_KEYS_SHA256=</w:t>
      </w:r>
      <w:r>
        <w:t xml:space="preserve">.</w:t>
      </w:r>
    </w:p>
    <w:p>
      <w:r>
        <w:t xml:space="preserve">El resultado en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.env</w:t>
      </w:r>
      <w:r>
        <w:t xml:space="preserve"> debe quedar así, en una sola línea y sin espacios: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GATEWAY_CLIENT_KEYS_SHA256=equipo_soporte:84d6c15ce47267c4…(64 caracteres en total)</w:t>
            </w:r>
          </w:p>
        </w:tc>
      </w:tr>
    </w:tbl>
    <w:p>
      <w:pPr>
        <w:spacing w:after="60"/>
      </w:pPr>
    </w:p>
    <w:p>
      <w:r>
        <w:t xml:space="preserve">Para editar el archivo: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nano .env</w:t>
      </w:r>
      <w:r>
        <w:t xml:space="preserve"> (Linux/macOS) 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notepad .env</w:t>
      </w:r>
      <w:r>
        <w:t xml:space="preserve"> (Windows).</w:t>
      </w:r>
    </w:p>
    <w:p>
      <w:pPr>
        <w:pStyle w:val="Heading2"/>
      </w:pPr>
      <w:r>
        <w:t xml:space="preserve">Paso 5 · Arrancar el gateway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uvicorn gateway.main:app --port 8000</w:t>
            </w:r>
          </w:p>
        </w:tc>
      </w:tr>
    </w:tbl>
    <w:p>
      <w:pPr>
        <w:spacing w:after="60"/>
      </w:pPr>
    </w:p>
    <w:p>
      <w:r>
        <w:t xml:space="preserve">Salida esperada: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{"evento": "gateway_iniciado", "mitigaciones_activas": {"LLM01_prompt_injection": true, "LLM02_sensitive_information_disclosure": true, "LLM07_system_prompt_leakage": true, "LLM10_unbounded_consumption": true}, "nivel": "INFO", "proveedor": "simulado", ...}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INFO:     Started server process [967]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INFO:     Application startup complete.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INFO:     Uvicorn running on http://127.0.0.1:8000 (Press CTRL+C to quit)</w:t>
            </w:r>
          </w:p>
        </w:tc>
      </w:tr>
    </w:tbl>
    <w:p>
      <w:pPr>
        <w:spacing w:after="60"/>
      </w:pPr>
    </w:p>
    <w:p>
      <w:r>
        <w:t xml:space="preserve">La primera línea confirma que las </w:t>
      </w:r>
      <w:r>
        <w:rPr>
          <w:b/>
          <w:bCs/>
        </w:rPr>
        <w:t xml:space="preserve">cuatro mitigaciones están activas</w:t>
      </w:r>
      <w:r>
        <w:t xml:space="preserve">. Deje esta terminal abierta: el gateway corre mientras esté abierta. Para detenerlo, pulse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Ctrl + C</w:t>
      </w:r>
      <w:r>
        <w:t xml:space="preserve">.</w:t>
      </w:r>
    </w:p>
    <w:p>
      <w:pPr>
        <w:pStyle w:val="Heading2"/>
      </w:pPr>
      <w:r>
        <w:t xml:space="preserve">Paso 6 · Verificar la instalación</w:t>
      </w:r>
    </w:p>
    <w:p>
      <w:r>
        <w:t xml:space="preserve">Abra una </w:t>
      </w:r>
      <w:r>
        <w:rPr>
          <w:b/>
          <w:bCs/>
        </w:rPr>
        <w:t xml:space="preserve">segunda terminal</w:t>
      </w:r>
      <w:r>
        <w:t xml:space="preserve"> en la misma carpeta y active el entorno virtual.</w:t>
      </w:r>
    </w:p>
    <w:p>
      <w:r>
        <w:rPr>
          <w:b/>
          <w:bCs/>
        </w:rPr>
        <w:t xml:space="preserve">a) El servicio responde.</w:t>
      </w:r>
      <w:r>
        <w:t xml:space="preserve"> Abra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http://localhost:8000/health</w:t>
      </w:r>
      <w:r>
        <w:t xml:space="preserve"> en el navegador, o ejecute: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curl http://localhost:8000/health</w:t>
            </w:r>
          </w:p>
        </w:tc>
      </w:tr>
    </w:tbl>
    <w:p>
      <w:pPr>
        <w:spacing w:after="60"/>
      </w:pPr>
    </w:p>
    <w:p>
      <w:r>
        <w:t xml:space="preserve">Respuesta: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{"status":"ok"}</w:t>
      </w:r>
    </w:p>
    <w:p>
      <w:r>
        <w:rPr>
          <w:b/>
          <w:bCs/>
        </w:rPr>
        <w:t xml:space="preserve">b) Primera consulta con la clave.</w:t>
      </w:r>
      <w:r>
        <w:t xml:space="preserve"> Guarde la clave en una variable y envíe una consulta.</w:t>
      </w:r>
    </w:p>
    <w:p>
      <w:r>
        <w:t xml:space="preserve">Linux / macOS / Git Bash: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export GW_KEY=gw_...su_clave...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curl -s -X POST http://localhost:8000/v1/chat \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-H "Authorization: Bearer $GW_KEY" -H "Content-Type: application/json" \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-d '{"mensaje":"¿Puedo devolver un producto que compré hace 20 días?"}'</w:t>
            </w:r>
          </w:p>
        </w:tc>
      </w:tr>
    </w:tbl>
    <w:p>
      <w:pPr>
        <w:spacing w:after="60"/>
      </w:pPr>
    </w:p>
    <w:p>
      <w:r>
        <w:t xml:space="preserve">Windows · PowerShell: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$env:GW_KEY = "gw_...su_clave..."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$cabeceras = @{ Authorization = "Bearer $env:GW_KEY"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$cuerpo = @{ mensaje = "¿Puedo devolver un producto que compré hace 20 días?" } | ConvertTo-Json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Invoke-RestMethod -Uri http://localhost:8000/v1/chat -Method Post -Headers $cabeceras `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-ContentType "application/json; charset=utf-8" -Body ([Text.Encoding]::UTF8.GetBytes($cuerpo))</w:t>
            </w:r>
          </w:p>
        </w:tc>
      </w:tr>
    </w:tbl>
    <w:p>
      <w:pPr>
        <w:spacing w:after="60"/>
      </w:pPr>
    </w:p>
    <w:p>
      <w:r>
        <w:t xml:space="preserve">Respuesta: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{"request_id":"91250ba8f5ee4766","respuesta":"Puedes devolver tu producto dentro de 30 días desde la compra, con boleta y sin uso.","proveedor":"simulado","modelo":"modelo-ingenuo-v1","simulado":true,"degradado":false,"tokens_entrada":148,"tokens_salida":21,"latencia_ms":0}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c) Las pruebas automáticas pasan.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python -m pytest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python scripts/escanear_secretos.py</w:t>
            </w:r>
          </w:p>
        </w:tc>
      </w:tr>
    </w:tbl>
    <w:p>
      <w:pPr>
        <w:spacing w:after="60"/>
      </w:pPr>
    </w:p>
    <w:p>
      <w:r>
        <w:t xml:space="preserve">Resultado esperado: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63 passed</w:t>
      </w:r>
      <w:r>
        <w:t xml:space="preserve"> (puede añadir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1 warning</w:t>
      </w:r>
      <w:r>
        <w:t xml:space="preserve">, que es inofensivo) y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✓ Sin secretos detectados en archivos + historial git + logs/</w:t>
      </w:r>
      <w:r>
        <w:t xml:space="preserve">.</w:t>
      </w:r>
    </w:p>
    <w:p>
      <w:r>
        <w:rPr>
          <w:b/>
          <w:bCs/>
        </w:rPr>
        <w:t xml:space="preserve">d) Documentación interactiva.</w:t>
      </w:r>
      <w:r>
        <w:t xml:space="preserve"> En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http://localhost:8000/docs</w:t>
      </w:r>
      <w:r>
        <w:t xml:space="preserve"> puede probar la API desde el navegador: pulse </w:t>
      </w:r>
      <w:r>
        <w:rPr>
          <w:b/>
          <w:bCs/>
        </w:rPr>
        <w:t xml:space="preserve">Authorize</w:t>
      </w:r>
      <w:r>
        <w:t xml:space="preserve"> y pegue su clave. Solo está disponible fuera de producción y necesita conexión a internet para cargar.</w:t>
      </w:r>
    </w:p>
    <w:p>
      <w:r>
        <w:t xml:space="preserve">Si los cuatro puntos funcionan, la instalación está completa.</w:t>
      </w:r>
    </w:p>
    <w:p>
      <w:pPr>
        <w:pStyle w:val="Heading1"/>
      </w:pPr>
      <w:r>
        <w:t xml:space="preserve">4. Configuración</w:t>
      </w:r>
    </w:p>
    <w:p>
      <w:r>
        <w:t xml:space="preserve">Toda la configuración está en el archivo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.env</w:t>
      </w:r>
      <w:r>
        <w:t xml:space="preserve">. </w:t>
      </w:r>
      <w:r>
        <w:rPr>
          <w:b/>
          <w:bCs/>
        </w:rPr>
        <w:t xml:space="preserve">Reinicie el gateway</w:t>
      </w:r>
      <w:r>
        <w:t xml:space="preserve"> después de cada cambio (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Ctrl + C</w:t>
      </w:r>
      <w:r>
        <w:t xml:space="preserve"> y volver a arrancar).</w:t>
      </w:r>
    </w:p>
    <w:p>
      <w:pPr>
        <w:pStyle w:val="Heading2"/>
      </w:pPr>
      <w:r>
        <w:t xml:space="preserve">4.1 Proveedores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7"/>
        <w:gridCol w:w="2688"/>
        <w:gridCol w:w="3445"/>
      </w:tblGrid>
      <w:tr>
        <w:trPr>
          <w:tblHeader/>
        </w:trPr>
        <w:tc>
          <w:tcPr>
            <w:tcW w:type="dxa" w:w="322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268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 por defecto</w:t>
            </w:r>
          </w:p>
        </w:tc>
        <w:tc>
          <w:tcPr>
            <w:tcW w:type="dxa" w:w="344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322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PROVEEDOR_PRINCIPAL</w:t>
            </w:r>
          </w:p>
        </w:tc>
        <w:tc>
          <w:tcPr>
            <w:tcW w:type="dxa" w:w="268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simulado</w:t>
            </w:r>
          </w:p>
        </w:tc>
        <w:tc>
          <w:tcPr>
            <w:tcW w:type="dxa" w:w="344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simulado</w:t>
            </w:r>
            <w:r>
              <w:rPr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openai</w:t>
            </w:r>
            <w:r>
              <w:rPr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anthropic</w:t>
            </w:r>
            <w:r>
              <w:rPr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google</w:t>
            </w:r>
            <w:r>
              <w:rPr>
                <w:color w:val="212121"/>
                <w:sz w:val="18"/>
                <w:szCs w:val="18"/>
              </w:rPr>
              <w:t xml:space="preserve"> u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ollama</w:t>
            </w:r>
          </w:p>
        </w:tc>
      </w:tr>
      <w:tr>
        <w:tc>
          <w:tcPr>
            <w:tcW w:type="dxa" w:w="322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PROVEEDOR_RESPALDO</w:t>
            </w:r>
          </w:p>
        </w:tc>
        <w:tc>
          <w:tcPr>
            <w:tcW w:type="dxa" w:w="268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(vacío)</w:t>
            </w:r>
          </w:p>
        </w:tc>
        <w:tc>
          <w:tcPr>
            <w:tcW w:type="dxa" w:w="344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Proveedor al que se recurre si el principal falla</w:t>
            </w:r>
          </w:p>
        </w:tc>
      </w:tr>
      <w:tr>
        <w:tc>
          <w:tcPr>
            <w:tcW w:type="dxa" w:w="322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OPENAI_API_KEY</w:t>
            </w:r>
            <w:r>
              <w:rPr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ANTHROPIC_API_KEY</w:t>
            </w:r>
            <w:r>
              <w:rPr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GOOGLE_API_KEY</w:t>
            </w:r>
          </w:p>
        </w:tc>
        <w:tc>
          <w:tcPr>
            <w:tcW w:type="dxa" w:w="268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(vacío)</w:t>
            </w:r>
          </w:p>
        </w:tc>
        <w:tc>
          <w:tcPr>
            <w:tcW w:type="dxa" w:w="344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Clave del proveedor correspondiente</w:t>
            </w:r>
          </w:p>
        </w:tc>
      </w:tr>
      <w:tr>
        <w:tc>
          <w:tcPr>
            <w:tcW w:type="dxa" w:w="322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MODELO_OPENAI</w:t>
            </w:r>
          </w:p>
        </w:tc>
        <w:tc>
          <w:tcPr>
            <w:tcW w:type="dxa" w:w="268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gpt-4o-mini</w:t>
            </w:r>
          </w:p>
        </w:tc>
        <w:tc>
          <w:tcPr>
            <w:tcW w:type="dxa" w:w="344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Modelo a usar con OpenAI</w:t>
            </w:r>
          </w:p>
        </w:tc>
      </w:tr>
      <w:tr>
        <w:tc>
          <w:tcPr>
            <w:tcW w:type="dxa" w:w="322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MODELO_ANTHROPIC</w:t>
            </w:r>
          </w:p>
        </w:tc>
        <w:tc>
          <w:tcPr>
            <w:tcW w:type="dxa" w:w="268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claude-haiku-4-5</w:t>
            </w:r>
          </w:p>
        </w:tc>
        <w:tc>
          <w:tcPr>
            <w:tcW w:type="dxa" w:w="344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Modelo a usar con Anthropic</w:t>
            </w:r>
          </w:p>
        </w:tc>
      </w:tr>
      <w:tr>
        <w:tc>
          <w:tcPr>
            <w:tcW w:type="dxa" w:w="322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MODELO_GOOGLE</w:t>
            </w:r>
          </w:p>
        </w:tc>
        <w:tc>
          <w:tcPr>
            <w:tcW w:type="dxa" w:w="268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gemini-2.5-flash</w:t>
            </w:r>
          </w:p>
        </w:tc>
        <w:tc>
          <w:tcPr>
            <w:tcW w:type="dxa" w:w="344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Modelo a usar con Google</w:t>
            </w:r>
          </w:p>
        </w:tc>
      </w:tr>
      <w:tr>
        <w:tc>
          <w:tcPr>
            <w:tcW w:type="dxa" w:w="322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MODELO_OLLAMA</w:t>
            </w:r>
          </w:p>
        </w:tc>
        <w:tc>
          <w:tcPr>
            <w:tcW w:type="dxa" w:w="268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llama3.2</w:t>
            </w:r>
          </w:p>
        </w:tc>
        <w:tc>
          <w:tcPr>
            <w:tcW w:type="dxa" w:w="344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Modelo local de Ollama</w:t>
            </w:r>
          </w:p>
        </w:tc>
      </w:tr>
      <w:tr>
        <w:tc>
          <w:tcPr>
            <w:tcW w:type="dxa" w:w="322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OLLAMA_BASE_URL</w:t>
            </w:r>
          </w:p>
        </w:tc>
        <w:tc>
          <w:tcPr>
            <w:tcW w:type="dxa" w:w="268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http://localhost:11434</w:t>
            </w:r>
          </w:p>
        </w:tc>
        <w:tc>
          <w:tcPr>
            <w:tcW w:type="dxa" w:w="344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Dirección del servidor Ollama</w:t>
            </w:r>
          </w:p>
        </w:tc>
      </w:tr>
      <w:tr>
        <w:tc>
          <w:tcPr>
            <w:tcW w:type="dxa" w:w="322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TIMEOUT_UPSTREAM_SEG</w:t>
            </w:r>
          </w:p>
        </w:tc>
        <w:tc>
          <w:tcPr>
            <w:tcW w:type="dxa" w:w="268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20</w:t>
            </w:r>
          </w:p>
        </w:tc>
        <w:tc>
          <w:tcPr>
            <w:tcW w:type="dxa" w:w="344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Segundos de espera máxima al proveedor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Clientes y límites de consumo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4"/>
        <w:gridCol w:w="2443"/>
        <w:gridCol w:w="4813"/>
      </w:tblGrid>
      <w:tr>
        <w:trPr>
          <w:tblHeader/>
        </w:trPr>
        <w:tc>
          <w:tcPr>
            <w:tcW w:type="dxa" w:w="210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244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 por defecto</w:t>
            </w:r>
          </w:p>
        </w:tc>
        <w:tc>
          <w:tcPr>
            <w:tcW w:type="dxa" w:w="481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210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GATEWAY_CLIENT_KEYS_SHA256</w:t>
            </w:r>
          </w:p>
        </w:tc>
        <w:tc>
          <w:tcPr>
            <w:tcW w:type="dxa" w:w="244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(vacío)</w:t>
            </w:r>
          </w:p>
        </w:tc>
        <w:tc>
          <w:tcPr>
            <w:tcW w:type="dxa" w:w="481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Clientes autorizados: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nombre:hash</w:t>
            </w:r>
            <w:r>
              <w:rPr>
                <w:color w:val="212121"/>
                <w:sz w:val="18"/>
                <w:szCs w:val="18"/>
              </w:rPr>
              <w:t xml:space="preserve">, separados por coma</w:t>
            </w:r>
          </w:p>
        </w:tc>
      </w:tr>
      <w:tr>
        <w:tc>
          <w:tcPr>
            <w:tcW w:type="dxa" w:w="210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RATE_LIMIT</w:t>
            </w:r>
          </w:p>
        </w:tc>
        <w:tc>
          <w:tcPr>
            <w:tcW w:type="dxa" w:w="244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5/minute</w:t>
            </w:r>
          </w:p>
        </w:tc>
        <w:tc>
          <w:tcPr>
            <w:tcW w:type="dxa" w:w="481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Solicitudes permitidas por clave. Otros ejemplos: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100/hour</w:t>
            </w:r>
            <w:r>
              <w:rPr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20/minute</w:t>
            </w:r>
          </w:p>
        </w:tc>
      </w:tr>
      <w:tr>
        <w:tc>
          <w:tcPr>
            <w:tcW w:type="dxa" w:w="210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RATE_LIMIT_POR</w:t>
            </w:r>
          </w:p>
        </w:tc>
        <w:tc>
          <w:tcPr>
            <w:tcW w:type="dxa" w:w="244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clave</w:t>
            </w:r>
          </w:p>
        </w:tc>
        <w:tc>
          <w:tcPr>
            <w:tcW w:type="dxa" w:w="481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Deje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clave</w:t>
            </w:r>
            <w:r>
              <w:rPr>
                <w:color w:val="212121"/>
                <w:sz w:val="18"/>
                <w:szCs w:val="18"/>
              </w:rPr>
              <w:t xml:space="preserve">. El valor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ip</w:t>
            </w:r>
            <w:r>
              <w:rPr>
                <w:color w:val="212121"/>
                <w:sz w:val="18"/>
                <w:szCs w:val="18"/>
              </w:rPr>
              <w:t xml:space="preserve"> existe solo para demostrar por qué no conviene</w:t>
            </w:r>
          </w:p>
        </w:tc>
      </w:tr>
      <w:tr>
        <w:tc>
          <w:tcPr>
            <w:tcW w:type="dxa" w:w="210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RATE_LIMIT_STORAGE_URI</w:t>
            </w:r>
          </w:p>
        </w:tc>
        <w:tc>
          <w:tcPr>
            <w:tcW w:type="dxa" w:w="244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memory://</w:t>
            </w:r>
          </w:p>
        </w:tc>
        <w:tc>
          <w:tcPr>
            <w:tcW w:type="dxa" w:w="481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Dónde se guarda el contador. Con varias réplicas use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redis://servidor:6379</w:t>
            </w:r>
          </w:p>
        </w:tc>
      </w:tr>
      <w:tr>
        <w:tc>
          <w:tcPr>
            <w:tcW w:type="dxa" w:w="210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MAX_TOKENS_TECHO</w:t>
            </w:r>
          </w:p>
        </w:tc>
        <w:tc>
          <w:tcPr>
            <w:tcW w:type="dxa" w:w="244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512</w:t>
            </w:r>
          </w:p>
        </w:tc>
        <w:tc>
          <w:tcPr>
            <w:tcW w:type="dxa" w:w="481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Máximo de tokens de salida que puede pedir una solicitud</w:t>
            </w:r>
          </w:p>
        </w:tc>
      </w:tr>
      <w:tr>
        <w:tc>
          <w:tcPr>
            <w:tcW w:type="dxa" w:w="210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MAX_CARACTERES_MENSAJE</w:t>
            </w:r>
          </w:p>
        </w:tc>
        <w:tc>
          <w:tcPr>
            <w:tcW w:type="dxa" w:w="244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4000</w:t>
            </w:r>
          </w:p>
        </w:tc>
        <w:tc>
          <w:tcPr>
            <w:tcW w:type="dxa" w:w="481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Largo máximo del mensaje</w:t>
            </w:r>
          </w:p>
        </w:tc>
      </w:tr>
      <w:tr>
        <w:tc>
          <w:tcPr>
            <w:tcW w:type="dxa" w:w="210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MAX_BYTES_BODY</w:t>
            </w:r>
          </w:p>
        </w:tc>
        <w:tc>
          <w:tcPr>
            <w:tcW w:type="dxa" w:w="244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16384</w:t>
            </w:r>
          </w:p>
        </w:tc>
        <w:tc>
          <w:tcPr>
            <w:tcW w:type="dxa" w:w="481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Tamaño máximo de la solicitud completa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4.3 Registros, navegador y entorno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7"/>
        <w:gridCol w:w="2967"/>
        <w:gridCol w:w="4886"/>
      </w:tblGrid>
      <w:tr>
        <w:trPr>
          <w:tblHeader/>
        </w:trPr>
        <w:tc>
          <w:tcPr>
            <w:tcW w:type="dxa" w:w="150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296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 por defecto</w:t>
            </w:r>
          </w:p>
        </w:tc>
        <w:tc>
          <w:tcPr>
            <w:tcW w:type="dxa" w:w="48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150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ENTORNO</w:t>
            </w:r>
          </w:p>
        </w:tc>
        <w:tc>
          <w:tcPr>
            <w:tcW w:type="dxa" w:w="296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desarrollo</w:t>
            </w:r>
          </w:p>
        </w:tc>
        <w:tc>
          <w:tcPr>
            <w:tcW w:type="dxa" w:w="48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Con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produccion</w:t>
            </w:r>
            <w:r>
              <w:rPr>
                <w:color w:val="212121"/>
                <w:sz w:val="18"/>
                <w:szCs w:val="18"/>
              </w:rPr>
              <w:t xml:space="preserve"> se activan las exigencias de la sección 7</w:t>
            </w:r>
          </w:p>
        </w:tc>
      </w:tr>
      <w:tr>
        <w:tc>
          <w:tcPr>
            <w:tcW w:type="dxa" w:w="150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LOG_ARCHIVO</w:t>
            </w:r>
          </w:p>
        </w:tc>
        <w:tc>
          <w:tcPr>
            <w:tcW w:type="dxa" w:w="296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logs/gateway.jsonl</w:t>
            </w:r>
          </w:p>
        </w:tc>
        <w:tc>
          <w:tcPr>
            <w:tcW w:type="dxa" w:w="48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Archivo del registro de auditoría</w:t>
            </w:r>
          </w:p>
        </w:tc>
      </w:tr>
      <w:tr>
        <w:tc>
          <w:tcPr>
            <w:tcW w:type="dxa" w:w="150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LOG_CONSOLA</w:t>
            </w:r>
          </w:p>
        </w:tc>
        <w:tc>
          <w:tcPr>
            <w:tcW w:type="dxa" w:w="296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true</w:t>
            </w:r>
          </w:p>
        </w:tc>
        <w:tc>
          <w:tcPr>
            <w:tcW w:type="dxa" w:w="48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Mostrar también los registros en la terminal</w:t>
            </w:r>
          </w:p>
        </w:tc>
      </w:tr>
      <w:tr>
        <w:tc>
          <w:tcPr>
            <w:tcW w:type="dxa" w:w="150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CORS_ORIGINS</w:t>
            </w:r>
          </w:p>
        </w:tc>
        <w:tc>
          <w:tcPr>
            <w:tcW w:type="dxa" w:w="296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http://localhost:5173</w:t>
            </w:r>
          </w:p>
        </w:tc>
        <w:tc>
          <w:tcPr>
            <w:tcW w:type="dxa" w:w="48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Sitios web autorizados a llamar al gateway desde un navegador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4.4 Interruptores de demostración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373"/>
        <w:gridCol w:w="4207"/>
      </w:tblGrid>
      <w:tr>
        <w:trPr>
          <w:tblHeader/>
        </w:trPr>
        <w:tc>
          <w:tcPr>
            <w:tcW w:type="dxa" w:w="278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237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 por defecto</w:t>
            </w:r>
          </w:p>
        </w:tc>
        <w:tc>
          <w:tcPr>
            <w:tcW w:type="dxa" w:w="420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278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MITIGACION_LLM01</w:t>
            </w:r>
            <w:r>
              <w:rPr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LLM02</w:t>
            </w:r>
            <w:r>
              <w:rPr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LLM07</w:t>
            </w:r>
            <w:r>
              <w:rPr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LLM10</w:t>
            </w:r>
          </w:p>
        </w:tc>
        <w:tc>
          <w:tcPr>
            <w:tcW w:type="dxa" w:w="237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true</w:t>
            </w:r>
          </w:p>
        </w:tc>
        <w:tc>
          <w:tcPr>
            <w:tcW w:type="dxa" w:w="420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Apagar una mitigación para mostrar el ataque sin protección</w:t>
            </w:r>
          </w:p>
        </w:tc>
      </w:tr>
      <w:tr>
        <w:tc>
          <w:tcPr>
            <w:tcW w:type="dxa" w:w="278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SIMULAR_FALLA_UPSTREAM</w:t>
            </w:r>
          </w:p>
        </w:tc>
        <w:tc>
          <w:tcPr>
            <w:tcW w:type="dxa" w:w="237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(vacío)</w:t>
            </w:r>
          </w:p>
        </w:tc>
        <w:tc>
          <w:tcPr>
            <w:tcW w:type="dxa" w:w="420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timeout</w:t>
            </w:r>
            <w:r>
              <w:rPr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error_500</w:t>
            </w:r>
            <w:r>
              <w:rPr>
                <w:color w:val="212121"/>
                <w:sz w:val="18"/>
                <w:szCs w:val="18"/>
              </w:rPr>
              <w:t xml:space="preserve"> o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error_con_clave</w:t>
            </w:r>
            <w:r>
              <w:rPr>
                <w:color w:val="212121"/>
                <w:sz w:val="18"/>
                <w:szCs w:val="18"/>
              </w:rPr>
              <w:t xml:space="preserve">: simula una caída del proveedor</w:t>
            </w:r>
          </w:p>
        </w:tc>
      </w:tr>
    </w:tbl>
    <w:p>
      <w:pPr>
        <w:spacing w:after="60"/>
      </w:pPr>
    </w:p>
    <w:p>
      <w:pPr>
        <w:pBdr>
          <w:left w:val="single" w:color="CADCFC" w:sz="18" w:space="8"/>
        </w:pBdr>
        <w:ind w:left="360"/>
      </w:pPr>
      <w:r>
        <w:rPr>
          <w:b/>
          <w:bCs/>
          <w:i/>
          <w:iCs/>
          <w:color w:val="595959"/>
        </w:rPr>
        <w:t xml:space="preserve">Importante:</w:t>
      </w:r>
      <w:r>
        <w:rPr>
          <w:i/>
          <w:iCs/>
          <w:color w:val="595959"/>
        </w:rPr>
        <w:t xml:space="preserve"> estos interruptores existen solo para la demostración antes/después. Con </w:t>
      </w:r>
      <w:r>
        <w:rPr>
          <w:rFonts w:ascii="Consolas" w:cs="Consolas" w:eastAsia="Consolas" w:hAnsi="Consolas"/>
          <w:i/>
          <w:iCs/>
          <w:color w:val="595959"/>
          <w:sz w:val="19"/>
          <w:szCs w:val="19"/>
        </w:rPr>
        <w:t xml:space="preserve">ENTORNO=produccion</w:t>
      </w:r>
      <w:r>
        <w:rPr>
          <w:i/>
          <w:iCs/>
          <w:color w:val="595959"/>
        </w:rPr>
        <w:t xml:space="preserve"> el gateway se niega a arrancar si alguno está apagado.</w:t>
      </w:r>
    </w:p>
    <w:p>
      <w:pPr>
        <w:pStyle w:val="Heading1"/>
      </w:pPr>
      <w:r>
        <w:t xml:space="preserve">5. Conectar un proveedor real</w:t>
      </w:r>
    </w:p>
    <w:p>
      <w:r>
        <w:t xml:space="preserve">Edite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.env</w:t>
      </w:r>
      <w:r>
        <w:t xml:space="preserve">, indique el proveedor y su clave, y reinicie.</w:t>
      </w:r>
    </w:p>
    <w:p>
      <w:r>
        <w:t xml:space="preserve">OpenAI: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PROVEEDOR_PRINCIPAL=openai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OPENAI_API_KEY=su_clave_de_openai</w:t>
            </w:r>
          </w:p>
        </w:tc>
      </w:tr>
    </w:tbl>
    <w:p>
      <w:pPr>
        <w:spacing w:after="60"/>
      </w:pPr>
    </w:p>
    <w:p>
      <w:r>
        <w:t xml:space="preserve">Anthropic: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PROVEEDOR_PRINCIPAL=anthropic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ANTHROPIC_API_KEY=su_clave_de_anthropic</w:t>
            </w:r>
          </w:p>
        </w:tc>
      </w:tr>
    </w:tbl>
    <w:p>
      <w:pPr>
        <w:spacing w:after="60"/>
      </w:pPr>
    </w:p>
    <w:p>
      <w:r>
        <w:t xml:space="preserve">Google Gemini: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PROVEEDOR_PRINCIPAL=google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GOOGLE_API_KEY=su_clave_de_google</w:t>
            </w:r>
          </w:p>
        </w:tc>
      </w:tr>
    </w:tbl>
    <w:p>
      <w:pPr>
        <w:spacing w:after="60"/>
      </w:pPr>
    </w:p>
    <w:p>
      <w:r>
        <w:t xml:space="preserve">Ollama (local, sin clave). Instale Ollama, descargue el modelo con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ollama pull llama3.2</w:t>
      </w:r>
      <w:r>
        <w:t xml:space="preserve"> y configure: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PROVEEDOR_PRINCIPAL=ollama</w:t>
            </w:r>
          </w:p>
        </w:tc>
      </w:tr>
    </w:tbl>
    <w:p>
      <w:pPr>
        <w:spacing w:after="60"/>
      </w:pPr>
    </w:p>
    <w:p>
      <w:r>
        <w:t xml:space="preserve">Recomendaciones: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Configure un respaldo.</w:t>
      </w:r>
      <w:r>
        <w:t xml:space="preserve"> Por ejemplo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PROVEEDOR_RESPALDO=ollama</w:t>
      </w:r>
      <w:r>
        <w:t xml:space="preserve">: si el principal falla, el gateway responde con el respaldo y marca la respuesta con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degradado: true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escriba la clave en el código ni la suba a GitHub.</w:t>
      </w:r>
      <w:r>
        <w:t xml:space="preserve"> El archivo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.env</w:t>
      </w:r>
      <w:r>
        <w:t xml:space="preserve"> ya está excluido por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.gitignore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 servidores, prefiera un archivo de secreto.</w:t>
      </w:r>
      <w:r>
        <w:t xml:space="preserve"> En lugar de la variable, indique la ruta: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OPENAI_API_KEY_FILE=/run/secrets/openai_api_key</w:t>
      </w:r>
      <w:r>
        <w:t xml:space="preserve">. Así la clave no queda en el entorno del proceso.</w:t>
      </w:r>
    </w:p>
    <w:p>
      <w:r>
        <w:t xml:space="preserve">Si la clave falta o es inválida, el gateway </w:t>
      </w:r>
      <w:r>
        <w:rPr>
          <w:b/>
          <w:bCs/>
        </w:rPr>
        <w:t xml:space="preserve">no</w:t>
      </w:r>
      <w:r>
        <w:t xml:space="preserve"> responde con datos simulados: devuelve un error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502</w:t>
      </w:r>
      <w:r>
        <w:t xml:space="preserve"> con un mensaje claro, para que el fallo no pase desapercibido.</w:t>
      </w:r>
    </w:p>
    <w:p>
      <w:pPr>
        <w:pStyle w:val="Heading1"/>
      </w:pPr>
      <w:r>
        <w:t xml:space="preserve">6. Instalación con Docker</w:t>
      </w:r>
    </w:p>
    <w:p>
      <w:r>
        <w:t xml:space="preserve">Alternativa a los pasos 2 y 5. Requiere Docker instalado y el archivo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.env</w:t>
      </w:r>
      <w:r>
        <w:t xml:space="preserve"> ya preparado (pasos 3 y 4).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docker build -t gateway-llm 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docker run --rm -p 8080:8080 --env-file .env gateway-llm</w:t>
            </w:r>
          </w:p>
        </w:tc>
      </w:tr>
    </w:tbl>
    <w:p>
      <w:pPr>
        <w:spacing w:after="60"/>
      </w:pPr>
    </w:p>
    <w:p>
      <w:r>
        <w:t xml:space="preserve">El gateway queda disponible en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http://localhost:8080</w:t>
      </w:r>
      <w:r>
        <w:t xml:space="preserve">. Características de la imagen: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Arranca en modo producción</w:t>
      </w:r>
      <w:r>
        <w:t xml:space="preserve"> (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ENTORNO=produccion</w:t>
      </w:r>
      <w:r>
        <w:t xml:space="preserve">), por lo que exige todas las mitigaciones activas y al menos una clave de cliente.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 ejecuta con un usuario sin privilegios</w:t>
      </w:r>
      <w:r>
        <w:t xml:space="preserve"> (no root).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contiene claves:</w:t>
      </w:r>
      <w:r>
        <w:t xml:space="preserve"> el archivo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.env</w:t>
      </w:r>
      <w:r>
        <w:t xml:space="preserve"> no se copia a la imagen; se entrega al arrancar con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--env-file</w:t>
      </w:r>
      <w:r>
        <w:t xml:space="preserve">.</w:t>
      </w:r>
    </w:p>
    <w:p>
      <w:pPr>
        <w:pBdr>
          <w:left w:val="single" w:color="CADCFC" w:sz="18" w:space="8"/>
        </w:pBdr>
        <w:ind w:left="360"/>
      </w:pPr>
      <w:r>
        <w:rPr>
          <w:b/>
          <w:bCs/>
          <w:i/>
          <w:iCs/>
          <w:color w:val="595959"/>
        </w:rPr>
        <w:t xml:space="preserve">Nota:</w:t>
      </w:r>
      <w:r>
        <w:rPr>
          <w:i/>
          <w:iCs/>
          <w:color w:val="595959"/>
        </w:rPr>
        <w:t xml:space="preserve"> el modo producción y el comando de arranque del contenedor se verificaron ejecutándolos directamente. La construcción de la imagen con </w:t>
      </w:r>
      <w:r>
        <w:rPr>
          <w:rFonts w:ascii="Consolas" w:cs="Consolas" w:eastAsia="Consolas" w:hAnsi="Consolas"/>
          <w:i/>
          <w:iCs/>
          <w:color w:val="595959"/>
          <w:sz w:val="19"/>
          <w:szCs w:val="19"/>
        </w:rPr>
        <w:t xml:space="preserve">docker build</w:t>
      </w:r>
      <w:r>
        <w:rPr>
          <w:i/>
          <w:iCs/>
          <w:color w:val="595959"/>
        </w:rPr>
        <w:t xml:space="preserve"> no pudo ejecutarse en el entorno donde se preparó este manual, por lo que conviene probarla antes de un uso real.</w:t>
      </w:r>
    </w:p>
    <w:p>
      <w:pPr>
        <w:pStyle w:val="Heading1"/>
      </w:pPr>
      <w:r>
        <w:t xml:space="preserve">7. Preparación para producción</w:t>
      </w:r>
    </w:p>
    <w:p>
      <w:r>
        <w:t xml:space="preserve">Con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ENTORNO=produccion</w:t>
      </w:r>
      <w:r>
        <w:t xml:space="preserve"> el gateway aplica estas reglas al arrancar: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4"/>
        <w:gridCol w:w="5906"/>
      </w:tblGrid>
      <w:tr>
        <w:trPr>
          <w:tblHeader/>
        </w:trPr>
        <w:tc>
          <w:tcPr>
            <w:tcW w:type="dxa" w:w="345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Regla</w:t>
            </w:r>
          </w:p>
        </w:tc>
        <w:tc>
          <w:tcPr>
            <w:tcW w:type="dxa" w:w="590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 no se cumple</w:t>
            </w:r>
          </w:p>
        </w:tc>
      </w:tr>
      <w:tr>
        <w:tc>
          <w:tcPr>
            <w:tcW w:type="dxa" w:w="345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Las cuatro mitigaciones deben estar activas</w:t>
            </w:r>
          </w:p>
        </w:tc>
        <w:tc>
          <w:tcPr>
            <w:tcW w:type="dxa" w:w="590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No arranca: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Mitigaciones desactivadas en producción: [...]</w:t>
            </w:r>
          </w:p>
        </w:tc>
      </w:tr>
      <w:tr>
        <w:tc>
          <w:tcPr>
            <w:tcW w:type="dxa" w:w="345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SIMULAR_FALLA_UPSTREAM</w:t>
            </w:r>
            <w:r>
              <w:rPr>
                <w:color w:val="212121"/>
                <w:sz w:val="18"/>
                <w:szCs w:val="18"/>
              </w:rPr>
              <w:t xml:space="preserve"> debe estar vacío</w:t>
            </w:r>
          </w:p>
        </w:tc>
        <w:tc>
          <w:tcPr>
            <w:tcW w:type="dxa" w:w="590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No arranca</w:t>
            </w:r>
          </w:p>
        </w:tc>
      </w:tr>
      <w:tr>
        <w:tc>
          <w:tcPr>
            <w:tcW w:type="dxa" w:w="345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Debe existir al menos una clave de cliente</w:t>
            </w:r>
          </w:p>
        </w:tc>
        <w:tc>
          <w:tcPr>
            <w:tcW w:type="dxa" w:w="590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No arranca: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No hay claves de cliente configuradas</w:t>
            </w:r>
          </w:p>
        </w:tc>
      </w:tr>
      <w:tr>
        <w:tc>
          <w:tcPr>
            <w:tcW w:type="dxa" w:w="345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La documentación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/docs</w:t>
            </w:r>
            <w:r>
              <w:rPr>
                <w:color w:val="212121"/>
                <w:sz w:val="18"/>
                <w:szCs w:val="18"/>
              </w:rPr>
              <w:t xml:space="preserve"> se desactiva</w:t>
            </w:r>
          </w:p>
        </w:tc>
        <w:tc>
          <w:tcPr>
            <w:tcW w:type="dxa" w:w="590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Responde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404</w:t>
            </w:r>
          </w:p>
        </w:tc>
      </w:tr>
    </w:tbl>
    <w:p>
      <w:pPr>
        <w:spacing w:after="60"/>
      </w:pPr>
    </w:p>
    <w:p>
      <w:r>
        <w:t xml:space="preserve">Además, antes de exponer el servicio: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Use un proveedor real</w:t>
      </w:r>
      <w:r>
        <w:t xml:space="preserve">, no el simulado.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Publique el gateway detrás de HTTPS</w:t>
      </w:r>
      <w:r>
        <w:t xml:space="preserve"> (balanceador o proxy inverso). El gateway no cifra por sí mismo.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 más de una réplica, use Redis</w:t>
      </w:r>
      <w:r>
        <w:t xml:space="preserve"> para el contador de cuotas. Instale el paquete y configure la dirección: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pip install redis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RATE_LIMIT_STORAGE_URI=redis://servidor:6379</w:t>
            </w:r>
          </w:p>
        </w:tc>
      </w:tr>
    </w:tbl>
    <w:p>
      <w:pPr>
        <w:spacing w:after="60"/>
      </w:pPr>
    </w:p>
    <w:p>
      <w:r>
        <w:t xml:space="preserve">Sin Redis, cada réplica llevaría su propia cuenta y el límite real sería mayor al configurado. Con Redis, el límite se comparte: en una prueba con dos réplicas y límite de 5 por minuto, pasaron exactamente 5 solicitudes entre ambas.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Guarde las claves de los proveedores en un gestor de secretos</w:t>
      </w:r>
      <w:r>
        <w:t xml:space="preserve"> y móntelas como archivo (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*_FILE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Envíe 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logs/gateway.jsonl</w:t>
      </w:r>
      <w:r>
        <w:rPr>
          <w:b/>
          <w:bCs/>
        </w:rPr>
        <w:t xml:space="preserve"> a un sistema central de registros</w:t>
      </w:r>
      <w:r>
        <w:t xml:space="preserve"> y defina alertas sobre los resultados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bloqueado_llm01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fuga_bloqueada_llm07</w:t>
      </w:r>
      <w:r>
        <w:t xml:space="preserve"> y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rate_limit_excedido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Limite 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CORS_ORIGINS</w:t>
      </w:r>
      <w:r>
        <w:t xml:space="preserve"> a los sitios reales que consumirán el gateway.</w:t>
      </w:r>
    </w:p>
    <w:p>
      <w:r>
        <w:t xml:space="preserve">El diagrama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docs/arquitectura/06_despliegue_produccion.png</w:t>
      </w:r>
      <w:r>
        <w:t xml:space="preserve"> muestra una propuesta completa sobre Google Cloud.</w:t>
      </w:r>
    </w:p>
    <w:p>
      <w:pPr>
        <w:pStyle w:val="Heading1"/>
      </w:pPr>
      <w:r>
        <w:t xml:space="preserve">8. Actualización y desinstalación</w:t>
      </w:r>
    </w:p>
    <w:p>
      <w:r>
        <w:t xml:space="preserve">Actualizar a la última versión: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git pull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pip install -r requirements.txt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python -m pytest</w:t>
            </w:r>
          </w:p>
        </w:tc>
      </w:tr>
    </w:tbl>
    <w:p>
      <w:pPr>
        <w:spacing w:after="60"/>
      </w:pPr>
    </w:p>
    <w:p>
      <w:r>
        <w:t xml:space="preserve">Reinicie el gateway al terminar. El archivo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.env</w:t>
      </w:r>
      <w:r>
        <w:t xml:space="preserve"> y los registros no se modifican.</w:t>
      </w:r>
    </w:p>
    <w:p>
      <w:r>
        <w:t xml:space="preserve">Desinstalar: detenga el gateway y elimine la carpeta del proyecto. No se instala nada fuera de ella. Antes de borrar, respalde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.env</w:t>
      </w:r>
      <w:r>
        <w:t xml:space="preserve"> si desea conservar la configuración, y recuerde que las claves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gw_</w:t>
      </w:r>
      <w:r>
        <w:t xml:space="preserve"> emitidas dejan de funcionar.</w:t>
      </w:r>
    </w:p>
    <w:p>
      <w:pPr>
        <w:pStyle w:val="Heading1"/>
      </w:pPr>
      <w:r>
        <w:t xml:space="preserve">9. Solución de problemas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0"/>
        <w:gridCol w:w="4067"/>
        <w:gridCol w:w="2873"/>
      </w:tblGrid>
      <w:tr>
        <w:trPr>
          <w:tblHeader/>
        </w:trPr>
        <w:tc>
          <w:tcPr>
            <w:tcW w:type="dxa" w:w="24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Síntoma</w:t>
            </w:r>
          </w:p>
        </w:tc>
        <w:tc>
          <w:tcPr>
            <w:tcW w:type="dxa" w:w="406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Causa probable</w:t>
            </w:r>
          </w:p>
        </w:tc>
        <w:tc>
          <w:tcPr>
            <w:tcW w:type="dxa" w:w="287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Solución</w:t>
            </w:r>
          </w:p>
        </w:tc>
      </w:tr>
      <w:tr>
        <w:tc>
          <w:tcPr>
            <w:tcW w:type="dxa" w:w="24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python</w:t>
            </w:r>
            <w:r>
              <w:rPr>
                <w:color w:val="212121"/>
                <w:sz w:val="18"/>
                <w:szCs w:val="18"/>
              </w:rPr>
              <w:t xml:space="preserve"> o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git</w:t>
            </w:r>
            <w:r>
              <w:rPr>
                <w:color w:val="212121"/>
                <w:sz w:val="18"/>
                <w:szCs w:val="18"/>
              </w:rPr>
              <w:t xml:space="preserve"> no se reconoce</w:t>
            </w:r>
          </w:p>
        </w:tc>
        <w:tc>
          <w:tcPr>
            <w:tcW w:type="dxa" w:w="406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No está instalado o no está en el PATH</w:t>
            </w:r>
          </w:p>
        </w:tc>
        <w:tc>
          <w:tcPr>
            <w:tcW w:type="dxa" w:w="287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Instálelo y abra una terminal nueva</w:t>
            </w:r>
          </w:p>
        </w:tc>
      </w:tr>
      <w:tr>
        <w:tc>
          <w:tcPr>
            <w:tcW w:type="dxa" w:w="24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uvicorn</w:t>
            </w:r>
            <w:r>
              <w:rPr>
                <w:color w:val="212121"/>
                <w:sz w:val="18"/>
                <w:szCs w:val="18"/>
              </w:rPr>
              <w:t xml:space="preserve"> no se reconoce</w:t>
            </w:r>
          </w:p>
        </w:tc>
        <w:tc>
          <w:tcPr>
            <w:tcW w:type="dxa" w:w="406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El entorno virtual no está activo</w:t>
            </w:r>
          </w:p>
        </w:tc>
        <w:tc>
          <w:tcPr>
            <w:tcW w:type="dxa" w:w="287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Active el entorno (paso 2)</w:t>
            </w:r>
          </w:p>
        </w:tc>
      </w:tr>
      <w:tr>
        <w:tc>
          <w:tcPr>
            <w:tcW w:type="dxa" w:w="24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address already in use</w:t>
            </w:r>
            <w:r>
              <w:rPr>
                <w:color w:val="212121"/>
                <w:sz w:val="18"/>
                <w:szCs w:val="18"/>
              </w:rPr>
              <w:t xml:space="preserve"> al arrancar</w:t>
            </w:r>
          </w:p>
        </w:tc>
        <w:tc>
          <w:tcPr>
            <w:tcW w:type="dxa" w:w="406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El puerto 8000 está ocupado</w:t>
            </w:r>
          </w:p>
        </w:tc>
        <w:tc>
          <w:tcPr>
            <w:tcW w:type="dxa" w:w="287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Use otro puerto: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--port 8001</w:t>
            </w:r>
          </w:p>
        </w:tc>
      </w:tr>
      <w:tr>
        <w:tc>
          <w:tcPr>
            <w:tcW w:type="dxa" w:w="24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Todas las consultas devuelven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401</w:t>
            </w:r>
          </w:p>
        </w:tc>
        <w:tc>
          <w:tcPr>
            <w:tcW w:type="dxa" w:w="406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La clave no está en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.env</w:t>
            </w:r>
            <w:r>
              <w:rPr>
                <w:color w:val="212121"/>
                <w:sz w:val="18"/>
                <w:szCs w:val="18"/>
              </w:rPr>
              <w:t xml:space="preserve">, se copió incompleta o falta el prefijo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Bearer</w:t>
            </w:r>
          </w:p>
        </w:tc>
        <w:tc>
          <w:tcPr>
            <w:tcW w:type="dxa" w:w="287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Revise el paso 4 y reinicie</w:t>
            </w:r>
          </w:p>
        </w:tc>
      </w:tr>
      <w:tr>
        <w:tc>
          <w:tcPr>
            <w:tcW w:type="dxa" w:w="24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401</w:t>
            </w:r>
            <w:r>
              <w:rPr>
                <w:color w:val="212121"/>
                <w:sz w:val="18"/>
                <w:szCs w:val="18"/>
              </w:rPr>
              <w:t xml:space="preserve"> después de editar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.env</w:t>
            </w:r>
          </w:p>
        </w:tc>
        <w:tc>
          <w:tcPr>
            <w:tcW w:type="dxa" w:w="406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No se reinició el gateway</w:t>
            </w:r>
          </w:p>
        </w:tc>
        <w:tc>
          <w:tcPr>
            <w:tcW w:type="dxa" w:w="287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Ctrl + C</w:t>
            </w:r>
            <w:r>
              <w:rPr>
                <w:color w:val="212121"/>
                <w:sz w:val="18"/>
                <w:szCs w:val="18"/>
              </w:rPr>
              <w:t xml:space="preserve"> y arrancar de nuevo</w:t>
            </w:r>
          </w:p>
        </w:tc>
      </w:tr>
      <w:tr>
        <w:tc>
          <w:tcPr>
            <w:tcW w:type="dxa" w:w="24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429</w:t>
            </w:r>
            <w:r>
              <w:rPr>
                <w:color w:val="212121"/>
                <w:sz w:val="18"/>
                <w:szCs w:val="18"/>
              </w:rPr>
              <w:t xml:space="preserve"> al poco de empezar</w:t>
            </w:r>
          </w:p>
        </w:tc>
        <w:tc>
          <w:tcPr>
            <w:tcW w:type="dxa" w:w="406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Se superó el límite de 5 solicitudes por minuto</w:t>
            </w:r>
          </w:p>
        </w:tc>
        <w:tc>
          <w:tcPr>
            <w:tcW w:type="dxa" w:w="287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Espere un minuto o aumente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RATE_LIMIT</w:t>
            </w:r>
          </w:p>
        </w:tc>
      </w:tr>
      <w:tr>
        <w:tc>
          <w:tcPr>
            <w:tcW w:type="dxa" w:w="24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422</w:t>
            </w:r>
          </w:p>
        </w:tc>
        <w:tc>
          <w:tcPr>
            <w:tcW w:type="dxa" w:w="406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La solicitud no cumple el formato o supera los límites</w:t>
            </w:r>
          </w:p>
        </w:tc>
        <w:tc>
          <w:tcPr>
            <w:tcW w:type="dxa" w:w="287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Revise el campo indicado en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detalles</w:t>
            </w:r>
          </w:p>
        </w:tc>
      </w:tr>
      <w:tr>
        <w:tc>
          <w:tcPr>
            <w:tcW w:type="dxa" w:w="24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502</w:t>
            </w:r>
            <w:r>
              <w:rPr>
                <w:color w:val="212121"/>
                <w:sz w:val="18"/>
                <w:szCs w:val="18"/>
              </w:rPr>
              <w:t xml:space="preserve"> con un proveedor real</w:t>
            </w:r>
          </w:p>
        </w:tc>
        <w:tc>
          <w:tcPr>
            <w:tcW w:type="dxa" w:w="406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Falta la API key o es inválida</w:t>
            </w:r>
          </w:p>
        </w:tc>
        <w:tc>
          <w:tcPr>
            <w:tcW w:type="dxa" w:w="287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Revise la clave del proveedor en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.env</w:t>
            </w:r>
          </w:p>
        </w:tc>
      </w:tr>
      <w:tr>
        <w:tc>
          <w:tcPr>
            <w:tcW w:type="dxa" w:w="24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503</w:t>
            </w:r>
            <w:r>
              <w:rPr>
                <w:color w:val="212121"/>
                <w:sz w:val="18"/>
                <w:szCs w:val="18"/>
              </w:rPr>
              <w:t xml:space="preserve"> con Ollama</w:t>
            </w:r>
          </w:p>
        </w:tc>
        <w:tc>
          <w:tcPr>
            <w:tcW w:type="dxa" w:w="406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Ollama no está en ejecución o el modelo no se descargó</w:t>
            </w:r>
          </w:p>
        </w:tc>
        <w:tc>
          <w:tcPr>
            <w:tcW w:type="dxa" w:w="287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Inicie Ollama y ejecute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ollama pull llama3.2</w:t>
            </w:r>
          </w:p>
        </w:tc>
      </w:tr>
      <w:tr>
        <w:tc>
          <w:tcPr>
            <w:tcW w:type="dxa" w:w="24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504</w:t>
            </w:r>
          </w:p>
        </w:tc>
        <w:tc>
          <w:tcPr>
            <w:tcW w:type="dxa" w:w="406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El proveedor tardó más que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TIMEOUT_UPSTREAM_SEG</w:t>
            </w:r>
          </w:p>
        </w:tc>
        <w:tc>
          <w:tcPr>
            <w:tcW w:type="dxa" w:w="287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Aumente el valor o configure un respaldo</w:t>
            </w:r>
          </w:p>
        </w:tc>
      </w:tr>
      <w:tr>
        <w:tc>
          <w:tcPr>
            <w:tcW w:type="dxa" w:w="24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Error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'redis' prerequisite not available</w:t>
            </w:r>
          </w:p>
        </w:tc>
        <w:tc>
          <w:tcPr>
            <w:tcW w:type="dxa" w:w="406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Se configuró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redis://</w:t>
            </w:r>
            <w:r>
              <w:rPr>
                <w:color w:val="212121"/>
                <w:sz w:val="18"/>
                <w:szCs w:val="18"/>
              </w:rPr>
              <w:t xml:space="preserve"> sin instalar el paquete</w:t>
            </w:r>
          </w:p>
        </w:tc>
        <w:tc>
          <w:tcPr>
            <w:tcW w:type="dxa" w:w="287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pip install redis</w:t>
            </w:r>
          </w:p>
        </w:tc>
      </w:tr>
      <w:tr>
        <w:tc>
          <w:tcPr>
            <w:tcW w:type="dxa" w:w="24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El gateway no arranca en producción</w:t>
            </w:r>
          </w:p>
        </w:tc>
        <w:tc>
          <w:tcPr>
            <w:tcW w:type="dxa" w:w="406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Falta una clave de cliente o hay un interruptor apagado</w:t>
            </w:r>
          </w:p>
        </w:tc>
        <w:tc>
          <w:tcPr>
            <w:tcW w:type="dxa" w:w="287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Lea el mensaje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RuntimeError</w:t>
            </w:r>
            <w:r>
              <w:rPr>
                <w:color w:val="212121"/>
                <w:sz w:val="18"/>
                <w:szCs w:val="18"/>
              </w:rPr>
              <w:t xml:space="preserve"> y corrija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.env</w:t>
            </w:r>
          </w:p>
        </w:tc>
      </w:tr>
      <w:tr>
        <w:tc>
          <w:tcPr>
            <w:tcW w:type="dxa" w:w="24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PowerShell no deja activar el entorno</w:t>
            </w:r>
          </w:p>
        </w:tc>
        <w:tc>
          <w:tcPr>
            <w:tcW w:type="dxa" w:w="406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Política de ejecución de scripts</w:t>
            </w:r>
          </w:p>
        </w:tc>
        <w:tc>
          <w:tcPr>
            <w:tcW w:type="dxa" w:w="287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Set-ExecutionPolicy -Scope Process -ExecutionPolicy Bypass</w:t>
            </w:r>
          </w:p>
        </w:tc>
      </w:tr>
      <w:tr>
        <w:tc>
          <w:tcPr>
            <w:tcW w:type="dxa" w:w="24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El script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ataques_en_vivo.sh</w:t>
            </w:r>
            <w:r>
              <w:rPr>
                <w:color w:val="212121"/>
                <w:sz w:val="18"/>
                <w:szCs w:val="18"/>
              </w:rPr>
              <w:t xml:space="preserve"> no corre en Windows</w:t>
            </w:r>
          </w:p>
        </w:tc>
        <w:tc>
          <w:tcPr>
            <w:tcW w:type="dxa" w:w="406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PowerShell no ejecuta scripts de shell</w:t>
            </w:r>
          </w:p>
        </w:tc>
        <w:tc>
          <w:tcPr>
            <w:tcW w:type="dxa" w:w="287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Úselo desde </w:t>
            </w:r>
            <w:r>
              <w:rPr>
                <w:b/>
                <w:bCs/>
                <w:color w:val="212121"/>
                <w:sz w:val="18"/>
                <w:szCs w:val="18"/>
              </w:rPr>
              <w:t xml:space="preserve">Git Bash</w:t>
            </w:r>
          </w:p>
        </w:tc>
      </w:tr>
      <w:tr>
        <w:tc>
          <w:tcPr>
            <w:tcW w:type="dxa" w:w="24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Acentos mal mostrados en la terminal de Windows</w:t>
            </w:r>
          </w:p>
        </w:tc>
        <w:tc>
          <w:tcPr>
            <w:tcW w:type="dxa" w:w="4067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Codificación de la consola</w:t>
            </w:r>
          </w:p>
        </w:tc>
        <w:tc>
          <w:tcPr>
            <w:tcW w:type="dxa" w:w="287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Ejecute antes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chcp 65001</w:t>
            </w:r>
            <w:r>
              <w:rPr>
                <w:color w:val="212121"/>
                <w:sz w:val="18"/>
                <w:szCs w:val="18"/>
              </w:rPr>
              <w:t xml:space="preserve"> o use Git Bash</w:t>
            </w:r>
          </w:p>
        </w:tc>
      </w:tr>
    </w:tbl>
    <w:p>
      <w:pPr>
        <w:spacing w:after="60"/>
      </w:pPr>
    </w:p>
    <w:p>
      <w:r>
        <w:t xml:space="preserve">Cada respuesta de error incluye un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request_id</w:t>
      </w:r>
      <w:r>
        <w:t xml:space="preserve">. Búsquelo en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logs/gateway.jsonl</w:t>
      </w:r>
      <w:r>
        <w:t xml:space="preserve"> para ver qué ocurrió con esa solicitud.</w:t>
      </w:r>
    </w:p>
    <w:p>
      <w:pPr>
        <w:pStyle w:val="Heading1"/>
      </w:pPr>
      <w:r>
        <w:t xml:space="preserve">10. Lista de verificación final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1E2761"/>
        </w:rPr>
        <w:t xml:space="preserve">☐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python --version</w:t>
      </w:r>
      <w:r>
        <w:t xml:space="preserve"> muestra 3.11 o 3.12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1E2761"/>
        </w:rPr>
        <w:t xml:space="preserve">☐ </w:t>
      </w:r>
      <w:r>
        <w:t xml:space="preserve">El entorno virtual está activo: la terminal muestra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(venv)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1E2761"/>
        </w:rPr>
        <w:t xml:space="preserve">☐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.env</w:t>
      </w:r>
      <w:r>
        <w:t xml:space="preserve"> existe y contiene al menos un cliente en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GATEWAY_CLIENT_KEYS_SHA256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1E2761"/>
        </w:rPr>
        <w:t xml:space="preserve">☐ </w:t>
      </w:r>
      <w:r>
        <w:t xml:space="preserve">Al arrancar, la primera línea muestra las cuatro mitigaciones en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true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1E2761"/>
        </w:rPr>
        <w:t xml:space="preserve">☐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http://localhost:8000/health</w:t>
      </w:r>
      <w:r>
        <w:t xml:space="preserve"> responde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{"status":"ok"}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1E2761"/>
        </w:rPr>
        <w:t xml:space="preserve">☐ </w:t>
      </w:r>
      <w:r>
        <w:t xml:space="preserve">Una consulta con la clave devuelve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200</w:t>
      </w:r>
      <w:r>
        <w:t xml:space="preserve"> y una respuesta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1E2761"/>
        </w:rPr>
        <w:t xml:space="preserve">☐ </w:t>
      </w:r>
      <w:r>
        <w:t xml:space="preserve">Una consulta sin clave devuelve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401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1E2761"/>
        </w:rPr>
        <w:t xml:space="preserve">☐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python -m pytest</w:t>
      </w:r>
      <w:r>
        <w:t xml:space="preserve"> termina con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63 passed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1E2761"/>
        </w:rPr>
        <w:t xml:space="preserve">☐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python scripts/escanear_secretos.py</w:t>
      </w:r>
      <w:r>
        <w:t xml:space="preserve"> no encuentra secretos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color w:val="1E2761"/>
        </w:rPr>
        <w:t xml:space="preserve">☐ </w:t>
      </w:r>
      <w:r>
        <w:t xml:space="preserve">La clave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gw_</w:t>
      </w:r>
      <w:r>
        <w:t xml:space="preserve"> está guardada en un lugar seguro y </w:t>
      </w:r>
      <w:r>
        <w:rPr>
          <w:b/>
          <w:bCs/>
        </w:rPr>
        <w:t xml:space="preserve">no</w:t>
      </w:r>
      <w:r>
        <w:t xml:space="preserve"> está en el repositorio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Gateway LLM · Manual de instalación · 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Fundamentos de Arquitectura LLM · Proyecto Final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none"/>
      <w:lvlJc w:val="left"/>
      <w:pPr>
        <w:ind w:left="360" w:hanging="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12121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1E2761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20" w:before="320"/>
      <w:outlineLvl w:val="0"/>
    </w:pPr>
    <w:rPr>
      <w:rFonts w:ascii="Calibri" w:cs="Calibri" w:eastAsia="Calibri" w:hAnsi="Calibri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Calibri" w:cs="Calibri" w:eastAsia="Calibri" w:hAnsi="Calibri"/>
      <w:b/>
      <w:bCs/>
      <w:color w:val="1E2761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Calibri" w:cs="Calibri" w:eastAsia="Calibri" w:hAnsi="Calibri"/>
      <w:b/>
      <w:bCs/>
      <w:color w:val="2C3E7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instalación</dc:title>
  <dc:creator>César</dc:creator>
  <cp:lastModifiedBy>Un-named</cp:lastModifiedBy>
  <cp:revision>1</cp:revision>
  <dcterms:created xsi:type="dcterms:W3CDTF">2026-10-04T23:16:07.447Z</dcterms:created>
  <dcterms:modified xsi:type="dcterms:W3CDTF">2026-10-04T23:16:07.456Z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