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b/>
          <w:color w:val="000000"/>
          <w:kern w:val="0"/>
          <w:sz w:val="24"/>
          <w:szCs w:val="24"/>
          <w:lang w:val="en-US" w:eastAsia="pt-BR" w:bidi="ar-SA"/>
        </w:rPr>
        <w:t>Hysteresis in the Solar-Cycle Modulation of Martian Surface Radiation: 13.5 Years of MSL/RAD Observations Across a Full Cycle Reversal</w:t>
      </w:r>
    </w:p>
    <w:p>
      <w:pPr>
        <w:pStyle w:val="Normal"/>
        <w:spacing w:lineRule="auto" w:line="480"/>
        <w:jc w:val="both"/>
        <w:rPr>
          <w:rFonts w:ascii="Calibri" w:hAnsi="Calibri"/>
          <w:sz w:val="24"/>
          <w:szCs w:val="24"/>
        </w:rPr>
      </w:pPr>
      <w:r>
        <w:rPr/>
        <w:t>Cesar Amaral</w:t>
      </w:r>
      <w:r>
        <w:rPr>
          <w:vertAlign w:val="superscript"/>
        </w:rPr>
        <w:t>1,*</w:t>
      </w:r>
      <w:r>
        <w:rPr/>
        <w:t>, Dafne Adriana Abreu dos Anjos</w:t>
      </w:r>
      <w:r>
        <w:rPr>
          <w:vertAlign w:val="superscript"/>
        </w:rPr>
        <w:t>1</w:t>
      </w:r>
      <w:r>
        <w:rPr/>
        <w:t>, Anna Luisa dos Santos Donato</w:t>
      </w:r>
      <w:r>
        <w:rPr>
          <w:vertAlign w:val="superscript"/>
        </w:rPr>
        <w:t>1</w:t>
      </w:r>
      <w:r>
        <w:rPr/>
        <w:t>, Leticia Bastos Eller</w:t>
      </w:r>
      <w:r>
        <w:rPr>
          <w:vertAlign w:val="superscript"/>
        </w:rPr>
        <w:t>1</w:t>
      </w:r>
      <w:r>
        <w:t>, and Rodrigo Goldenberg-Barbosa</w:t>
      </w:r>
      <w:r>
        <w:rPr>
          <w:vertAlign w:val="superscript"/>
        </w:rPr>
        <w:t>1</w:t>
      </w:r>
    </w:p>
    <w:p>
      <w:pPr>
        <w:pStyle w:val="Normal"/>
        <w:spacing w:lineRule="auto" w:line="480"/>
        <w:jc w:val="both"/>
        <w:rPr>
          <w:rFonts w:ascii="Calibri" w:hAnsi="Calibri"/>
          <w:sz w:val="24"/>
          <w:szCs w:val="24"/>
        </w:rPr>
      </w:pP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pStyle w:val="Normal"/>
        <w:spacing w:lineRule="auto" w:line="480"/>
        <w:rPr/>
      </w:pPr>
      <w:r>
        <w:rPr>
          <w:vertAlign w:val="superscript"/>
        </w:rPr>
        <w:t>*</w:t>
      </w:r>
      <w:r>
        <w:rPr/>
        <w:t>Corresponding author: Cesar Amaral (cesar.amaral@uerj.br; ORCID: https://orcid.org/0000-0002-4314-3517)</w:t>
      </w:r>
    </w:p>
    <w:p>
      <w:pPr>
        <w:pStyle w:val="Normal"/>
        <w:spacing w:lineRule="auto" w:line="480"/>
        <w:jc w:val="both"/>
        <w:rPr>
          <w:rFonts w:ascii="Calibri" w:hAnsi="Calibri"/>
          <w:color w:val="000000"/>
          <w:sz w:val="24"/>
          <w:szCs w:val="24"/>
          <w:lang w:val="pt-BR"/>
        </w:rPr>
      </w:pPr>
      <w:r>
        <w:rPr>
          <w:color w:val="000000"/>
          <w:sz w:val="24"/>
          <w:szCs w:val="24"/>
          <w:lang w:val="pt-BR"/>
        </w:rPr>
      </w:r>
    </w:p>
    <w:p>
      <w:pPr>
        <w:pStyle w:val="Normal"/>
        <w:spacing w:lineRule="auto" w:line="480"/>
        <w:rPr/>
      </w:pPr>
      <w:r>
        <w:rPr>
          <w:b/>
        </w:rPr>
        <w:t>Key Points:</w:t>
      </w:r>
    </w:p>
    <w:p>
      <w:pPr>
        <w:pStyle w:val="Normal"/>
        <w:spacing w:lineRule="auto" w:line="480"/>
        <w:rPr/>
      </w:pPr>
      <w:r>
        <w:rPr/>
        <w:t xml:space="preserve">• </w:t>
      </w:r>
      <w:r>
        <w:rPr/>
        <w:t>A 13.5-year MSL/RAD record reveals significant solar-cycle hysteresis in Martian surface radiation dose rate.</w:t>
      </w:r>
    </w:p>
    <w:p>
      <w:pPr>
        <w:pStyle w:val="Normal"/>
        <w:spacing w:lineRule="auto" w:line="480"/>
        <w:rPr/>
      </w:pPr>
      <w:r>
        <w:rPr/>
        <w:t xml:space="preserve">• </w:t>
      </w:r>
      <w:r>
        <w:rPr/>
        <w:t>Three independent methods find no seasonal radiation cycle on Mars, confirmed by a positive control using real pressure data.</w:t>
      </w:r>
    </w:p>
    <w:p>
      <w:pPr>
        <w:pStyle w:val="Normal"/>
        <w:spacing w:lineRule="auto" w:line="480"/>
        <w:rPr/>
      </w:pPr>
      <w:r>
        <w:rPr/>
        <w:t xml:space="preserve">• </w:t>
      </w:r>
      <w:r>
        <w:rPr/>
        <w:t>Measured surface dose implies mission doses of 890-1130 mSv, exceeding NASA's 600 mSv career limit before any solar particle event.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Abstract</w:t>
      </w:r>
    </w:p>
    <w:p>
      <w:pPr>
        <w:pStyle w:val="Normal"/>
        <w:spacing w:lineRule="auto" w:line="480"/>
        <w:jc w:val="both"/>
        <w:rPr>
          <w:rFonts w:ascii="Calibri" w:hAnsi="Calibri"/>
          <w:sz w:val="24"/>
          <w:szCs w:val="24"/>
        </w:rPr>
      </w:pP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pStyle w:val="Normal"/>
        <w:spacing w:lineRule="auto" w:line="480"/>
        <w:rPr/>
      </w:pPr>
      <w:r>
        <w:rPr/>
        <w:t>Plain Language Summary</w:t>
      </w:r>
    </w:p>
    <w:p>
      <w:pPr>
        <w:pStyle w:val="Normal"/>
        <w:spacing w:lineRule="auto" w:line="480"/>
        <w:rPr/>
      </w:pPr>
      <w:r>
        <w:rP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pStyle w:val="Normal"/>
        <w:spacing w:lineRule="auto" w:line="480"/>
        <w:rPr/>
      </w:pPr>
      <w:r>
        <w:rPr/>
      </w:r>
    </w:p>
    <w:p>
      <w:pPr>
        <w:pStyle w:val="Normal"/>
        <w:spacing w:lineRule="auto" w:line="480"/>
        <w:rPr/>
      </w:pPr>
      <w:r>
        <w:rPr/>
        <w:t>Keywords: Mars, galactic cosmic rays, solar cycle, radiation dose, hysteresis, human spaceflight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1. Introduction</w:t>
      </w:r>
    </w:p>
    <w:p>
      <w:pPr>
        <w:pStyle w:val="Normal"/>
        <w:spacing w:lineRule="auto" w:line="480"/>
        <w:jc w:val="both"/>
        <w:rPr>
          <w:rFonts w:ascii="Calibri" w:hAnsi="Calibri"/>
          <w:sz w:val="24"/>
          <w:szCs w:val="24"/>
        </w:rPr>
      </w:pPr>
      <w:r>
        <w:rPr/>
        <w:t>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Rule="auto" w:line="480"/>
        <w:rPr>
          <w:rFonts w:ascii="Calibri" w:hAnsi="Calibri"/>
          <w:sz w:val="24"/>
          <w:szCs w:val="24"/>
        </w:rPr>
      </w:pPr>
      <w:r>
        <w:rP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 Materials and Methods</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2.1 RAD Instrument</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b/>
          <w:sz w:val="24"/>
          <w:szCs w:val="24"/>
        </w:rPr>
        <w:t>2.2 Dose Rate Calculation</w:t>
      </w:r>
    </w:p>
    <w:p>
      <w:pPr>
        <w:pStyle w:val="Normal"/>
        <w:spacing w:lineRule="auto" w:line="480"/>
        <w:jc w:val="both"/>
        <w:rPr>
          <w:rFonts w:ascii="Calibri" w:hAnsi="Calibri"/>
          <w:sz w:val="24"/>
          <w:szCs w:val="24"/>
        </w:rPr>
      </w:pPr>
      <w:r>
        <w:rPr>
          <w:sz w:val="24"/>
          <w:szCs w:val="24"/>
        </w:rPr>
        <w:t xml:space="preserve">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Equation </w:t>
      </w:r>
      <w:r>
        <w:rPr>
          <w:sz w:val="24"/>
          <w:szCs w:val="24"/>
        </w:rPr>
        <w:t>1</w:t>
      </w:r>
      <w:r>
        <w:rPr>
          <w:sz w:val="24"/>
          <w:szCs w:val="24"/>
        </w:rPr>
        <w:t>:</w:t>
      </w:r>
    </w:p>
    <w:p>
      <w:pPr>
        <w:pStyle w:val="Normal"/>
        <w:spacing w:lineRule="auto" w:line="480"/>
        <w:jc w:val="both"/>
        <w:rPr>
          <w:rFonts w:ascii="Calibri" w:hAnsi="Calibri"/>
          <w:color w:val="000000"/>
          <w:sz w:val="24"/>
          <w:szCs w:val="24"/>
        </w:rPr>
      </w:pPr>
      <w:r>
        <w:rPr>
          <w:color w:val="000000"/>
          <w:sz w:val="24"/>
          <w:szCs w:val="24"/>
        </w:rPr>
      </w:r>
    </w:p>
    <w:p>
      <w:pPr>
        <w:pStyle w:val="Normal"/>
        <w:tabs>
          <w:tab w:val="center" w:pos="4252"/>
          <w:tab w:val="right" w:pos="8504"/>
        </w:tabs>
        <w:spacing w:lineRule="auto" w:line="480"/>
        <w:jc w:val="both"/>
        <w:rPr>
          <w:rFonts w:ascii="Calibri" w:hAnsi="Calibri"/>
          <w:color w:val="000000"/>
          <w:sz w:val="24"/>
          <w:szCs w:val="24"/>
        </w:rPr>
      </w:pPr>
      <w:r>
        <w:tab/>
      </w:r>
      <m:oMath xmlns:m="http://schemas.openxmlformats.org/officeDocument/2006/math">
        <m:r>
          <m:t>D</m:t>
        </m:r>
        <m:d>
          <m:dPr>
            <m:begChr m:val="("/>
            <m:endChr m:val=")"/>
          </m:dPr>
          <m:e>
            <m:r>
              <m:t>Φ,P</m:t>
            </m:r>
          </m:e>
        </m:d>
        <m:r>
          <m:t>=</m:t>
        </m:r>
        <m:nary>
          <m:naryPr>
            <m:chr m:val="∑"/>
            <m:limLoc m:val="undOvr"/>
            <m:supHide m:val="1"/>
          </m:naryPr>
          <m:sub>
            <m:r>
              <m:t>j</m:t>
            </m:r>
          </m:sub>
          <m:sup/>
          <m:e>
            <m:nary>
              <m:naryPr>
                <m:chr m:val="∑"/>
                <m:limLoc m:val="undOvr"/>
                <m:supHide m:val="1"/>
              </m:naryPr>
              <m:sub>
                <m:r>
                  <m:rPr>
                    <m:sty m:val="p"/>
                  </m:rPr>
                  <m:t>area</m:t>
                </m:r>
              </m:sub>
              <m:sup/>
              <m:e>
                <m:nary>
                  <m:naryPr>
                    <m:chr m:val="∫"/>
                    <m:limLoc m:val="subSup"/>
                  </m:naryPr>
                  <m:sub>
                    <m:r>
                      <m:t>ε</m:t>
                    </m:r>
                    <m:r>
                      <m:rPr>
                        <m:sty m:val="p"/>
                      </m:rPr>
                      <m:t>min</m:t>
                    </m:r>
                  </m:sub>
                  <m:sup>
                    <m:r>
                      <m:t>ε</m:t>
                    </m:r>
                    <m:r>
                      <m:rPr>
                        <m:sty m:val="p"/>
                      </m:rPr>
                      <m:t>max</m:t>
                    </m:r>
                  </m:sup>
                  <m:e>
                    <m:nary>
                      <m:naryPr>
                        <m:chr m:val="∫"/>
                        <m:limLoc m:val="subSup"/>
                      </m:naryPr>
                      <m:sub>
                        <m:r>
                          <m:t>0</m:t>
                        </m:r>
                      </m:sub>
                      <m:sup>
                        <m:r>
                          <m:t>∞</m:t>
                        </m:r>
                      </m:sup>
                      <m:e>
                        <m:sSub>
                          <m:e>
                            <m:r>
                              <m:t>λ</m:t>
                            </m:r>
                          </m:e>
                          <m:sub>
                            <m:r>
                              <m:t>j</m:t>
                            </m:r>
                          </m:sub>
                        </m:sSub>
                        <m:d>
                          <m:dPr>
                            <m:begChr m:val="("/>
                            <m:endChr m:val=")"/>
                          </m:dPr>
                          <m:e>
                            <m:r>
                              <m:t>E,ε</m:t>
                            </m:r>
                          </m:e>
                        </m:d>
                        <m:sSub>
                          <m:e>
                            <m:r>
                              <m:t>F</m:t>
                            </m:r>
                          </m:e>
                          <m:sub>
                            <m:r>
                              <m:t>j</m:t>
                            </m:r>
                          </m:sub>
                        </m:sSub>
                        <m:d>
                          <m:dPr>
                            <m:begChr m:val="("/>
                            <m:endChr m:val=")"/>
                          </m:dPr>
                          <m:e>
                            <m:r>
                              <m:t>Φ,P,E</m:t>
                            </m:r>
                          </m:e>
                        </m:d>
                        <m:r>
                          <m:rPr>
                            <m:sty m:val="p"/>
                          </m:rPr>
                          <m:t>d</m:t>
                        </m:r>
                        <m:r>
                          <m:t>E</m:t>
                        </m:r>
                        <m:r>
                          <m:rPr>
                            <m:sty m:val="p"/>
                          </m:rPr>
                          <m:t>d</m:t>
                        </m:r>
                        <m:r>
                          <m:t>ε</m:t>
                        </m:r>
                        <m:r>
                          <m:t>/m</m:t>
                        </m:r>
                      </m:e>
                    </m:nary>
                  </m:e>
                </m:nary>
              </m:e>
            </m:nary>
          </m:e>
        </m:nary>
      </m:oMath>
      <w:r>
        <w:rPr>
          <w:color w:val="000000"/>
          <w:sz w:val="24"/>
          <w:szCs w:val="24"/>
        </w:rPr>
        <w:tab/>
        <w:t>Equation 1.</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2.3 Statistical Analysis</w:t>
      </w:r>
    </w:p>
    <w:p>
      <w:pPr>
        <w:pStyle w:val="Normal"/>
        <w:spacing w:lineRule="auto" w:line="480"/>
        <w:rPr/>
      </w:pPr>
      <w:r>
        <w:rPr/>
        <w:t>For each ~90-SOL window (22 windows spanning SOL 00000-02482) the dose-rate time series of detectors B and E were summarized as window means and standard deviations (Table 1).</w:t>
      </w:r>
    </w:p>
    <w:p>
      <w:pPr>
        <w:pStyle w:val="Normal"/>
        <w:spacing w:lineRule="auto" w:line="480"/>
        <w:rPr/>
      </w:pPr>
      <w:r>
        <w:rP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pStyle w:val="Normal"/>
        <w:spacing w:lineRule="auto" w:line="480"/>
        <w:rPr/>
      </w:pPr>
      <w:r>
        <w:rP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pStyle w:val="Normal"/>
        <w:spacing w:lineRule="auto" w:line="480"/>
        <w:rPr/>
      </w:pPr>
      <w:r>
        <w:rP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pStyle w:val="Normal"/>
        <w:spacing w:lineRule="auto" w:line="480"/>
        <w:rPr/>
      </w:pPr>
      <w:r>
        <w:rP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pStyle w:val="Normal"/>
        <w:spacing w:lineRule="auto" w:line="480"/>
        <w:rPr/>
      </w:pPr>
      <w:r>
        <w:rP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pStyle w:val="Normal"/>
        <w:spacing w:lineRule="auto" w:line="480"/>
        <w:rPr/>
      </w:pPr>
      <w:r>
        <w:rP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pStyle w:val="Normal"/>
        <w:spacing w:lineRule="auto" w:line="480"/>
        <w:rPr/>
      </w:pPr>
      <w:r>
        <w:rP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pStyle w:val="Normal"/>
        <w:spacing w:lineRule="auto" w:line="480"/>
        <w:rPr/>
      </w:pPr>
      <w:r>
        <w:rP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pStyle w:val="Normal"/>
        <w:spacing w:lineRule="auto" w:line="480"/>
        <w:rPr/>
      </w:pPr>
      <w:r>
        <w:rP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pStyle w:val="Normal"/>
        <w:spacing w:lineRule="auto" w:line="480"/>
        <w:rPr/>
      </w:pPr>
      <w:r>
        <w:rP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b/>
          <w:sz w:val="24"/>
          <w:szCs w:val="24"/>
        </w:rPr>
        <w:t>3. Results</w:t>
      </w:r>
    </w:p>
    <w:p>
      <w:pPr>
        <w:pStyle w:val="Normal"/>
        <w:spacing w:lineRule="auto" w:line="480"/>
        <w:jc w:val="both"/>
        <w:rPr>
          <w:rFonts w:ascii="Calibri" w:hAnsi="Calibri"/>
          <w:sz w:val="24"/>
          <w:szCs w:val="24"/>
        </w:rPr>
      </w:pPr>
      <w:r>
        <w:rPr>
          <w:b/>
          <w:sz w:val="24"/>
          <w:szCs w:val="24"/>
        </w:rPr>
        <w:t>3.1 Diurnal Variation</w:t>
      </w:r>
    </w:p>
    <w:p>
      <w:pPr>
        <w:pStyle w:val="Normal"/>
        <w:spacing w:lineRule="auto" w:line="480"/>
        <w:jc w:val="both"/>
        <w:rPr>
          <w:rFonts w:ascii="Calibri" w:hAnsi="Calibri"/>
          <w:sz w:val="24"/>
          <w:szCs w:val="24"/>
        </w:rPr>
      </w:pPr>
      <w:r>
        <w:rPr>
          <w:sz w:val="24"/>
          <w:szCs w:val="24"/>
        </w:rPr>
        <w:t>The total dose rate (measured by detector E) decreases as atmospheric pressure increases (Figure 1).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jc w:val="both"/>
        <w:rPr>
          <w:rFonts w:ascii="Calibri" w:hAnsi="Calibri"/>
          <w:sz w:val="24"/>
          <w:szCs w:val="24"/>
        </w:rPr>
      </w:pPr>
      <w:r>
        <w:rPr>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t>For each of these ~90-sol windows, a continuous wavelet transform of the detector-E dose-rate time series was also computed (Section 2.3), shown in Figure 2 (SOL 00000-00804), Figure 3 (SOL 00805-01772), and Figure 4 (SOL 01773-02358). No window shows a stable, narrowband periodicity at the ~669-sol Martian-year timescale, consistent with the absence of a resolved seasonal cycle established directly in Section 3.3. The one notable feature is transient rather than periodic: panel A of Figure 4 (SOL 01773-01869) captures the September 2017 solar energetic particle event as a short-lived, broadband power excursion rather than a recurring seasonal signal.</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rPr/>
      </w:pPr>
      <w:r>
        <w:rP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jc w:val="both"/>
        <w:rPr>
          <w:rFonts w:ascii="Calibri" w:hAnsi="Calibri"/>
          <w:sz w:val="24"/>
          <w:szCs w:val="24"/>
        </w:rPr>
      </w:pPr>
      <w:r>
        <w:rPr>
          <w:b/>
          <w:sz w:val="24"/>
          <w:szCs w:val="24"/>
        </w:rPr>
        <w:t>3.3 Total Mission Series Overview</w:t>
      </w:r>
    </w:p>
    <w:p>
      <w:pPr>
        <w:pStyle w:val="Normal"/>
        <w:spacing w:lineRule="auto" w:line="480" w:before="0" w:after="0"/>
        <w:jc w:val="both"/>
        <w:rPr>
          <w:rFonts w:ascii="Calibri" w:hAnsi="Calibri"/>
          <w:sz w:val="24"/>
          <w:szCs w:val="24"/>
        </w:rPr>
      </w:pPr>
      <w:r>
        <w:rPr>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rPr>
          <w:rFonts w:ascii="Calibri" w:hAnsi="Calibri"/>
          <w:sz w:val="24"/>
          <w:szCs w:val="24"/>
        </w:rPr>
      </w:pPr>
      <w:r>
        <w:rP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rPr/>
      </w:pPr>
      <w:r>
        <w:rPr/>
      </w:r>
    </w:p>
    <w:p>
      <w:pPr>
        <w:pStyle w:val="Normal"/>
        <w:spacing w:lineRule="auto" w:line="480"/>
        <w:rPr/>
      </w:pPr>
      <w:r>
        <w:rPr/>
        <w:t>3.4 Solar Activity and Atmospheric Pressure Regression</w:t>
      </w:r>
    </w:p>
    <w:p>
      <w:pPr>
        <w:pStyle w:val="Normal"/>
        <w:spacing w:lineRule="auto" w:line="480"/>
        <w:rPr/>
      </w:pPr>
      <w:r>
        <w:rPr/>
      </w:r>
    </w:p>
    <w:p>
      <w:pPr>
        <w:pStyle w:val="Normal"/>
        <w:spacing w:lineRule="auto" w:line="480"/>
        <w:rPr/>
      </w:pPr>
      <w:r>
        <w:rP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pStyle w:val="Normal"/>
        <w:spacing w:lineRule="auto" w:line="480"/>
        <w:rPr/>
      </w:pPr>
      <w:r>
        <w:rPr/>
      </w:r>
    </w:p>
    <w:p>
      <w:pPr>
        <w:pStyle w:val="Normal"/>
        <w:spacing w:lineRule="auto" w:line="480"/>
        <w:rPr/>
      </w:pPr>
      <w:r>
        <w:rP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pStyle w:val="Normal"/>
        <w:spacing w:lineRule="auto" w:line="480"/>
        <w:rPr/>
      </w:pPr>
      <w:r>
        <w:rPr/>
      </w:r>
    </w:p>
    <w:p>
      <w:pPr>
        <w:pStyle w:val="Normal"/>
        <w:spacing w:lineRule="auto" w:line="480"/>
        <w:rPr/>
      </w:pPr>
      <w:r>
        <w:rP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Pr>
        <w:pStyle w:val="Normal"/>
        <w:spacing w:lineRule="auto" w:line="480"/>
        <w:rPr/>
      </w:pPr>
      <w:r>
        <w:rPr/>
      </w:r>
    </w:p>
    <w:p>
      <w:pPr>
        <w:pStyle w:val="Normal"/>
        <w:spacing w:lineRule="auto" w:line="480"/>
        <w:rPr/>
      </w:pPr>
      <w:r>
        <w:rP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3.5 Physical GCR Proxy, Lag, and Hysteresis</w:t>
      </w:r>
    </w:p>
    <w:p>
      <w:pPr>
        <w:pStyle w:val="Normal"/>
        <w:spacing w:lineRule="auto" w:line="480"/>
        <w:rPr/>
      </w:pPr>
      <w:r>
        <w:rPr/>
      </w:r>
    </w:p>
    <w:p>
      <w:pPr>
        <w:pStyle w:val="Normal"/>
        <w:spacing w:lineRule="auto" w:line="480"/>
        <w:rPr/>
      </w:pPr>
      <w:r>
        <w:rP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pStyle w:val="Normal"/>
        <w:spacing w:lineRule="auto" w:line="480"/>
        <w:rPr/>
      </w:pPr>
      <w:r>
        <w:rPr/>
      </w:r>
    </w:p>
    <w:p>
      <w:pPr>
        <w:pStyle w:val="Normal"/>
        <w:spacing w:lineRule="auto" w:line="480"/>
        <w:rPr/>
      </w:pPr>
      <w:r>
        <w:rP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pStyle w:val="Normal"/>
        <w:spacing w:lineRule="auto" w:line="480"/>
        <w:rPr/>
      </w:pPr>
      <w:r>
        <w:rPr/>
      </w:r>
    </w:p>
    <w:p>
      <w:pPr>
        <w:pStyle w:val="Normal"/>
        <w:spacing w:lineRule="auto" w:line="480"/>
        <w:rPr/>
      </w:pPr>
      <w:r>
        <w:rP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3.6 Independent Periodicity Test (Lomb-Scargle)</w:t>
      </w:r>
    </w:p>
    <w:p>
      <w:pPr>
        <w:pStyle w:val="Normal"/>
        <w:spacing w:lineRule="auto" w:line="480"/>
        <w:rPr/>
      </w:pPr>
      <w:r>
        <w:rPr/>
      </w:r>
    </w:p>
    <w:p>
      <w:pPr>
        <w:pStyle w:val="Normal"/>
        <w:spacing w:lineRule="auto" w:line="480"/>
        <w:rPr/>
      </w:pPr>
      <w:r>
        <w:rP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Pr>
        <w:pStyle w:val="Normal"/>
        <w:spacing w:lineRule="auto" w:line="480"/>
        <w:rPr/>
      </w:pPr>
      <w:r>
        <w:rPr/>
      </w:r>
    </w:p>
    <w:p>
      <w:pPr>
        <w:pStyle w:val="Normal"/>
        <w:spacing w:lineRule="auto" w:line="480"/>
        <w:rPr/>
      </w:pPr>
      <w:r>
        <w:rPr/>
      </w:r>
    </w:p>
    <w:p>
      <w:pPr>
        <w:pStyle w:val="Normal"/>
        <w:spacing w:lineRule="auto" w:line="480"/>
        <w:rPr/>
      </w:pPr>
      <w:r>
        <w:rPr/>
        <w:t>3.7 Implications for Human Mission Radiation Exposure</w:t>
      </w:r>
    </w:p>
    <w:p>
      <w:pPr>
        <w:pStyle w:val="Normal"/>
        <w:spacing w:lineRule="auto" w:line="480"/>
        <w:rPr/>
      </w:pPr>
      <w:r>
        <w:rPr/>
      </w:r>
    </w:p>
    <w:p>
      <w:pPr>
        <w:pStyle w:val="Normal"/>
        <w:spacing w:lineRule="auto" w:line="480"/>
        <w:rPr/>
      </w:pPr>
      <w:r>
        <w:rP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pStyle w:val="Normal"/>
        <w:spacing w:lineRule="auto" w:line="480"/>
        <w:rPr/>
      </w:pPr>
      <w:r>
        <w:rPr/>
      </w:r>
    </w:p>
    <w:p>
      <w:pPr>
        <w:pStyle w:val="Normal"/>
        <w:spacing w:lineRule="auto" w:line="480"/>
        <w:rPr/>
      </w:pPr>
      <w:r>
        <w:rP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pStyle w:val="Normal"/>
        <w:spacing w:lineRule="auto" w:line="480"/>
        <w:rPr/>
      </w:pPr>
      <w:r>
        <w:rPr/>
      </w:r>
    </w:p>
    <w:p>
      <w:pPr>
        <w:pStyle w:val="Normal"/>
        <w:spacing w:lineRule="auto" w:line="480"/>
        <w:rPr/>
      </w:pPr>
      <w:r>
        <w:rPr/>
      </w:r>
    </w:p>
    <w:p>
      <w:pPr>
        <w:pStyle w:val="Normal"/>
        <w:spacing w:lineRule="auto" w:line="480"/>
        <w:jc w:val="both"/>
        <w:rPr>
          <w:rFonts w:ascii="Calibri" w:hAnsi="Calibri"/>
          <w:sz w:val="24"/>
          <w:szCs w:val="24"/>
        </w:rPr>
      </w:pPr>
      <w:r>
        <w:rPr>
          <w:b/>
          <w:sz w:val="24"/>
          <w:szCs w:val="24"/>
        </w:rPr>
        <w:t>4. Discussion</w:t>
      </w:r>
    </w:p>
    <w:p>
      <w:pPr>
        <w:pStyle w:val="Normal"/>
        <w:spacing w:lineRule="auto" w:line="480" w:before="0" w:after="0"/>
        <w:jc w:val="both"/>
        <w:rPr>
          <w:rFonts w:ascii="Calibri" w:hAnsi="Calibri"/>
          <w:sz w:val="24"/>
          <w:szCs w:val="24"/>
        </w:rPr>
      </w:pPr>
      <w:r>
        <w:rPr>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before="0" w:after="0"/>
        <w:jc w:val="both"/>
        <w:rPr>
          <w:rFonts w:ascii="Calibri" w:hAnsi="Calibri"/>
          <w:sz w:val="24"/>
          <w:szCs w:val="24"/>
        </w:rPr>
      </w:pPr>
      <w:r>
        <w:rPr>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5. Conclusion</w:t>
      </w:r>
    </w:p>
    <w:p>
      <w:pPr>
        <w:pStyle w:val="Normal"/>
        <w:spacing w:lineRule="auto" w:line="480"/>
        <w:jc w:val="both"/>
        <w:rPr>
          <w:rFonts w:ascii="Calibri" w:hAnsi="Calibri"/>
          <w:sz w:val="24"/>
          <w:szCs w:val="24"/>
        </w:rPr>
      </w:pPr>
      <w:r>
        <w:rP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sz w:val="24"/>
          <w:szCs w:val="24"/>
        </w:rPr>
      </w:r>
    </w:p>
    <w:p>
      <w:pPr>
        <w:pStyle w:val="Normal"/>
        <w:spacing w:lineRule="auto" w:line="480"/>
        <w:rPr/>
      </w:pPr>
      <w:r>
        <w:rPr/>
        <w:t>Conflict of Interest</w:t>
      </w:r>
    </w:p>
    <w:p>
      <w:pPr>
        <w:pStyle w:val="Normal"/>
        <w:spacing w:lineRule="auto" w:line="480"/>
        <w:rPr/>
      </w:pPr>
      <w:r>
        <w:rPr/>
        <w:t>The authors declare there are no conflicts of interest for this manuscript.</w:t>
      </w:r>
    </w:p>
    <w:p>
      <w:pPr>
        <w:pStyle w:val="Normal"/>
        <w:spacing w:lineRule="auto" w:line="480"/>
        <w:rPr/>
      </w:pPr>
      <w:r>
        <w:rPr/>
      </w:r>
    </w:p>
    <w:p>
      <w:pPr>
        <w:pStyle w:val="Normal"/>
        <w:spacing w:lineRule="auto" w:line="480"/>
        <w:rPr/>
      </w:pPr>
      <w:r>
        <w:rPr/>
        <w:t>Acknowledgments</w:t>
      </w:r>
    </w:p>
    <w:p>
      <w:pPr>
        <w:pStyle w:val="Normal"/>
        <w:spacing w:lineRule="auto" w:line="480"/>
        <w:rPr/>
      </w:pPr>
      <w:r>
        <w:rPr/>
        <w:t>This research received no specific grant or external funding from any agency in the public, commercial, or not-for-profit sectors.</w:t>
      </w:r>
    </w:p>
    <w:p>
      <w:pPr>
        <w:pStyle w:val="Normal"/>
        <w:spacing w:lineRule="auto" w:line="480"/>
        <w:rPr/>
      </w:pPr>
      <w:r>
        <w:rPr/>
      </w:r>
    </w:p>
    <w:p>
      <w:pPr>
        <w:pStyle w:val="Normal"/>
        <w:spacing w:lineRule="auto" w:line="480"/>
        <w:rPr/>
      </w:pPr>
      <w:r>
        <w:rPr/>
        <w:t>Open Research</w:t>
      </w:r>
    </w:p>
    <w:p>
      <w:pPr>
        <w:pStyle w:val="Normal"/>
        <w:spacing w:lineRule="auto" w:line="480"/>
        <w:rPr/>
      </w:pPr>
      <w:r>
        <w:rP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et al. (2026).</w:t>
      </w:r>
    </w:p>
    <w:p>
      <w:pPr>
        <w:pStyle w:val="Normal"/>
        <w:spacing w:lineRule="auto" w:line="480"/>
        <w:rPr/>
      </w:pPr>
      <w:r>
        <w:rPr/>
        <w:t>We acknowledge the NMDB database (www.nmdb.eu), founded under the European Union's FP7 programme (contract no. 213007), and the PI of the Oulu neutron monitor (Sodankylä Geophysical Observatory of the University of Oulu, Finland).</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References</w:t>
      </w:r>
    </w:p>
    <w:p>
      <w:pPr>
        <w:pStyle w:val="Normal"/>
        <w:spacing w:lineRule="auto" w:line="480"/>
        <w:rPr/>
      </w:pPr>
      <w:r>
        <w:rPr/>
        <w:t xml:space="preserve">Amaral, C., Abreu dos Anjos, D. A., Santos Donato, A. L., Bastos Eller, L., &amp; Goldenberg-Barbosa, R. (2026). </w:t>
      </w:r>
      <w:r>
        <w:rPr>
          <w:i/>
        </w:rPr>
        <w:t>msl_2026: MSL/RAD dose-rate reanalysis code and data</w:t>
      </w:r>
      <w:r>
        <w:rPr/>
        <w:t xml:space="preserve"> [Software]. Zenodo. https://doi.org/10.5281/zenodo.22550046</w:t>
      </w:r>
    </w:p>
    <w:p>
      <w:pPr>
        <w:pStyle w:val="Normal"/>
        <w:spacing w:lineRule="auto" w:line="480"/>
        <w:rPr/>
      </w:pPr>
      <w:r>
        <w:rPr/>
        <w:t xml:space="preserve">Bazilevskaya, G. A., &amp; Svirzhevskaya, A. K. (1998). On the stratospheric measurements of cosmic rays. </w:t>
      </w:r>
      <w:r>
        <w:rPr>
          <w:i/>
        </w:rPr>
        <w:t>Space Science Reviews, 85</w:t>
      </w:r>
      <w:r>
        <w:rPr/>
        <w:t>, 431–521.</w:t>
      </w:r>
    </w:p>
    <w:p>
      <w:pPr>
        <w:pStyle w:val="Normal"/>
        <w:spacing w:lineRule="auto" w:line="480"/>
        <w:rPr/>
      </w:pPr>
      <w:r>
        <w:rPr/>
        <w:t xml:space="preserve">Boynton, W. V., Feldman, W. C., Mitrofanov, I. G., et al. (2004). The Mars Odyssey gamma-ray spectrometer instrument suite. </w:t>
      </w:r>
      <w:r>
        <w:rPr>
          <w:i/>
        </w:rPr>
        <w:t>Space Science Reviews, 110</w:t>
      </w:r>
      <w:r>
        <w:rPr/>
        <w:t>, 37–83. https://doi.org/10.1023/B:SPAC.0000021007.76126.15</w:t>
      </w:r>
    </w:p>
    <w:p>
      <w:pPr>
        <w:pStyle w:val="Normal"/>
        <w:spacing w:lineRule="auto" w:line="480"/>
        <w:rPr/>
      </w:pPr>
      <w:r>
        <w:rPr/>
        <w:t xml:space="preserve">Cucinotta, F. A., &amp; Chappell, L. J. (2011). Updates to astronaut radiation limits: Radiation risks for never-smokers. </w:t>
      </w:r>
      <w:r>
        <w:rPr>
          <w:i/>
        </w:rPr>
        <w:t>Radiation Research, 176</w:t>
      </w:r>
      <w:r>
        <w:rPr/>
        <w:t>(1), 102–114. https://doi.org/10.1667/RR2540.1</w:t>
      </w:r>
    </w:p>
    <w:p>
      <w:pPr>
        <w:pStyle w:val="Normal"/>
        <w:spacing w:lineRule="auto" w:line="480"/>
        <w:rPr/>
      </w:pPr>
      <w:r>
        <w:rP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rPr/>
        <w:t>, A10104. https://doi.org/10.1029/2011JA016616</w:t>
      </w:r>
    </w:p>
    <w:p>
      <w:pPr>
        <w:pStyle w:val="Normal"/>
        <w:spacing w:lineRule="auto" w:line="480"/>
        <w:rPr/>
      </w:pPr>
      <w:r>
        <w:rP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rPr/>
        <w:t>, 468–479. https://doi.org/10.1002/2013JE004547</w:t>
      </w:r>
    </w:p>
    <w:p>
      <w:pPr>
        <w:pStyle w:val="Normal"/>
        <w:spacing w:lineRule="auto" w:line="480"/>
        <w:rPr/>
      </w:pPr>
      <w:r>
        <w:rPr/>
        <w:t xml:space="preserve">Ehresmann, B., Zeitlin, C., Hassler, D. M., Guo, J., Wimmer-Schweingruber, R. F., Berger, T., et al. (2023). The Martian surface radiation environment at solar minimum measured with MSL/RAD. </w:t>
      </w:r>
      <w:r>
        <w:rPr>
          <w:i/>
        </w:rPr>
        <w:t>Icarus, 393</w:t>
      </w:r>
      <w:r>
        <w:rPr/>
        <w:t>, 115035. https://doi.org/10.1016/j.icarus.2022.115035</w:t>
      </w:r>
    </w:p>
    <w:p>
      <w:pPr>
        <w:pStyle w:val="Normal"/>
        <w:spacing w:lineRule="auto" w:line="480"/>
        <w:rPr/>
      </w:pPr>
      <w:r>
        <w:rPr/>
        <w:t xml:space="preserve">Guo, J., Zeitlin, C., Wimmer-Schweingruber, R. F., et al. (2015). Modeling the variations of dose rate measured by RAD during the first MSL Martian year: 2012–2014. </w:t>
      </w:r>
      <w:r>
        <w:rPr>
          <w:i/>
        </w:rPr>
        <w:t>The Astrophysical Journal, 810</w:t>
      </w:r>
      <w:r>
        <w:rPr/>
        <w:t>(1), 24. https://doi.org/10.1088/0004-637X/810/1/24</w:t>
      </w:r>
    </w:p>
    <w:p>
      <w:pPr>
        <w:pStyle w:val="Normal"/>
        <w:spacing w:lineRule="auto" w:line="480"/>
        <w:rPr/>
      </w:pPr>
      <w:r>
        <w:rPr/>
        <w:t xml:space="preserve">Guo, J., Zeitlin, C., Wimmer-Schweingruber, R. F., et al. (2015a). MSL-RAD radiation environment measurements. </w:t>
      </w:r>
      <w:r>
        <w:rPr>
          <w:i/>
        </w:rPr>
        <w:t>Radiation Protection Dosimetry</w:t>
      </w:r>
      <w:r>
        <w:rPr/>
        <w:t>. https://doi.org/10.1093/rpd/ncv297</w:t>
      </w:r>
    </w:p>
    <w:p>
      <w:pPr>
        <w:pStyle w:val="Normal"/>
        <w:spacing w:lineRule="auto" w:line="480"/>
        <w:rPr/>
      </w:pPr>
      <w:r>
        <w:rPr/>
        <w:t xml:space="preserve">Guo, J., Slaba, T. C., Zeitlin, C., Wimmer-Schweingruber, R. F., et al. (2017). Dependence of the Martian radiation environment on atmospheric depth: Modelling and measurement. </w:t>
      </w:r>
      <w:r>
        <w:rPr>
          <w:i/>
        </w:rPr>
        <w:t>arXiv:1712.06987 [astro-ph.EP]</w:t>
      </w:r>
      <w:r>
        <w:rPr/>
        <w:t xml:space="preserve"> (preprint; published version not independently confirmed)</w:t>
      </w:r>
    </w:p>
    <w:p>
      <w:pPr>
        <w:pStyle w:val="Normal"/>
        <w:spacing w:lineRule="auto" w:line="480"/>
        <w:rPr/>
      </w:pPr>
      <w:r>
        <w:rP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rPr/>
        <w:t>, 8. https://doi.org/10.1007/s00159-021-00136-5</w:t>
      </w:r>
    </w:p>
    <w:p>
      <w:pPr>
        <w:pStyle w:val="Normal"/>
        <w:spacing w:lineRule="auto" w:line="480"/>
        <w:rPr/>
      </w:pPr>
      <w:r>
        <w:rPr/>
        <w:t xml:space="preserve">Harri, A.-M., Genzer, M., Kemppinen, O., et al. (2014). Pressure observations by the Curiosity rover: Initial results. </w:t>
      </w:r>
      <w:r>
        <w:rPr>
          <w:i/>
        </w:rPr>
        <w:t>Journal of Geophysical Research: Planets, 119</w:t>
      </w:r>
      <w:r>
        <w:rPr/>
        <w:t>(1), 82–92. https://doi.org/10.1002/2013JE004423</w:t>
      </w:r>
    </w:p>
    <w:p>
      <w:pPr>
        <w:pStyle w:val="Normal"/>
        <w:spacing w:lineRule="auto" w:line="480"/>
        <w:rPr/>
      </w:pPr>
      <w:r>
        <w:rPr/>
        <w:t xml:space="preserve">Hassler, D. M., Zeitlin, C., Wimmer-Schweingruber, R. F., et al. (2012). The Radiation Assessment Detector (RAD) investigation. </w:t>
      </w:r>
      <w:r>
        <w:rPr>
          <w:i/>
        </w:rPr>
        <w:t>Space Science Reviews, 170</w:t>
      </w:r>
      <w:r>
        <w:rPr/>
        <w:t>, 503–558. https://doi.org/10.1007/s11214-012-9913-1</w:t>
      </w:r>
    </w:p>
    <w:p>
      <w:pPr>
        <w:pStyle w:val="Normal"/>
        <w:spacing w:lineRule="auto" w:line="480"/>
        <w:rPr/>
      </w:pPr>
      <w:r>
        <w:rPr/>
        <w:t xml:space="preserve">Hassler, D. M., Zeitlin, C., Wimmer-Schweingruber, R. F., et al. (2014). Mars' surface radiation environment measured with the Mars Science Laboratory's Curiosity rover. </w:t>
      </w:r>
      <w:r>
        <w:rPr>
          <w:i/>
        </w:rPr>
        <w:t>Science, 343</w:t>
      </w:r>
      <w:r>
        <w:rPr/>
        <w:t>(6169), 1244797. https://doi.org/10.1126/science.1244797</w:t>
      </w:r>
    </w:p>
    <w:p>
      <w:pPr>
        <w:pStyle w:val="Normal"/>
        <w:spacing w:lineRule="auto" w:line="480"/>
        <w:rPr/>
      </w:pPr>
      <w:r>
        <w:rPr/>
        <w:t xml:space="preserve">Köhler, J., Zeitlin, C., Ehresmann, B., Wimmer-Schweingruber, R. F., Hassler, D. M., et al. (2014). Measurements of the neutron spectrum on the Martian surface with MSL/RAD. </w:t>
      </w:r>
      <w:r>
        <w:rPr>
          <w:i/>
        </w:rPr>
        <w:t>Journal of Geophysical Research: Planets, 119</w:t>
      </w:r>
      <w:r>
        <w:rPr/>
        <w:t>(3), 594–603. https://doi.org/10.1002/2013JE004539</w:t>
      </w:r>
    </w:p>
    <w:p>
      <w:pPr>
        <w:pStyle w:val="Normal"/>
        <w:spacing w:lineRule="auto" w:line="480"/>
        <w:rPr/>
      </w:pPr>
      <w:r>
        <w:rPr/>
        <w:t xml:space="preserve">Mavromichalaki, H., et al. (2011). Applications and usage of the real-time Neutron Monitor Database (NMDB). </w:t>
      </w:r>
      <w:r>
        <w:rPr>
          <w:i/>
        </w:rPr>
        <w:t>Advances in Space Research, 47</w:t>
      </w:r>
      <w:r>
        <w:rPr/>
        <w:t>(12), 2210–2222. https://doi.org/10.1016/j.asr.2010.02.019</w:t>
      </w:r>
    </w:p>
    <w:p>
      <w:pPr>
        <w:pStyle w:val="Normal"/>
        <w:spacing w:lineRule="auto" w:line="480"/>
        <w:rPr/>
      </w:pPr>
      <w:r>
        <w:rPr/>
        <w:t xml:space="preserve">NASA Planetary Data System, Atmospheres Node. (2026). </w:t>
      </w:r>
      <w:r>
        <w:rPr>
          <w:i/>
        </w:rPr>
        <w:t>MSL REMS calibrated data [Dataset]</w:t>
      </w:r>
      <w:r>
        <w:rPr/>
        <w:t>. https://atmos.nmsu.edu/PDS/data/mslrem_1001/</w:t>
      </w:r>
    </w:p>
    <w:p>
      <w:pPr>
        <w:pStyle w:val="Normal"/>
        <w:spacing w:lineRule="auto" w:line="480"/>
        <w:rPr/>
      </w:pPr>
      <w:r>
        <w:rPr/>
        <w:t xml:space="preserve">NASA Planetary Data System, Planetary Plasma Interactions Node. (2026). </w:t>
      </w:r>
      <w:r>
        <w:rPr>
          <w:i/>
        </w:rPr>
        <w:t>MSL RAD reduced data record collection [Dataset]</w:t>
      </w:r>
      <w:r>
        <w:rPr/>
        <w:t>. https://pds-ppi.igpp.ucla.edu/data/MSL-M-RAD-3-RDR-V1.0/</w:t>
      </w:r>
    </w:p>
    <w:p>
      <w:pPr>
        <w:pStyle w:val="Normal"/>
        <w:spacing w:lineRule="auto" w:line="480"/>
        <w:rPr/>
      </w:pPr>
      <w:r>
        <w:rPr/>
        <w:t xml:space="preserve">National Academies of Sciences, Engineering, and Medicine. (2021). </w:t>
      </w:r>
      <w:r>
        <w:rPr>
          <w:i/>
        </w:rPr>
        <w:t>Space radiation and astronaut health: Managing and communicating cancer risks</w:t>
      </w:r>
      <w:r>
        <w:rPr/>
        <w:t>. The National Academies Press. https://doi.org/10.17226/26155</w:t>
      </w:r>
    </w:p>
    <w:p>
      <w:pPr>
        <w:pStyle w:val="Normal"/>
        <w:spacing w:lineRule="auto" w:line="480"/>
        <w:rPr/>
      </w:pPr>
      <w:r>
        <w:rPr/>
        <w:t xml:space="preserve">Newey, W. K., &amp; West, K. D. (1987). A simple, positive semi-definite, heteroskedasticity and autocorrelation consistent covariance matrix. </w:t>
      </w:r>
      <w:r>
        <w:rPr>
          <w:i/>
        </w:rPr>
        <w:t>Econometrica, 55</w:t>
      </w:r>
      <w:r>
        <w:rPr/>
        <w:t>(3), 703–708. https://doi.org/10.2307/1913610</w:t>
      </w:r>
    </w:p>
    <w:p>
      <w:pPr>
        <w:pStyle w:val="Normal"/>
        <w:spacing w:lineRule="auto" w:line="480"/>
        <w:rPr/>
      </w:pPr>
      <w:r>
        <w:rP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rPr/>
        <w:t>, 1345–1358. https://doi.org/10.1002/2013JE004525</w:t>
      </w:r>
    </w:p>
    <w:p>
      <w:pPr>
        <w:pStyle w:val="Normal"/>
        <w:spacing w:lineRule="auto" w:line="480"/>
        <w:rPr/>
      </w:pPr>
      <w:r>
        <w:rPr/>
        <w:t xml:space="preserve">Roesler, S., Heinrich, W., &amp; Schraube, H. (1998). Neutron spectra in the atmosphere from interactions of primary cosmic rays. </w:t>
      </w:r>
      <w:r>
        <w:rPr>
          <w:i/>
        </w:rPr>
        <w:t>Advances in Space Research, 21</w:t>
      </w:r>
      <w:r>
        <w:rPr/>
        <w:t>(12), 1717–1726. https://doi.org/10.1016/S0273-1177(98)00058-1</w:t>
      </w:r>
    </w:p>
    <w:p>
      <w:pPr>
        <w:pStyle w:val="Normal"/>
        <w:spacing w:lineRule="auto" w:line="480"/>
        <w:rPr/>
      </w:pPr>
      <w:r>
        <w:rPr/>
        <w:t xml:space="preserve">Saganti, P. B., Cucinotta, F. A., Wilson, J. W., &amp; Schimmerling, W. (2002). Visualization of particle flux in the human body on the surface of Mars. </w:t>
      </w:r>
      <w:r>
        <w:rPr>
          <w:i/>
        </w:rPr>
        <w:t>Journal of Radiation Research, 43</w:t>
      </w:r>
      <w:r>
        <w:rPr/>
        <w:t>(Suppl), S119–S124.</w:t>
      </w:r>
    </w:p>
    <w:p>
      <w:pPr>
        <w:pStyle w:val="Normal"/>
        <w:spacing w:lineRule="auto" w:line="480"/>
        <w:rPr/>
      </w:pPr>
      <w:r>
        <w:rPr/>
        <w:t xml:space="preserve">Scargle, J. D. (1982). Studies in astronomical time series analysis. II. Statistical aspects of spectral analysis of unevenly spaced data. </w:t>
      </w:r>
      <w:r>
        <w:rPr>
          <w:i/>
        </w:rPr>
        <w:t>The Astrophysical Journal, 263</w:t>
      </w:r>
      <w:r>
        <w:rPr/>
        <w:t>, 835–853. https://doi.org/10.1086/160554</w:t>
      </w:r>
    </w:p>
    <w:p>
      <w:pPr>
        <w:pStyle w:val="Normal"/>
        <w:spacing w:lineRule="auto" w:line="480"/>
        <w:rPr/>
      </w:pPr>
      <w:r>
        <w:rPr/>
        <w:t xml:space="preserve">SILSO World Data Center. (2026). </w:t>
      </w:r>
      <w:r>
        <w:rPr>
          <w:i/>
        </w:rPr>
        <w:t>International sunspot number monthly bulletin and online catalogue [Dataset]</w:t>
      </w:r>
      <w:r>
        <w:rPr/>
        <w:t>. Royal Observatory of Belgium. http://www.sidc.be/SILSO/</w:t>
      </w:r>
    </w:p>
    <w:p>
      <w:pPr>
        <w:pStyle w:val="Normal"/>
        <w:spacing w:lineRule="auto" w:line="480"/>
        <w:rPr/>
      </w:pPr>
      <w:r>
        <w:rPr/>
        <w:t xml:space="preserve">Torrence, C., &amp; Compo, G. P. (1998). A practical guide to wavelet analysis. </w:t>
      </w:r>
      <w:r>
        <w:rPr>
          <w:i/>
        </w:rPr>
        <w:t>Bulletin of the American Meteorological Society, 79</w:t>
      </w:r>
      <w:r>
        <w:rPr/>
        <w:t>(1), 61–78. https://doi.org/10.1175/1520-0477(1998)079&lt;0061:APGTWA&gt;2.0.CO;2</w:t>
      </w:r>
    </w:p>
    <w:p>
      <w:pPr>
        <w:pStyle w:val="Normal"/>
        <w:spacing w:lineRule="auto" w:line="480"/>
        <w:rPr/>
      </w:pPr>
      <w:r>
        <w:rPr/>
        <w:t xml:space="preserve">VanderPlas, J. T. (2018). Understanding the Lomb-Scargle periodogram. </w:t>
      </w:r>
      <w:r>
        <w:rPr>
          <w:i/>
        </w:rPr>
        <w:t>The Astrophysical Journal Supplement Series, 236</w:t>
      </w:r>
      <w:r>
        <w:rPr/>
        <w:t>(1), 16. https://doi.org/10.3847/1538-4365/aab766</w:t>
      </w:r>
    </w:p>
    <w:p>
      <w:pPr>
        <w:pStyle w:val="Normal"/>
        <w:spacing w:lineRule="auto" w:line="480"/>
        <w:rPr/>
      </w:pPr>
      <w:r>
        <w:rPr/>
        <w:t xml:space="preserve">Zeitlin, C., Hassler, D. M., Cucinotta, F. A., et al. (2013). Measurements of energetic particle radiation in transit to Mars on the Mars Science Laboratory. </w:t>
      </w:r>
      <w:r>
        <w:rPr>
          <w:i/>
        </w:rPr>
        <w:t>Science, 340</w:t>
      </w:r>
      <w:r>
        <w:rPr/>
        <w:t>(6136), 1080–1084. https://doi.org/10.1126/science.1235989</w:t>
      </w:r>
    </w:p>
    <w:p>
      <w:pPr>
        <w:pStyle w:val="Normal"/>
        <w:spacing w:lineRule="auto" w:line="480"/>
        <w:rPr/>
      </w:pPr>
      <w:r>
        <w:rPr/>
        <w:t xml:space="preserve">Zhang, C., Liu, W., Guo, J., Dobynde, M., &amp; Wimmer-Schweingruber, R. F. (2026). The constraint of crewed Mars missions based on current radiation dose measurements. </w:t>
      </w:r>
      <w:r>
        <w:rPr>
          <w:i/>
        </w:rPr>
        <w:t>Space Weather</w:t>
      </w:r>
      <w:r>
        <w:rPr/>
        <w:t>. https://doi.org/10.1029/2025SW004724</w:t>
      </w:r>
    </w:p>
    <w:p>
      <w:pPr>
        <w:pStyle w:val="Normal"/>
        <w:spacing w:lineRule="auto" w:line="480"/>
        <w:rPr/>
      </w:pPr>
      <w:r>
        <w:rPr>
          <w:b/>
        </w:rPr>
        <w:t>Tables</w:t>
      </w:r>
    </w:p>
    <w:p>
      <w:pPr>
        <w:pStyle w:val="Normal"/>
        <w:spacing w:lineRule="auto" w:line="480"/>
        <w:rPr/>
      </w:pPr>
      <w:r>
        <w:rPr/>
      </w:r>
    </w:p>
    <w:p>
      <w:pPr>
        <w:pStyle w:val="Normal"/>
        <w:spacing w:lineRule="auto" w:line="480"/>
        <w:jc w:val="both"/>
        <w:rPr>
          <w:rFonts w:ascii="Calibri" w:hAnsi="Calibri"/>
          <w:sz w:val="24"/>
          <w:szCs w:val="24"/>
        </w:rPr>
      </w:pPr>
      <w:r>
        <w:rPr>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1.067</w:t>
            </w:r>
          </w:p>
        </w:tc>
      </w:tr>
    </w:tbl>
    <w:p>
      <w:pPr>
        <w:pStyle w:val="Normal"/>
        <w:spacing w:lineRule="auto" w:line="480"/>
        <w:rPr/>
      </w:pPr>
      <w:r>
        <w:rPr/>
      </w:r>
    </w:p>
    <w:p>
      <w:pPr>
        <w:pStyle w:val="Normal"/>
        <w:spacing w:lineRule="auto" w:line="480"/>
        <w:rPr>
          <w:rFonts w:ascii="Calibri" w:hAnsi="Calibri"/>
          <w:sz w:val="24"/>
          <w:szCs w:val="24"/>
        </w:rPr>
      </w:pPr>
      <w:r>
        <w:rPr>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B</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8.386</w:t>
            </w:r>
          </w:p>
        </w:tc>
        <w:tc>
          <w:tcPr>
            <w:tcW w:w="1063" w:type="dxa"/>
            <w:tcBorders/>
          </w:tcPr>
          <w:p>
            <w:pPr>
              <w:pStyle w:val="Normal"/>
              <w:spacing w:before="0" w:after="160"/>
              <w:jc w:val="left"/>
              <w:rPr>
                <w:sz w:val="24"/>
              </w:rPr>
            </w:pPr>
            <w:r>
              <w:rPr>
                <w:sz w:val="24"/>
              </w:rPr>
              <w:t>10.185</w:t>
            </w:r>
          </w:p>
        </w:tc>
        <w:tc>
          <w:tcPr>
            <w:tcW w:w="1063" w:type="dxa"/>
            <w:tcBorders/>
          </w:tcPr>
          <w:p>
            <w:pPr>
              <w:pStyle w:val="Normal"/>
              <w:spacing w:before="0" w:after="160"/>
              <w:jc w:val="left"/>
              <w:rPr>
                <w:sz w:val="24"/>
              </w:rPr>
            </w:pPr>
            <w:r>
              <w:rPr>
                <w:sz w:val="24"/>
              </w:rPr>
              <w:t>9.774</w:t>
            </w:r>
          </w:p>
        </w:tc>
        <w:tc>
          <w:tcPr>
            <w:tcW w:w="1063" w:type="dxa"/>
            <w:tcBorders/>
          </w:tcPr>
          <w:p>
            <w:pPr>
              <w:pStyle w:val="Normal"/>
              <w:spacing w:before="0" w:after="160"/>
              <w:jc w:val="left"/>
              <w:rPr>
                <w:sz w:val="24"/>
              </w:rPr>
            </w:pPr>
            <w:r>
              <w:rPr>
                <w:sz w:val="24"/>
              </w:rPr>
              <w:t>11.304</w:t>
            </w:r>
          </w:p>
        </w:tc>
        <w:tc>
          <w:tcPr>
            <w:tcW w:w="1063" w:type="dxa"/>
            <w:tcBorders/>
          </w:tcPr>
          <w:p>
            <w:pPr>
              <w:pStyle w:val="Normal"/>
              <w:spacing w:before="0" w:after="160"/>
              <w:jc w:val="left"/>
              <w:rPr>
                <w:sz w:val="24"/>
              </w:rPr>
            </w:pPr>
            <w:r>
              <w:rPr>
                <w:sz w:val="24"/>
              </w:rPr>
              <w:t>308.487</w:t>
            </w:r>
          </w:p>
        </w:tc>
        <w:tc>
          <w:tcPr>
            <w:tcW w:w="1064" w:type="dxa"/>
            <w:tcBorders/>
          </w:tcPr>
          <w:p>
            <w:pPr>
              <w:pStyle w:val="Normal"/>
              <w:spacing w:before="0" w:after="160"/>
              <w:jc w:val="left"/>
              <w:rPr>
                <w:sz w:val="24"/>
              </w:rPr>
            </w:pPr>
            <w:r>
              <w:rPr>
                <w:sz w:val="24"/>
              </w:rP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E</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8.338</w:t>
            </w:r>
          </w:p>
        </w:tc>
        <w:tc>
          <w:tcPr>
            <w:tcW w:w="1063" w:type="dxa"/>
            <w:tcBorders/>
          </w:tcPr>
          <w:p>
            <w:pPr>
              <w:pStyle w:val="Normal"/>
              <w:spacing w:before="0" w:after="160"/>
              <w:jc w:val="left"/>
              <w:rPr>
                <w:sz w:val="24"/>
              </w:rPr>
            </w:pPr>
            <w:r>
              <w:rPr>
                <w:sz w:val="24"/>
              </w:rPr>
              <w:t>10.539</w:t>
            </w:r>
          </w:p>
        </w:tc>
        <w:tc>
          <w:tcPr>
            <w:tcW w:w="1063" w:type="dxa"/>
            <w:tcBorders/>
          </w:tcPr>
          <w:p>
            <w:pPr>
              <w:pStyle w:val="Normal"/>
              <w:spacing w:before="0" w:after="160"/>
              <w:jc w:val="left"/>
              <w:rPr>
                <w:sz w:val="24"/>
              </w:rPr>
            </w:pPr>
            <w:r>
              <w:rPr>
                <w:sz w:val="24"/>
              </w:rPr>
              <w:t>10.127</w:t>
            </w:r>
          </w:p>
        </w:tc>
        <w:tc>
          <w:tcPr>
            <w:tcW w:w="1063" w:type="dxa"/>
            <w:tcBorders/>
          </w:tcPr>
          <w:p>
            <w:pPr>
              <w:pStyle w:val="Normal"/>
              <w:spacing w:before="0" w:after="160"/>
              <w:jc w:val="left"/>
              <w:rPr>
                <w:sz w:val="24"/>
              </w:rPr>
            </w:pPr>
            <w:r>
              <w:rPr>
                <w:sz w:val="24"/>
              </w:rPr>
              <w:t>12.131</w:t>
            </w:r>
          </w:p>
        </w:tc>
        <w:tc>
          <w:tcPr>
            <w:tcW w:w="1063" w:type="dxa"/>
            <w:tcBorders/>
          </w:tcPr>
          <w:p>
            <w:pPr>
              <w:pStyle w:val="Normal"/>
              <w:spacing w:before="0" w:after="160"/>
              <w:jc w:val="left"/>
              <w:rPr>
                <w:sz w:val="24"/>
              </w:rPr>
            </w:pPr>
            <w:r>
              <w:rPr>
                <w:sz w:val="24"/>
              </w:rPr>
              <w:t>351.424</w:t>
            </w:r>
          </w:p>
        </w:tc>
        <w:tc>
          <w:tcPr>
            <w:tcW w:w="1064" w:type="dxa"/>
            <w:tcBorders/>
          </w:tcPr>
          <w:p>
            <w:pPr>
              <w:pStyle w:val="Normal"/>
              <w:spacing w:before="0" w:after="160"/>
              <w:jc w:val="left"/>
              <w:rPr>
                <w:sz w:val="24"/>
              </w:rPr>
            </w:pPr>
            <w:r>
              <w:rPr>
                <w:sz w:val="24"/>
              </w:rPr>
              <w:t>3.061</w:t>
            </w:r>
          </w:p>
        </w:tc>
      </w:tr>
    </w:tbl>
    <w:p>
      <w:pPr>
        <w:pStyle w:val="Normal"/>
        <w:spacing w:lineRule="auto" w:line="480"/>
        <w:rPr/>
      </w:pPr>
      <w:r>
        <w:rPr/>
      </w:r>
    </w:p>
    <w:p>
      <w:pPr>
        <w:pStyle w:val="Normal"/>
        <w:spacing w:lineRule="auto" w:line="480"/>
        <w:rPr/>
      </w:pPr>
      <w:r>
        <w:rP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215"/>
        <w:gridCol w:w="1214"/>
        <w:gridCol w:w="1216"/>
        <w:gridCol w:w="1214"/>
        <w:gridCol w:w="1216"/>
        <w:gridCol w:w="1214"/>
        <w:gridCol w:w="1216"/>
      </w:tblGrid>
      <w:tr>
        <w:trPr/>
        <w:tc>
          <w:tcPr>
            <w:tcW w:w="1215" w:type="dxa"/>
            <w:tcBorders/>
          </w:tcPr>
          <w:p>
            <w:pPr>
              <w:pStyle w:val="Normal"/>
              <w:widowControl/>
              <w:suppressAutoHyphens w:val="true"/>
              <w:bidi w:val="0"/>
              <w:spacing w:lineRule="auto" w:line="480" w:before="0" w:after="160"/>
              <w:jc w:val="left"/>
              <w:rPr/>
            </w:pPr>
            <w:r>
              <w:rPr/>
              <w:t>Detector</w:t>
            </w:r>
          </w:p>
        </w:tc>
        <w:tc>
          <w:tcPr>
            <w:tcW w:w="1214" w:type="dxa"/>
            <w:tcBorders/>
          </w:tcPr>
          <w:p>
            <w:pPr>
              <w:pStyle w:val="Normal"/>
              <w:widowControl/>
              <w:suppressAutoHyphens w:val="true"/>
              <w:bidi w:val="0"/>
              <w:spacing w:lineRule="auto" w:line="480" w:before="0" w:after="160"/>
              <w:jc w:val="left"/>
              <w:rPr/>
            </w:pPr>
            <w:r>
              <w:rPr/>
              <w:t>OLS slope</w:t>
              <w:br/>
              <w:t>(uGy/h per SSN)</w:t>
            </w:r>
          </w:p>
        </w:tc>
        <w:tc>
          <w:tcPr>
            <w:tcW w:w="1216" w:type="dxa"/>
            <w:tcBorders/>
          </w:tcPr>
          <w:p>
            <w:pPr>
              <w:pStyle w:val="Normal"/>
              <w:widowControl/>
              <w:suppressAutoHyphens w:val="true"/>
              <w:bidi w:val="0"/>
              <w:spacing w:lineRule="auto" w:line="480" w:before="0" w:after="160"/>
              <w:jc w:val="left"/>
              <w:rPr/>
            </w:pPr>
            <w:r>
              <w:rPr/>
              <w:t>R²</w:t>
            </w:r>
          </w:p>
        </w:tc>
        <w:tc>
          <w:tcPr>
            <w:tcW w:w="1214" w:type="dxa"/>
            <w:tcBorders/>
          </w:tcPr>
          <w:p>
            <w:pPr>
              <w:pStyle w:val="Normal"/>
              <w:widowControl/>
              <w:suppressAutoHyphens w:val="true"/>
              <w:bidi w:val="0"/>
              <w:spacing w:lineRule="auto" w:line="480" w:before="0" w:after="160"/>
              <w:jc w:val="left"/>
              <w:rPr/>
            </w:pPr>
            <w:r>
              <w:rPr/>
              <w:t>HAC p-value</w:t>
            </w:r>
          </w:p>
        </w:tc>
        <w:tc>
          <w:tcPr>
            <w:tcW w:w="1216" w:type="dxa"/>
            <w:tcBorders/>
          </w:tcPr>
          <w:p>
            <w:pPr>
              <w:pStyle w:val="Normal"/>
              <w:widowControl/>
              <w:suppressAutoHyphens w:val="true"/>
              <w:bidi w:val="0"/>
              <w:spacing w:lineRule="auto" w:line="480" w:before="0" w:after="160"/>
              <w:jc w:val="left"/>
              <w:rPr/>
            </w:pPr>
            <w:r>
              <w:rPr/>
              <w:t>Pressure</w:t>
              <w:br/>
              <w:t>seasonal/residual</w:t>
            </w:r>
          </w:p>
        </w:tc>
        <w:tc>
          <w:tcPr>
            <w:tcW w:w="1214" w:type="dxa"/>
            <w:tcBorders/>
          </w:tcPr>
          <w:p>
            <w:pPr>
              <w:pStyle w:val="Normal"/>
              <w:widowControl/>
              <w:suppressAutoHyphens w:val="true"/>
              <w:bidi w:val="0"/>
              <w:spacing w:lineRule="auto" w:line="480" w:before="0" w:after="160"/>
              <w:jc w:val="left"/>
              <w:rPr/>
            </w:pPr>
            <w:r>
              <w:rPr/>
              <w:t>Dose-residual</w:t>
              <w:br/>
              <w:t>seasonal/residual</w:t>
            </w:r>
          </w:p>
        </w:tc>
        <w:tc>
          <w:tcPr>
            <w:tcW w:w="1216" w:type="dxa"/>
            <w:tcBorders/>
          </w:tcPr>
          <w:p>
            <w:pPr>
              <w:pStyle w:val="Normal"/>
              <w:widowControl/>
              <w:suppressAutoHyphens w:val="true"/>
              <w:bidi w:val="0"/>
              <w:spacing w:lineRule="auto" w:line="480" w:before="0" w:after="160"/>
              <w:jc w:val="left"/>
              <w:rPr/>
            </w:pPr>
            <w:r>
              <w:rPr/>
              <w:t>Max |cross-corr|</w:t>
              <w:br/>
              <w:t>(lag, sols)</w:t>
            </w:r>
          </w:p>
        </w:tc>
      </w:tr>
      <w:tr>
        <w:trPr/>
        <w:tc>
          <w:tcPr>
            <w:tcW w:w="1215" w:type="dxa"/>
            <w:tcBorders/>
          </w:tcPr>
          <w:p>
            <w:pPr>
              <w:pStyle w:val="Normal"/>
              <w:widowControl/>
              <w:suppressAutoHyphens w:val="true"/>
              <w:bidi w:val="0"/>
              <w:spacing w:lineRule="auto" w:line="480" w:before="0" w:after="160"/>
              <w:jc w:val="left"/>
              <w:rPr/>
            </w:pPr>
            <w:r>
              <w:rPr/>
              <w:t>B</w:t>
            </w:r>
          </w:p>
        </w:tc>
        <w:tc>
          <w:tcPr>
            <w:tcW w:w="1214" w:type="dxa"/>
            <w:tcBorders/>
          </w:tcPr>
          <w:p>
            <w:pPr>
              <w:pStyle w:val="Normal"/>
              <w:widowControl/>
              <w:suppressAutoHyphens w:val="true"/>
              <w:bidi w:val="0"/>
              <w:spacing w:lineRule="auto" w:line="480" w:before="0" w:after="160"/>
              <w:jc w:val="left"/>
              <w:rPr/>
            </w:pPr>
            <w:r>
              <w:rPr/>
              <w:t>-0.0321</w:t>
            </w:r>
          </w:p>
        </w:tc>
        <w:tc>
          <w:tcPr>
            <w:tcW w:w="1216" w:type="dxa"/>
            <w:tcBorders/>
          </w:tcPr>
          <w:p>
            <w:pPr>
              <w:pStyle w:val="Normal"/>
              <w:widowControl/>
              <w:suppressAutoHyphens w:val="true"/>
              <w:bidi w:val="0"/>
              <w:spacing w:lineRule="auto" w:line="480" w:before="0" w:after="160"/>
              <w:jc w:val="left"/>
              <w:rPr/>
            </w:pPr>
            <w:r>
              <w:rPr/>
              <w:t>0.884</w:t>
            </w:r>
          </w:p>
        </w:tc>
        <w:tc>
          <w:tcPr>
            <w:tcW w:w="1214" w:type="dxa"/>
            <w:tcBorders/>
          </w:tcPr>
          <w:p>
            <w:pPr>
              <w:pStyle w:val="Normal"/>
              <w:widowControl/>
              <w:suppressAutoHyphens w:val="true"/>
              <w:bidi w:val="0"/>
              <w:spacing w:lineRule="auto" w:line="480" w:before="0" w:after="160"/>
              <w:jc w:val="left"/>
              <w:rPr/>
            </w:pPr>
            <w:r>
              <w:rPr/>
              <w:t>1.16e-70</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0.375</w:t>
            </w:r>
          </w:p>
        </w:tc>
        <w:tc>
          <w:tcPr>
            <w:tcW w:w="1216" w:type="dxa"/>
            <w:tcBorders/>
          </w:tcPr>
          <w:p>
            <w:pPr>
              <w:pStyle w:val="Normal"/>
              <w:widowControl/>
              <w:suppressAutoHyphens w:val="true"/>
              <w:bidi w:val="0"/>
              <w:spacing w:lineRule="auto" w:line="480" w:before="0" w:after="160"/>
              <w:jc w:val="left"/>
              <w:rPr/>
            </w:pPr>
            <w:r>
              <w:rPr/>
              <w:t>0.089 (-390)</w:t>
            </w:r>
          </w:p>
        </w:tc>
      </w:tr>
      <w:tr>
        <w:trPr/>
        <w:tc>
          <w:tcPr>
            <w:tcW w:w="1215" w:type="dxa"/>
            <w:tcBorders/>
          </w:tcPr>
          <w:p>
            <w:pPr>
              <w:pStyle w:val="Normal"/>
              <w:widowControl/>
              <w:suppressAutoHyphens w:val="true"/>
              <w:bidi w:val="0"/>
              <w:spacing w:lineRule="auto" w:line="480" w:before="0" w:after="160"/>
              <w:jc w:val="left"/>
              <w:rPr/>
            </w:pPr>
            <w:r>
              <w:rPr/>
              <w:t>E</w:t>
            </w:r>
          </w:p>
        </w:tc>
        <w:tc>
          <w:tcPr>
            <w:tcW w:w="1214" w:type="dxa"/>
            <w:tcBorders/>
          </w:tcPr>
          <w:p>
            <w:pPr>
              <w:pStyle w:val="Normal"/>
              <w:widowControl/>
              <w:suppressAutoHyphens w:val="true"/>
              <w:bidi w:val="0"/>
              <w:spacing w:lineRule="auto" w:line="480" w:before="0" w:after="160"/>
              <w:jc w:val="left"/>
              <w:rPr/>
            </w:pPr>
            <w:r>
              <w:rPr/>
              <w:t>-0.0431</w:t>
            </w:r>
          </w:p>
        </w:tc>
        <w:tc>
          <w:tcPr>
            <w:tcW w:w="1216" w:type="dxa"/>
            <w:tcBorders/>
          </w:tcPr>
          <w:p>
            <w:pPr>
              <w:pStyle w:val="Normal"/>
              <w:widowControl/>
              <w:suppressAutoHyphens w:val="true"/>
              <w:bidi w:val="0"/>
              <w:spacing w:lineRule="auto" w:line="480" w:before="0" w:after="160"/>
              <w:jc w:val="left"/>
              <w:rPr/>
            </w:pPr>
            <w:r>
              <w:rPr/>
              <w:t>0.879</w:t>
            </w:r>
          </w:p>
        </w:tc>
        <w:tc>
          <w:tcPr>
            <w:tcW w:w="1214" w:type="dxa"/>
            <w:tcBorders/>
          </w:tcPr>
          <w:p>
            <w:pPr>
              <w:pStyle w:val="Normal"/>
              <w:widowControl/>
              <w:suppressAutoHyphens w:val="true"/>
              <w:bidi w:val="0"/>
              <w:spacing w:lineRule="auto" w:line="480" w:before="0" w:after="160"/>
              <w:jc w:val="left"/>
              <w:rPr/>
            </w:pPr>
            <w:r>
              <w:rPr/>
              <w:t>2.44e-66</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0.317</w:t>
            </w:r>
          </w:p>
        </w:tc>
        <w:tc>
          <w:tcPr>
            <w:tcW w:w="1216" w:type="dxa"/>
            <w:tcBorders/>
          </w:tcPr>
          <w:p>
            <w:pPr>
              <w:pStyle w:val="Normal"/>
              <w:widowControl/>
              <w:suppressAutoHyphens w:val="true"/>
              <w:bidi w:val="0"/>
              <w:spacing w:lineRule="auto" w:line="480" w:before="0" w:after="160"/>
              <w:jc w:val="left"/>
              <w:rPr/>
            </w:pPr>
            <w:r>
              <w:rPr/>
              <w:t>0.146 (-366)</w:t>
            </w:r>
          </w:p>
        </w:tc>
      </w:tr>
    </w:tbl>
    <w:p>
      <w:pPr>
        <w:pStyle w:val="Normal"/>
        <w:spacing w:lineRule="auto" w:line="480"/>
        <w:rPr/>
      </w:pPr>
      <w:r>
        <w:rPr/>
      </w:r>
    </w:p>
    <w:p>
      <w:pPr>
        <w:pStyle w:val="Normal"/>
        <w:spacing w:lineRule="auto" w:line="480"/>
        <w:rPr/>
      </w:pPr>
      <w:r>
        <w:rP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widowControl/>
              <w:suppressAutoHyphens w:val="true"/>
              <w:bidi w:val="0"/>
              <w:spacing w:lineRule="auto" w:line="480" w:before="0" w:after="160"/>
              <w:jc w:val="left"/>
              <w:rPr/>
            </w:pPr>
            <w:r>
              <w:rPr/>
              <w:t>Detector</w:t>
            </w:r>
          </w:p>
        </w:tc>
        <w:tc>
          <w:tcPr>
            <w:tcW w:w="1063" w:type="dxa"/>
            <w:tcBorders/>
          </w:tcPr>
          <w:p>
            <w:pPr>
              <w:pStyle w:val="Normal"/>
              <w:widowControl/>
              <w:suppressAutoHyphens w:val="true"/>
              <w:bidi w:val="0"/>
              <w:spacing w:lineRule="auto" w:line="480" w:before="0" w:after="160"/>
              <w:jc w:val="left"/>
              <w:rPr/>
            </w:pPr>
            <w:r>
              <w:rPr/>
              <w:t>Slope</w:t>
              <w:br/>
              <w:t>(lag=0)</w:t>
            </w:r>
          </w:p>
        </w:tc>
        <w:tc>
          <w:tcPr>
            <w:tcW w:w="1063" w:type="dxa"/>
            <w:tcBorders/>
          </w:tcPr>
          <w:p>
            <w:pPr>
              <w:pStyle w:val="Normal"/>
              <w:widowControl/>
              <w:suppressAutoHyphens w:val="true"/>
              <w:bidi w:val="0"/>
              <w:spacing w:lineRule="auto" w:line="480" w:before="0" w:after="160"/>
              <w:jc w:val="left"/>
              <w:rPr/>
            </w:pPr>
            <w:r>
              <w:rPr/>
              <w:t>R²</w:t>
              <w:br/>
              <w:t>(lag=0)</w:t>
            </w:r>
          </w:p>
        </w:tc>
        <w:tc>
          <w:tcPr>
            <w:tcW w:w="1063" w:type="dxa"/>
            <w:tcBorders/>
          </w:tcPr>
          <w:p>
            <w:pPr>
              <w:pStyle w:val="Normal"/>
              <w:widowControl/>
              <w:suppressAutoHyphens w:val="true"/>
              <w:bidi w:val="0"/>
              <w:spacing w:lineRule="auto" w:line="480" w:before="0" w:after="160"/>
              <w:jc w:val="left"/>
              <w:rPr/>
            </w:pPr>
            <w:r>
              <w:rPr/>
              <w:t>HAC p</w:t>
              <w:br/>
              <w:t>(lag=0)</w:t>
            </w:r>
          </w:p>
        </w:tc>
        <w:tc>
          <w:tcPr>
            <w:tcW w:w="1063" w:type="dxa"/>
            <w:tcBorders/>
          </w:tcPr>
          <w:p>
            <w:pPr>
              <w:pStyle w:val="Normal"/>
              <w:widowControl/>
              <w:suppressAutoHyphens w:val="true"/>
              <w:bidi w:val="0"/>
              <w:spacing w:lineRule="auto" w:line="480" w:before="0" w:after="160"/>
              <w:jc w:val="left"/>
              <w:rPr/>
            </w:pPr>
            <w:r>
              <w:rPr/>
              <w:t>Best lag</w:t>
              <w:br/>
              <w:t>(sols)</w:t>
            </w:r>
          </w:p>
        </w:tc>
        <w:tc>
          <w:tcPr>
            <w:tcW w:w="1063" w:type="dxa"/>
            <w:tcBorders/>
          </w:tcPr>
          <w:p>
            <w:pPr>
              <w:pStyle w:val="Normal"/>
              <w:widowControl/>
              <w:suppressAutoHyphens w:val="true"/>
              <w:bidi w:val="0"/>
              <w:spacing w:lineRule="auto" w:line="480" w:before="0" w:after="160"/>
              <w:jc w:val="left"/>
              <w:rPr/>
            </w:pPr>
            <w:r>
              <w:rPr/>
              <w:t>Declining-phase</w:t>
              <w:br/>
              <w:t>slope</w:t>
            </w:r>
          </w:p>
        </w:tc>
        <w:tc>
          <w:tcPr>
            <w:tcW w:w="1063" w:type="dxa"/>
            <w:tcBorders/>
          </w:tcPr>
          <w:p>
            <w:pPr>
              <w:pStyle w:val="Normal"/>
              <w:widowControl/>
              <w:suppressAutoHyphens w:val="true"/>
              <w:bidi w:val="0"/>
              <w:spacing w:lineRule="auto" w:line="480" w:before="0" w:after="160"/>
              <w:jc w:val="left"/>
              <w:rPr/>
            </w:pPr>
            <w:r>
              <w:rPr/>
              <w:t>Rising-phase</w:t>
              <w:br/>
              <w:t>slope</w:t>
            </w:r>
          </w:p>
        </w:tc>
        <w:tc>
          <w:tcPr>
            <w:tcW w:w="1064" w:type="dxa"/>
            <w:tcBorders/>
          </w:tcPr>
          <w:p>
            <w:pPr>
              <w:pStyle w:val="Normal"/>
              <w:widowControl/>
              <w:suppressAutoHyphens w:val="true"/>
              <w:bidi w:val="0"/>
              <w:spacing w:lineRule="auto" w:line="480" w:before="0" w:after="160"/>
              <w:jc w:val="left"/>
              <w:rPr/>
            </w:pPr>
            <w:r>
              <w:rPr/>
              <w:t>Slope diff.</w:t>
              <w:br/>
              <w:t>HAC p</w:t>
            </w:r>
          </w:p>
        </w:tc>
      </w:tr>
      <w:tr>
        <w:trPr/>
        <w:tc>
          <w:tcPr>
            <w:tcW w:w="1063" w:type="dxa"/>
            <w:tcBorders/>
          </w:tcPr>
          <w:p>
            <w:pPr>
              <w:pStyle w:val="Normal"/>
              <w:widowControl/>
              <w:suppressAutoHyphens w:val="true"/>
              <w:bidi w:val="0"/>
              <w:spacing w:lineRule="auto" w:line="480" w:before="0" w:after="160"/>
              <w:jc w:val="left"/>
              <w:rPr/>
            </w:pPr>
            <w:r>
              <w:rPr/>
              <w:t>B</w:t>
            </w:r>
          </w:p>
        </w:tc>
        <w:tc>
          <w:tcPr>
            <w:tcW w:w="1063" w:type="dxa"/>
            <w:tcBorders/>
          </w:tcPr>
          <w:p>
            <w:pPr>
              <w:pStyle w:val="Normal"/>
              <w:widowControl/>
              <w:suppressAutoHyphens w:val="true"/>
              <w:bidi w:val="0"/>
              <w:spacing w:lineRule="auto" w:line="480" w:before="0" w:after="160"/>
              <w:jc w:val="left"/>
              <w:rPr/>
            </w:pPr>
            <w:r>
              <w:rPr/>
              <w:t>0.354</w:t>
            </w:r>
          </w:p>
        </w:tc>
        <w:tc>
          <w:tcPr>
            <w:tcW w:w="1063" w:type="dxa"/>
            <w:tcBorders/>
          </w:tcPr>
          <w:p>
            <w:pPr>
              <w:pStyle w:val="Normal"/>
              <w:widowControl/>
              <w:suppressAutoHyphens w:val="true"/>
              <w:bidi w:val="0"/>
              <w:spacing w:lineRule="auto" w:line="480" w:before="0" w:after="160"/>
              <w:jc w:val="left"/>
              <w:rPr/>
            </w:pPr>
            <w:r>
              <w:rPr/>
              <w:t>0.946</w:t>
            </w:r>
          </w:p>
        </w:tc>
        <w:tc>
          <w:tcPr>
            <w:tcW w:w="1063" w:type="dxa"/>
            <w:tcBorders/>
          </w:tcPr>
          <w:p>
            <w:pPr>
              <w:pStyle w:val="Normal"/>
              <w:widowControl/>
              <w:suppressAutoHyphens w:val="true"/>
              <w:bidi w:val="0"/>
              <w:spacing w:lineRule="auto" w:line="480" w:before="0" w:after="160"/>
              <w:jc w:val="left"/>
              <w:rPr/>
            </w:pPr>
            <w:r>
              <w:rPr/>
              <w:t>1.69e-91</w:t>
            </w:r>
          </w:p>
        </w:tc>
        <w:tc>
          <w:tcPr>
            <w:tcW w:w="1063" w:type="dxa"/>
            <w:tcBorders/>
          </w:tcPr>
          <w:p>
            <w:pPr>
              <w:pStyle w:val="Normal"/>
              <w:widowControl/>
              <w:suppressAutoHyphens w:val="true"/>
              <w:bidi w:val="0"/>
              <w:spacing w:lineRule="auto" w:line="480" w:before="0" w:after="160"/>
              <w:jc w:val="left"/>
              <w:rPr/>
            </w:pPr>
            <w:r>
              <w:rPr/>
              <w:t>+5</w:t>
            </w:r>
          </w:p>
        </w:tc>
        <w:tc>
          <w:tcPr>
            <w:tcW w:w="1063" w:type="dxa"/>
            <w:tcBorders/>
          </w:tcPr>
          <w:p>
            <w:pPr>
              <w:pStyle w:val="Normal"/>
              <w:widowControl/>
              <w:suppressAutoHyphens w:val="true"/>
              <w:bidi w:val="0"/>
              <w:spacing w:lineRule="auto" w:line="480" w:before="0" w:after="160"/>
              <w:jc w:val="left"/>
              <w:rPr/>
            </w:pPr>
            <w:r>
              <w:rPr/>
              <w:t>0.306</w:t>
            </w:r>
          </w:p>
        </w:tc>
        <w:tc>
          <w:tcPr>
            <w:tcW w:w="1063" w:type="dxa"/>
            <w:tcBorders/>
          </w:tcPr>
          <w:p>
            <w:pPr>
              <w:pStyle w:val="Normal"/>
              <w:widowControl/>
              <w:suppressAutoHyphens w:val="true"/>
              <w:bidi w:val="0"/>
              <w:spacing w:lineRule="auto" w:line="480" w:before="0" w:after="160"/>
              <w:jc w:val="left"/>
              <w:rPr/>
            </w:pPr>
            <w:r>
              <w:rPr/>
              <w:t>0.372</w:t>
            </w:r>
          </w:p>
        </w:tc>
        <w:tc>
          <w:tcPr>
            <w:tcW w:w="1064" w:type="dxa"/>
            <w:tcBorders/>
          </w:tcPr>
          <w:p>
            <w:pPr>
              <w:pStyle w:val="Normal"/>
              <w:widowControl/>
              <w:suppressAutoHyphens w:val="true"/>
              <w:bidi w:val="0"/>
              <w:spacing w:lineRule="auto" w:line="480" w:before="0" w:after="160"/>
              <w:jc w:val="left"/>
              <w:rPr/>
            </w:pPr>
            <w:r>
              <w:rPr/>
              <w:t>3.9e-7</w:t>
            </w:r>
          </w:p>
        </w:tc>
      </w:tr>
      <w:tr>
        <w:trPr/>
        <w:tc>
          <w:tcPr>
            <w:tcW w:w="1063" w:type="dxa"/>
            <w:tcBorders/>
          </w:tcPr>
          <w:p>
            <w:pPr>
              <w:pStyle w:val="Normal"/>
              <w:widowControl/>
              <w:suppressAutoHyphens w:val="true"/>
              <w:bidi w:val="0"/>
              <w:spacing w:lineRule="auto" w:line="480" w:before="0" w:after="160"/>
              <w:jc w:val="left"/>
              <w:rPr/>
            </w:pPr>
            <w:r>
              <w:rPr/>
              <w:t>E</w:t>
            </w:r>
          </w:p>
        </w:tc>
        <w:tc>
          <w:tcPr>
            <w:tcW w:w="1063" w:type="dxa"/>
            <w:tcBorders/>
          </w:tcPr>
          <w:p>
            <w:pPr>
              <w:pStyle w:val="Normal"/>
              <w:widowControl/>
              <w:suppressAutoHyphens w:val="true"/>
              <w:bidi w:val="0"/>
              <w:spacing w:lineRule="auto" w:line="480" w:before="0" w:after="160"/>
              <w:jc w:val="left"/>
              <w:rPr/>
            </w:pPr>
            <w:r>
              <w:rPr/>
              <w:t>0.480</w:t>
            </w:r>
          </w:p>
        </w:tc>
        <w:tc>
          <w:tcPr>
            <w:tcW w:w="1063" w:type="dxa"/>
            <w:tcBorders/>
          </w:tcPr>
          <w:p>
            <w:pPr>
              <w:pStyle w:val="Normal"/>
              <w:widowControl/>
              <w:suppressAutoHyphens w:val="true"/>
              <w:bidi w:val="0"/>
              <w:spacing w:lineRule="auto" w:line="480" w:before="0" w:after="160"/>
              <w:jc w:val="left"/>
              <w:rPr/>
            </w:pPr>
            <w:r>
              <w:rPr/>
              <w:t>0.958</w:t>
            </w:r>
          </w:p>
        </w:tc>
        <w:tc>
          <w:tcPr>
            <w:tcW w:w="1063" w:type="dxa"/>
            <w:tcBorders/>
          </w:tcPr>
          <w:p>
            <w:pPr>
              <w:pStyle w:val="Normal"/>
              <w:widowControl/>
              <w:suppressAutoHyphens w:val="true"/>
              <w:bidi w:val="0"/>
              <w:spacing w:lineRule="auto" w:line="480" w:before="0" w:after="160"/>
              <w:jc w:val="left"/>
              <w:rPr/>
            </w:pPr>
            <w:r>
              <w:rPr/>
              <w:t>5.56e-161</w:t>
            </w:r>
          </w:p>
        </w:tc>
        <w:tc>
          <w:tcPr>
            <w:tcW w:w="1063" w:type="dxa"/>
            <w:tcBorders/>
          </w:tcPr>
          <w:p>
            <w:pPr>
              <w:pStyle w:val="Normal"/>
              <w:widowControl/>
              <w:suppressAutoHyphens w:val="true"/>
              <w:bidi w:val="0"/>
              <w:spacing w:lineRule="auto" w:line="480" w:before="0" w:after="160"/>
              <w:jc w:val="left"/>
              <w:rPr/>
            </w:pPr>
            <w:r>
              <w:rPr/>
              <w:t>+10</w:t>
            </w:r>
          </w:p>
        </w:tc>
        <w:tc>
          <w:tcPr>
            <w:tcW w:w="1063" w:type="dxa"/>
            <w:tcBorders/>
          </w:tcPr>
          <w:p>
            <w:pPr>
              <w:pStyle w:val="Normal"/>
              <w:widowControl/>
              <w:suppressAutoHyphens w:val="true"/>
              <w:bidi w:val="0"/>
              <w:spacing w:lineRule="auto" w:line="480" w:before="0" w:after="160"/>
              <w:jc w:val="left"/>
              <w:rPr/>
            </w:pPr>
            <w:r>
              <w:rPr/>
              <w:t>0.435</w:t>
            </w:r>
          </w:p>
        </w:tc>
        <w:tc>
          <w:tcPr>
            <w:tcW w:w="1063" w:type="dxa"/>
            <w:tcBorders/>
          </w:tcPr>
          <w:p>
            <w:pPr>
              <w:pStyle w:val="Normal"/>
              <w:widowControl/>
              <w:suppressAutoHyphens w:val="true"/>
              <w:bidi w:val="0"/>
              <w:spacing w:lineRule="auto" w:line="480" w:before="0" w:after="160"/>
              <w:jc w:val="left"/>
              <w:rPr/>
            </w:pPr>
            <w:r>
              <w:rPr/>
              <w:t>0.500</w:t>
            </w:r>
          </w:p>
        </w:tc>
        <w:tc>
          <w:tcPr>
            <w:tcW w:w="1064" w:type="dxa"/>
            <w:tcBorders/>
          </w:tcPr>
          <w:p>
            <w:pPr>
              <w:pStyle w:val="Normal"/>
              <w:widowControl/>
              <w:suppressAutoHyphens w:val="true"/>
              <w:bidi w:val="0"/>
              <w:spacing w:lineRule="auto" w:line="480" w:before="0" w:after="160"/>
              <w:jc w:val="left"/>
              <w:rPr/>
            </w:pPr>
            <w:r>
              <w:rPr/>
              <w:t>1.7e-3</w:t>
            </w:r>
          </w:p>
        </w:tc>
      </w:tr>
    </w:tbl>
    <w:p>
      <w:pPr>
        <w:pStyle w:val="Normal"/>
        <w:spacing w:lineRule="auto" w:line="480"/>
        <w:rPr/>
      </w:pPr>
      <w:r>
        <w:rPr/>
      </w:r>
    </w:p>
    <w:p>
      <w:pPr>
        <w:pStyle w:val="Normal"/>
        <w:spacing w:lineRule="auto" w:line="480"/>
        <w:rPr/>
      </w:pPr>
      <w:r>
        <w:rP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w="8502"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17"/>
        <w:gridCol w:w="1416"/>
        <w:gridCol w:w="1418"/>
        <w:gridCol w:w="1417"/>
        <w:gridCol w:w="1416"/>
        <w:gridCol w:w="1418"/>
      </w:tblGrid>
      <w:tr>
        <w:trPr/>
        <w:tc>
          <w:tcPr>
            <w:tcW w:w="1417" w:type="dxa"/>
            <w:tcBorders/>
          </w:tcPr>
          <w:p>
            <w:pPr>
              <w:pStyle w:val="Normal"/>
              <w:widowControl/>
              <w:suppressAutoHyphens w:val="true"/>
              <w:bidi w:val="0"/>
              <w:spacing w:lineRule="auto" w:line="480" w:before="0" w:after="160"/>
              <w:jc w:val="left"/>
              <w:rPr/>
            </w:pPr>
            <w:r>
              <w:rPr/>
              <w:t>Scenario</w:t>
            </w:r>
          </w:p>
        </w:tc>
        <w:tc>
          <w:tcPr>
            <w:tcW w:w="1416" w:type="dxa"/>
            <w:tcBorders/>
          </w:tcPr>
          <w:p>
            <w:pPr>
              <w:pStyle w:val="Normal"/>
              <w:widowControl/>
              <w:suppressAutoHyphens w:val="true"/>
              <w:bidi w:val="0"/>
              <w:spacing w:lineRule="auto" w:line="480" w:before="0" w:after="160"/>
              <w:jc w:val="left"/>
              <w:rPr/>
            </w:pPr>
            <w:r>
              <w:rPr/>
              <w:t>Dose rate,</w:t>
              <w:br/>
              <w:t>detector E</w:t>
              <w:br/>
              <w:t>(uGy/hour)</w:t>
            </w:r>
          </w:p>
        </w:tc>
        <w:tc>
          <w:tcPr>
            <w:tcW w:w="1418" w:type="dxa"/>
            <w:tcBorders/>
          </w:tcPr>
          <w:p>
            <w:pPr>
              <w:pStyle w:val="Normal"/>
              <w:widowControl/>
              <w:suppressAutoHyphens w:val="true"/>
              <w:bidi w:val="0"/>
              <w:spacing w:lineRule="auto" w:line="480" w:before="0" w:after="160"/>
              <w:jc w:val="left"/>
              <w:rPr/>
            </w:pPr>
            <w:r>
              <w:rPr/>
              <w:t>Dose equiv. rate</w:t>
              <w:br/>
              <w:t>(mSv/day)</w:t>
            </w:r>
          </w:p>
        </w:tc>
        <w:tc>
          <w:tcPr>
            <w:tcW w:w="1417" w:type="dxa"/>
            <w:tcBorders/>
          </w:tcPr>
          <w:p>
            <w:pPr>
              <w:pStyle w:val="Normal"/>
              <w:widowControl/>
              <w:suppressAutoHyphens w:val="true"/>
              <w:bidi w:val="0"/>
              <w:spacing w:lineRule="auto" w:line="480" w:before="0" w:after="160"/>
              <w:jc w:val="left"/>
              <w:rPr/>
            </w:pPr>
            <w:r>
              <w:rPr/>
              <w:t>Surface dose,</w:t>
              <w:br/>
              <w:t>500 days (mSv)</w:t>
            </w:r>
          </w:p>
        </w:tc>
        <w:tc>
          <w:tcPr>
            <w:tcW w:w="1416" w:type="dxa"/>
            <w:tcBorders/>
          </w:tcPr>
          <w:p>
            <w:pPr>
              <w:pStyle w:val="Normal"/>
              <w:widowControl/>
              <w:suppressAutoHyphens w:val="true"/>
              <w:bidi w:val="0"/>
              <w:spacing w:lineRule="auto" w:line="480" w:before="0" w:after="160"/>
              <w:jc w:val="left"/>
              <w:rPr/>
            </w:pPr>
            <w:r>
              <w:rPr/>
              <w:t>Total mission</w:t>
              <w:br/>
              <w:t>dose (mSv)</w:t>
            </w:r>
          </w:p>
        </w:tc>
        <w:tc>
          <w:tcPr>
            <w:tcW w:w="1418" w:type="dxa"/>
            <w:tcBorders/>
          </w:tcPr>
          <w:p>
            <w:pPr>
              <w:pStyle w:val="Normal"/>
              <w:widowControl/>
              <w:suppressAutoHyphens w:val="true"/>
              <w:bidi w:val="0"/>
              <w:spacing w:lineRule="auto" w:line="480" w:before="0" w:after="160"/>
              <w:jc w:val="left"/>
              <w:rPr/>
            </w:pPr>
            <w:r>
              <w:rPr/>
              <w:t>% of NASA</w:t>
              <w:br/>
              <w:t>600 mSv limit</w:t>
            </w:r>
          </w:p>
        </w:tc>
      </w:tr>
      <w:tr>
        <w:trPr/>
        <w:tc>
          <w:tcPr>
            <w:tcW w:w="1417" w:type="dxa"/>
            <w:tcBorders/>
          </w:tcPr>
          <w:p>
            <w:pPr>
              <w:pStyle w:val="Normal"/>
              <w:widowControl/>
              <w:suppressAutoHyphens w:val="true"/>
              <w:bidi w:val="0"/>
              <w:spacing w:lineRule="auto" w:line="480" w:before="0" w:after="160"/>
              <w:jc w:val="left"/>
              <w:rPr/>
            </w:pPr>
            <w:r>
              <w:rPr/>
              <w:t>Near solar maximum</w:t>
              <w:br/>
              <w:t>(SOL ~50, 2012-13)</w:t>
            </w:r>
          </w:p>
        </w:tc>
        <w:tc>
          <w:tcPr>
            <w:tcW w:w="1416" w:type="dxa"/>
            <w:tcBorders/>
          </w:tcPr>
          <w:p>
            <w:pPr>
              <w:pStyle w:val="Normal"/>
              <w:widowControl/>
              <w:suppressAutoHyphens w:val="true"/>
              <w:bidi w:val="0"/>
              <w:spacing w:lineRule="auto" w:line="480" w:before="0" w:after="160"/>
              <w:jc w:val="left"/>
              <w:rPr/>
            </w:pPr>
            <w:r>
              <w:rPr/>
              <w:t>8.78</w:t>
            </w:r>
          </w:p>
        </w:tc>
        <w:tc>
          <w:tcPr>
            <w:tcW w:w="1418" w:type="dxa"/>
            <w:tcBorders/>
          </w:tcPr>
          <w:p>
            <w:pPr>
              <w:pStyle w:val="Normal"/>
              <w:widowControl/>
              <w:suppressAutoHyphens w:val="true"/>
              <w:bidi w:val="0"/>
              <w:spacing w:lineRule="auto" w:line="480" w:before="0" w:after="160"/>
              <w:jc w:val="left"/>
              <w:rPr/>
            </w:pPr>
            <w:r>
              <w:rPr/>
              <w:t>0.643</w:t>
            </w:r>
          </w:p>
        </w:tc>
        <w:tc>
          <w:tcPr>
            <w:tcW w:w="1417" w:type="dxa"/>
            <w:tcBorders/>
          </w:tcPr>
          <w:p>
            <w:pPr>
              <w:pStyle w:val="Normal"/>
              <w:widowControl/>
              <w:suppressAutoHyphens w:val="true"/>
              <w:bidi w:val="0"/>
              <w:spacing w:lineRule="auto" w:line="480" w:before="0" w:after="160"/>
              <w:jc w:val="left"/>
              <w:rPr/>
            </w:pPr>
            <w:r>
              <w:rPr/>
              <w:t>321</w:t>
            </w:r>
          </w:p>
        </w:tc>
        <w:tc>
          <w:tcPr>
            <w:tcW w:w="1416" w:type="dxa"/>
            <w:tcBorders/>
          </w:tcPr>
          <w:p>
            <w:pPr>
              <w:pStyle w:val="Normal"/>
              <w:widowControl/>
              <w:suppressAutoHyphens w:val="true"/>
              <w:bidi w:val="0"/>
              <w:spacing w:lineRule="auto" w:line="480" w:before="0" w:after="160"/>
              <w:jc w:val="left"/>
              <w:rPr/>
            </w:pPr>
            <w:r>
              <w:rPr/>
              <w:t>983</w:t>
            </w:r>
          </w:p>
        </w:tc>
        <w:tc>
          <w:tcPr>
            <w:tcW w:w="1418" w:type="dxa"/>
            <w:tcBorders/>
          </w:tcPr>
          <w:p>
            <w:pPr>
              <w:pStyle w:val="Normal"/>
              <w:widowControl/>
              <w:suppressAutoHyphens w:val="true"/>
              <w:bidi w:val="0"/>
              <w:spacing w:lineRule="auto" w:line="480" w:before="0" w:after="160"/>
              <w:jc w:val="left"/>
              <w:rPr/>
            </w:pPr>
            <w:r>
              <w:rPr/>
              <w:t>164%</w:t>
            </w:r>
          </w:p>
        </w:tc>
      </w:tr>
      <w:tr>
        <w:trPr/>
        <w:tc>
          <w:tcPr>
            <w:tcW w:w="1417" w:type="dxa"/>
            <w:tcBorders/>
          </w:tcPr>
          <w:p>
            <w:pPr>
              <w:pStyle w:val="Normal"/>
              <w:widowControl/>
              <w:suppressAutoHyphens w:val="true"/>
              <w:bidi w:val="0"/>
              <w:spacing w:lineRule="auto" w:line="480" w:before="0" w:after="160"/>
              <w:jc w:val="left"/>
              <w:rPr/>
            </w:pPr>
            <w:r>
              <w:rPr/>
              <w:t>Deep solar minimum</w:t>
              <w:br/>
              <w:t>(SOL ~2779, 2019-2020)</w:t>
            </w:r>
          </w:p>
        </w:tc>
        <w:tc>
          <w:tcPr>
            <w:tcW w:w="1416" w:type="dxa"/>
            <w:tcBorders/>
          </w:tcPr>
          <w:p>
            <w:pPr>
              <w:pStyle w:val="Normal"/>
              <w:widowControl/>
              <w:suppressAutoHyphens w:val="true"/>
              <w:bidi w:val="0"/>
              <w:spacing w:lineRule="auto" w:line="480" w:before="0" w:after="160"/>
              <w:jc w:val="left"/>
              <w:rPr/>
            </w:pPr>
            <w:r>
              <w:rPr/>
              <w:t>12.90</w:t>
            </w:r>
          </w:p>
        </w:tc>
        <w:tc>
          <w:tcPr>
            <w:tcW w:w="1418" w:type="dxa"/>
            <w:tcBorders/>
          </w:tcPr>
          <w:p>
            <w:pPr>
              <w:pStyle w:val="Normal"/>
              <w:widowControl/>
              <w:suppressAutoHyphens w:val="true"/>
              <w:bidi w:val="0"/>
              <w:spacing w:lineRule="auto" w:line="480" w:before="0" w:after="160"/>
              <w:jc w:val="left"/>
              <w:rPr/>
            </w:pPr>
            <w:r>
              <w:rPr/>
              <w:t>0.944</w:t>
            </w:r>
          </w:p>
        </w:tc>
        <w:tc>
          <w:tcPr>
            <w:tcW w:w="1417" w:type="dxa"/>
            <w:tcBorders/>
          </w:tcPr>
          <w:p>
            <w:pPr>
              <w:pStyle w:val="Normal"/>
              <w:widowControl/>
              <w:suppressAutoHyphens w:val="true"/>
              <w:bidi w:val="0"/>
              <w:spacing w:lineRule="auto" w:line="480" w:before="0" w:after="160"/>
              <w:jc w:val="left"/>
              <w:rPr/>
            </w:pPr>
            <w:r>
              <w:rPr/>
              <w:t>472</w:t>
            </w:r>
          </w:p>
        </w:tc>
        <w:tc>
          <w:tcPr>
            <w:tcW w:w="1416" w:type="dxa"/>
            <w:tcBorders/>
          </w:tcPr>
          <w:p>
            <w:pPr>
              <w:pStyle w:val="Normal"/>
              <w:widowControl/>
              <w:suppressAutoHyphens w:val="true"/>
              <w:bidi w:val="0"/>
              <w:spacing w:lineRule="auto" w:line="480" w:before="0" w:after="160"/>
              <w:jc w:val="left"/>
              <w:rPr/>
            </w:pPr>
            <w:r>
              <w:rPr/>
              <w:t>1134</w:t>
            </w:r>
          </w:p>
        </w:tc>
        <w:tc>
          <w:tcPr>
            <w:tcW w:w="1418" w:type="dxa"/>
            <w:tcBorders/>
          </w:tcPr>
          <w:p>
            <w:pPr>
              <w:pStyle w:val="Normal"/>
              <w:widowControl/>
              <w:suppressAutoHyphens w:val="true"/>
              <w:bidi w:val="0"/>
              <w:spacing w:lineRule="auto" w:line="480" w:before="0" w:after="160"/>
              <w:jc w:val="left"/>
              <w:rPr/>
            </w:pPr>
            <w:r>
              <w:rPr/>
              <w:t>189%</w:t>
            </w:r>
          </w:p>
        </w:tc>
      </w:tr>
      <w:tr>
        <w:trPr/>
        <w:tc>
          <w:tcPr>
            <w:tcW w:w="1417" w:type="dxa"/>
            <w:tcBorders/>
          </w:tcPr>
          <w:p>
            <w:pPr>
              <w:pStyle w:val="Normal"/>
              <w:widowControl/>
              <w:suppressAutoHyphens w:val="true"/>
              <w:bidi w:val="0"/>
              <w:spacing w:lineRule="auto" w:line="480" w:before="0" w:after="160"/>
              <w:jc w:val="left"/>
              <w:rPr/>
            </w:pPr>
            <w:r>
              <w:rPr/>
              <w:t>Recent, solar cycle 25 maximum</w:t>
              <w:br/>
              <w:t>(SOL ~4832, 2025-26)</w:t>
            </w:r>
          </w:p>
        </w:tc>
        <w:tc>
          <w:tcPr>
            <w:tcW w:w="1416" w:type="dxa"/>
            <w:tcBorders/>
          </w:tcPr>
          <w:p>
            <w:pPr>
              <w:pStyle w:val="Normal"/>
              <w:widowControl/>
              <w:suppressAutoHyphens w:val="true"/>
              <w:bidi w:val="0"/>
              <w:spacing w:lineRule="auto" w:line="480" w:before="0" w:after="160"/>
              <w:jc w:val="left"/>
              <w:rPr/>
            </w:pPr>
            <w:r>
              <w:rPr/>
              <w:t>6.32</w:t>
            </w:r>
          </w:p>
        </w:tc>
        <w:tc>
          <w:tcPr>
            <w:tcW w:w="1418" w:type="dxa"/>
            <w:tcBorders/>
          </w:tcPr>
          <w:p>
            <w:pPr>
              <w:pStyle w:val="Normal"/>
              <w:widowControl/>
              <w:suppressAutoHyphens w:val="true"/>
              <w:bidi w:val="0"/>
              <w:spacing w:lineRule="auto" w:line="480" w:before="0" w:after="160"/>
              <w:jc w:val="left"/>
              <w:rPr/>
            </w:pPr>
            <w:r>
              <w:rPr/>
              <w:t>0.463</w:t>
            </w:r>
          </w:p>
        </w:tc>
        <w:tc>
          <w:tcPr>
            <w:tcW w:w="1417" w:type="dxa"/>
            <w:tcBorders/>
          </w:tcPr>
          <w:p>
            <w:pPr>
              <w:pStyle w:val="Normal"/>
              <w:widowControl/>
              <w:suppressAutoHyphens w:val="true"/>
              <w:bidi w:val="0"/>
              <w:spacing w:lineRule="auto" w:line="480" w:before="0" w:after="160"/>
              <w:jc w:val="left"/>
              <w:rPr/>
            </w:pPr>
            <w:r>
              <w:rPr/>
              <w:t>231</w:t>
            </w:r>
          </w:p>
        </w:tc>
        <w:tc>
          <w:tcPr>
            <w:tcW w:w="1416" w:type="dxa"/>
            <w:tcBorders/>
          </w:tcPr>
          <w:p>
            <w:pPr>
              <w:pStyle w:val="Normal"/>
              <w:widowControl/>
              <w:suppressAutoHyphens w:val="true"/>
              <w:bidi w:val="0"/>
              <w:spacing w:lineRule="auto" w:line="480" w:before="0" w:after="160"/>
              <w:jc w:val="left"/>
              <w:rPr/>
            </w:pPr>
            <w:r>
              <w:rPr/>
              <w:t>893</w:t>
            </w:r>
          </w:p>
        </w:tc>
        <w:tc>
          <w:tcPr>
            <w:tcW w:w="1418" w:type="dxa"/>
            <w:tcBorders/>
          </w:tcPr>
          <w:p>
            <w:pPr>
              <w:pStyle w:val="Normal"/>
              <w:widowControl/>
              <w:suppressAutoHyphens w:val="true"/>
              <w:bidi w:val="0"/>
              <w:spacing w:lineRule="auto" w:line="480" w:before="0" w:after="160"/>
              <w:jc w:val="left"/>
              <w:rPr/>
            </w:pPr>
            <w:r>
              <w:rPr/>
              <w:t>149%</w:t>
            </w:r>
          </w:p>
        </w:tc>
      </w:tr>
    </w:tbl>
    <w:p>
      <w:pPr>
        <w:pStyle w:val="Normal"/>
        <w:spacing w:lineRule="auto" w:line="480"/>
        <w:rPr/>
      </w:pPr>
      <w:r>
        <w:rPr/>
      </w:r>
    </w:p>
    <w:p>
      <w:pPr>
        <w:pStyle w:val="Normal"/>
        <w:spacing w:lineRule="auto" w:line="480"/>
        <w:rPr/>
      </w:pPr>
      <w:r>
        <w:rPr>
          <w:b/>
        </w:rPr>
        <w:t>Figures</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2. Wavelet power spectrum of the E-detector dose-rate time series for SOL windows 00000-00089 through 00708-00804 (panels A-H), computed as described in Section 2.3.</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3. Wavelet power spectrum of the E-detector dose-rate time series for SOL windows 00805-00938 through 01649-01772 (panels A-H).</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3916045"/>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7"/>
                    <a:stretch>
                      <a:fillRect/>
                    </a:stretch>
                  </pic:blipFill>
                  <pic:spPr bwMode="auto">
                    <a:xfrm>
                      <a:off x="0" y="0"/>
                      <a:ext cx="5669280" cy="391604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259143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8"/>
                    <a:stretch>
                      <a:fillRect/>
                    </a:stretch>
                  </pic:blipFill>
                  <pic:spPr bwMode="auto">
                    <a:xfrm>
                      <a:off x="0" y="0"/>
                      <a:ext cx="5669280" cy="259143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spacing w:lineRule="auto" w:line="480"/>
        <w:rPr/>
      </w:pPr>
      <w:r>
        <w:rPr/>
      </w:r>
    </w:p>
    <w:p>
      <w:pPr>
        <w:pStyle w:val="Normal"/>
        <w:spacing w:lineRule="auto" w:line="480"/>
        <w:rPr/>
      </w:pPr>
      <w:r>
        <w:rPr/>
        <w:drawing>
          <wp:inline distT="0" distB="0" distL="0" distR="0">
            <wp:extent cx="5669280" cy="3446145"/>
            <wp:effectExtent l="0" t="0" r="0" b="0"/>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9"/>
                    <a:stretch>
                      <a:fillRect/>
                    </a:stretch>
                  </pic:blipFill>
                  <pic:spPr bwMode="auto">
                    <a:xfrm>
                      <a:off x="0" y="0"/>
                      <a:ext cx="5669280" cy="3446145"/>
                    </a:xfrm>
                    <a:prstGeom prst="rect">
                      <a:avLst/>
                    </a:prstGeom>
                    <a:noFill/>
                  </pic:spPr>
                </pic:pic>
              </a:graphicData>
            </a:graphic>
          </wp:inline>
        </w:drawing>
      </w:r>
    </w:p>
    <w:p>
      <w:pPr>
        <w:pStyle w:val="Normal"/>
        <w:spacing w:lineRule="auto" w:line="480"/>
        <w:rPr/>
      </w:pPr>
      <w:r>
        <w:rP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pStyle w:val="Normal"/>
        <w:spacing w:lineRule="auto" w:line="480"/>
        <w:rPr/>
      </w:pPr>
      <w:r>
        <w:rPr/>
      </w:r>
    </w:p>
    <w:p>
      <w:pPr>
        <w:pStyle w:val="Normal"/>
        <w:spacing w:lineRule="auto" w:line="480"/>
        <w:rPr/>
      </w:pPr>
      <w:r>
        <w:rPr/>
        <w:drawing>
          <wp:inline distT="0" distB="0" distL="0" distR="0">
            <wp:extent cx="5669280" cy="2176145"/>
            <wp:effectExtent l="0" t="0" r="0" b="0"/>
            <wp:docPr id="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
                    <pic:cNvPicPr>
                      <a:picLocks noChangeAspect="1" noChangeArrowheads="1"/>
                    </pic:cNvPicPr>
                  </pic:nvPicPr>
                  <pic:blipFill>
                    <a:blip r:embed="rId10"/>
                    <a:stretch>
                      <a:fillRect/>
                    </a:stretch>
                  </pic:blipFill>
                  <pic:spPr bwMode="auto">
                    <a:xfrm>
                      <a:off x="0" y="0"/>
                      <a:ext cx="5669280" cy="2176145"/>
                    </a:xfrm>
                    <a:prstGeom prst="rect">
                      <a:avLst/>
                    </a:prstGeom>
                    <a:noFill/>
                  </pic:spPr>
                </pic:pic>
              </a:graphicData>
            </a:graphic>
          </wp:inline>
        </w:drawing>
      </w:r>
    </w:p>
    <w:p>
      <w:pPr>
        <w:pStyle w:val="Normal"/>
        <w:spacing w:lineRule="auto" w:line="480"/>
        <w:rPr/>
      </w:pPr>
      <w:r>
        <w:rP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pStyle w:val="Normal"/>
        <w:spacing w:lineRule="auto" w:line="480"/>
        <w:rPr/>
      </w:pPr>
      <w:r>
        <w:rPr/>
      </w:r>
    </w:p>
    <w:p>
      <w:pPr>
        <w:pStyle w:val="Normal"/>
        <w:spacing w:lineRule="auto" w:line="480"/>
        <w:rPr/>
      </w:pPr>
      <w:r>
        <w:rPr/>
        <w:drawing>
          <wp:inline distT="0" distB="0" distL="0" distR="0">
            <wp:extent cx="5669280" cy="2543175"/>
            <wp:effectExtent l="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3"/>
                    <pic:cNvPicPr>
                      <a:picLocks noChangeAspect="1" noChangeArrowheads="1"/>
                    </pic:cNvPicPr>
                  </pic:nvPicPr>
                  <pic:blipFill>
                    <a:blip r:embed="rId11"/>
                    <a:stretch>
                      <a:fillRect/>
                    </a:stretch>
                  </pic:blipFill>
                  <pic:spPr bwMode="auto">
                    <a:xfrm>
                      <a:off x="0" y="0"/>
                      <a:ext cx="5669280" cy="2543175"/>
                    </a:xfrm>
                    <a:prstGeom prst="rect">
                      <a:avLst/>
                    </a:prstGeom>
                    <a:noFill/>
                  </pic:spPr>
                </pic:pic>
              </a:graphicData>
            </a:graphic>
          </wp:inline>
        </w:drawing>
      </w:r>
    </w:p>
    <w:p>
      <w:pPr>
        <w:pStyle w:val="Normal"/>
        <w:spacing w:lineRule="auto" w:line="480" w:before="0" w:after="160"/>
        <w:rPr/>
      </w:pPr>
      <w:r>
        <w:rP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distance="28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character" w:styleId="LineNumber">
    <w:name w:val="line numb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lang w:val="zxx" w:eastAsia="zxx" w:bidi="zxx"/>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4465</TotalTime>
  <Application>LibreOffice/26.2.5.2$Windows_X86_64 LibreOffice_project/cd7284b4cbbfeb507e630c1aac019f4157393acb</Application>
  <AppVersion>15.0000</AppVersion>
  <Pages>42</Pages>
  <Words>7524</Words>
  <Characters>43590</Characters>
  <CharactersWithSpaces>50748</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2026-09-06T15:20:48Z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