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480"/>
        <w:jc w:val="both"/>
        <w:rPr>
          <w:rFonts w:ascii="Calibri" w:hAnsi="Calibri"/>
          <w:sz w:val="24"/>
          <w:szCs w:val="24"/>
        </w:rPr>
      </w:pPr>
      <w:r>
        <w:rPr>
          <w:b/>
          <w:color w:val="000000"/>
          <w:kern w:val="0"/>
          <w:sz w:val="24"/>
          <w:szCs w:val="24"/>
          <w:lang w:val="en-US" w:eastAsia="pt-BR" w:bidi="ar-SA"/>
        </w:rPr>
        <w:t>Hysteresis in the Solar-Cycle Modulation of Martian Surface Radiation: 13.5 Years of MSL/RAD Observations Across a Full Cycle Reversal</w:t>
      </w:r>
    </w:p>
    <w:p>
      <w:pPr>
        <w:pStyle w:val="Normal"/>
        <w:spacing w:lineRule="auto" w:line="480"/>
        <w:jc w:val="both"/>
        <w:rPr>
          <w:rFonts w:ascii="Calibri" w:hAnsi="Calibri"/>
          <w:sz w:val="24"/>
          <w:szCs w:val="24"/>
        </w:rPr>
      </w:pPr>
      <w:r>
        <w:rPr/>
        <w:t>Cesar Amaral</w:t>
      </w:r>
      <w:r>
        <w:rPr>
          <w:vertAlign w:val="superscript"/>
        </w:rPr>
        <w:t>1,*</w:t>
      </w:r>
      <w:r>
        <w:rPr/>
        <w:t>, Dafne Adriana Abreu dos Anjos</w:t>
      </w:r>
      <w:r>
        <w:rPr>
          <w:vertAlign w:val="superscript"/>
        </w:rPr>
        <w:t>1</w:t>
      </w:r>
      <w:r>
        <w:rPr/>
        <w:t>, Anna Luisa dos Santos Donato</w:t>
      </w:r>
      <w:r>
        <w:rPr>
          <w:vertAlign w:val="superscript"/>
        </w:rPr>
        <w:t>1</w:t>
      </w:r>
      <w:r>
        <w:rPr/>
        <w:t>, and Leticia Bastos Eller</w:t>
      </w:r>
      <w:r>
        <w:rPr>
          <w:vertAlign w:val="superscript"/>
        </w:rPr>
        <w:t>1</w:t>
      </w:r>
    </w:p>
    <w:p>
      <w:pPr>
        <w:pStyle w:val="Normal"/>
        <w:spacing w:lineRule="auto" w:line="480"/>
        <w:jc w:val="both"/>
        <w:rPr>
          <w:rFonts w:ascii="Calibri" w:hAnsi="Calibri"/>
          <w:sz w:val="24"/>
          <w:szCs w:val="24"/>
        </w:rPr>
      </w:pPr>
      <w:r>
        <w:rPr>
          <w:vertAlign w:val="superscript"/>
        </w:rPr>
        <w:t>1</w:t>
      </w:r>
      <w:r>
        <w:rPr/>
        <w:t>Núcleo de Genética Molecular Ambiental e Astrobiologia, Departamento de Biofísica e Biometria, Instituto de Biologia Roberto Alcantara Gomes, Universidade do Estado do Rio de Janeiro (UERJ), Avenida São Francisco Xavier, 524, Maracanã, Pavilhão Haroldo Lisboa da Cunha, CEP 20550-900, Rio de Janeiro, RJ, Brazil</w:t>
      </w:r>
    </w:p>
    <w:p>
      <w:pPr>
        <w:pStyle w:val="Normal"/>
        <w:spacing w:lineRule="auto" w:line="480"/>
        <w:rPr/>
      </w:pPr>
      <w:r>
        <w:rPr>
          <w:vertAlign w:val="superscript"/>
        </w:rPr>
        <w:t>*</w:t>
      </w:r>
      <w:r>
        <w:rPr/>
        <w:t>Corresponding author: Cesar Amaral (cesar.amaral@uerj.br)</w:t>
      </w:r>
    </w:p>
    <w:p>
      <w:pPr>
        <w:pStyle w:val="Normal"/>
        <w:spacing w:lineRule="auto" w:line="480"/>
        <w:jc w:val="both"/>
        <w:rPr>
          <w:rFonts w:ascii="Calibri" w:hAnsi="Calibri"/>
          <w:color w:val="000000"/>
          <w:sz w:val="24"/>
          <w:szCs w:val="24"/>
          <w:lang w:val="pt-BR"/>
        </w:rPr>
      </w:pPr>
      <w:r>
        <w:rPr>
          <w:color w:val="000000"/>
          <w:sz w:val="24"/>
          <w:szCs w:val="24"/>
          <w:lang w:val="pt-BR"/>
        </w:rPr>
      </w:r>
    </w:p>
    <w:p>
      <w:pPr>
        <w:pStyle w:val="Normal"/>
        <w:spacing w:lineRule="auto" w:line="480"/>
        <w:rPr/>
      </w:pPr>
      <w:r>
        <w:rPr>
          <w:b/>
        </w:rPr>
        <w:t>Key Points:</w:t>
      </w:r>
    </w:p>
    <w:p>
      <w:pPr>
        <w:pStyle w:val="Normal"/>
        <w:spacing w:lineRule="auto" w:line="480"/>
        <w:rPr/>
      </w:pPr>
      <w:r>
        <w:rPr/>
        <w:t xml:space="preserve">• </w:t>
      </w:r>
      <w:r>
        <w:rPr/>
        <w:t>A 13.5-year MSL/RAD record reveals significant solar-cycle hysteresis in Martian surface radiation dose rate.</w:t>
      </w:r>
    </w:p>
    <w:p>
      <w:pPr>
        <w:pStyle w:val="Normal"/>
        <w:spacing w:lineRule="auto" w:line="480"/>
        <w:rPr/>
      </w:pPr>
      <w:r>
        <w:rPr/>
        <w:t xml:space="preserve">• </w:t>
      </w:r>
      <w:r>
        <w:rPr/>
        <w:t>Three independent methods find no seasonal radiation cycle on Mars, confirmed by a positive control using real pressure data.</w:t>
      </w:r>
    </w:p>
    <w:p>
      <w:pPr>
        <w:pStyle w:val="Normal"/>
        <w:spacing w:lineRule="auto" w:line="480"/>
        <w:rPr/>
      </w:pPr>
      <w:r>
        <w:rPr/>
        <w:t xml:space="preserve">• </w:t>
      </w:r>
      <w:r>
        <w:rPr/>
        <w:t>Measured surface dose implies mission doses of 890-1130 mSv, exceeding NASA's 600 mSv career limit before any solar particle event.</w:t>
      </w:r>
    </w:p>
    <w:p>
      <w:pPr>
        <w:pStyle w:val="Normal"/>
        <w:spacing w:lineRule="auto" w:line="480"/>
        <w:rPr/>
      </w:pPr>
      <w:r>
        <w:rPr/>
      </w:r>
    </w:p>
    <w:p>
      <w:pPr>
        <w:pStyle w:val="Normal"/>
        <w:spacing w:lineRule="auto" w:line="480"/>
        <w:jc w:val="both"/>
        <w:rPr>
          <w:rFonts w:ascii="Calibri" w:hAnsi="Calibri"/>
          <w:sz w:val="24"/>
          <w:szCs w:val="24"/>
        </w:rPr>
      </w:pPr>
      <w:r>
        <w:rPr>
          <w:b/>
          <w:sz w:val="24"/>
          <w:szCs w:val="24"/>
        </w:rPr>
        <w:t>Abstract</w:t>
      </w:r>
    </w:p>
    <w:p>
      <w:pPr>
        <w:pStyle w:val="Normal"/>
        <w:spacing w:lineRule="auto" w:line="480"/>
        <w:jc w:val="both"/>
        <w:rPr>
          <w:rFonts w:ascii="Calibri" w:hAnsi="Calibri"/>
          <w:sz w:val="24"/>
          <w:szCs w:val="24"/>
        </w:rPr>
      </w:pPr>
      <w:r>
        <w:rPr/>
        <w:t>The Radiation Assessment Detector (RAD) aboard the Mars Science Laboratory rover Curiosity has measured the surface radiation environment at Gale Crater since August 2012. We analyze the RAD detector B (silicon) and E (plastic) dose-rate record through SOL 04843 (about 13.5 Earth years), the first published analysis spanning a complete solar-cycle reversal: the decline of cycle 24 into the 2019-2020 minimum and the rise of cycle 25. Dose rate anti-correlates with atmospheric pressure diurnally, as previously reported. Regressed against the Oulu neutron monitor count rate, a direct physical proxy for heliospheric modulation, dose rate explains 95-96% of its variance, essentially instantaneously, but with a statistically significant hysteresis: the response is about 20% steeper during the rise of cycle 25 than during the decline of cycle 24. Three independent methods, classical decomposition, wavelet transform, and a Lomb-Scargle periodogram, find no annual periodicity; a positive-control test on real atmospheric pressure, with a genuine seasonal cycle, shows 26 to 31 times more seasonal structure than the dose-rate residual, confirming this negative result is real, not a method limitation. The long-term dose-rate variation is therefore a smooth, hysteretic response to solar-cycle modulation, not a resolved seasonal cycle. Combined with the instrument's own quality factor and cruise dose, the surface dose rate implies a round-trip 500-day surface mission would accumulate 890 to 1,130 mSv depending on solar-cycle phase, 1.5 to 1.9 times the current NASA career limit, before any particle event or prior exposure. These results refine radiation-dose planning for future human Mars missions.</w:t>
      </w:r>
    </w:p>
    <w:p>
      <w:pPr>
        <w:pStyle w:val="Normal"/>
        <w:spacing w:lineRule="auto" w:line="480"/>
        <w:rPr/>
      </w:pPr>
      <w:r>
        <w:rPr/>
        <w:t>Plain Language Summary</w:t>
      </w:r>
    </w:p>
    <w:p>
      <w:pPr>
        <w:pStyle w:val="Normal"/>
        <w:spacing w:lineRule="auto" w:line="480"/>
        <w:rPr/>
      </w:pPr>
      <w:r>
        <w:rPr/>
        <w:t>The Curiosity rover on Mars carries an instrument that has measured surface radiation since 2012. We analyzed over 13 years of data, the longest stretch studied so far, covering a complete rise-and-fall of the Sun's 11-year activity cycle. Radiation on Mars surface comes mostly from particles from outside the solar system, and the Sun's activity partly shields against these particles: when the Sun is more active, less radiation reaches Mars. We found that Mars surface radiation responds to solar activity almost immediately, but not the same way going up as going down: the response is about a fifth stronger while activity climbs back up than while it was declining. This asymmetry had never been shown before, because no previous study covered both a decline and a rise. We also tested whether Mars has a radiation cycle tied to its own seasons, and found none, confirmed using real Martian air-pressure data as a check that our method would have found such a cycle if it existed. Using the instrument's own calibration, a round-trip astronaut mission to the Martian surface would receive more radiation than the current lifetime safety limit for astronauts, regardless of when in the solar cycle the mission occurs.</w:t>
      </w:r>
    </w:p>
    <w:p>
      <w:pPr>
        <w:pStyle w:val="Normal"/>
        <w:spacing w:lineRule="auto" w:line="480"/>
        <w:rPr/>
      </w:pPr>
      <w:r>
        <w:rPr/>
      </w:r>
    </w:p>
    <w:p>
      <w:pPr>
        <w:pStyle w:val="Normal"/>
        <w:spacing w:lineRule="auto" w:line="480"/>
        <w:rPr/>
      </w:pPr>
      <w:r>
        <w:rPr/>
        <w:t>Keywords: Mars, galactic cosmic rays, solar cycle, radiation dose, hysteresis, human spaceflight</w:t>
      </w:r>
    </w:p>
    <w:p>
      <w:pPr>
        <w:pStyle w:val="Normal"/>
        <w:spacing w:lineRule="auto" w:line="480"/>
        <w:rPr/>
      </w:pPr>
      <w:r>
        <w:rPr/>
      </w:r>
    </w:p>
    <w:p>
      <w:pPr>
        <w:pStyle w:val="Normal"/>
        <w:spacing w:lineRule="auto" w:line="480"/>
        <w:jc w:val="both"/>
        <w:rPr>
          <w:rFonts w:ascii="Calibri" w:hAnsi="Calibri"/>
          <w:sz w:val="24"/>
          <w:szCs w:val="24"/>
        </w:rPr>
      </w:pPr>
      <w:r>
        <w:rPr>
          <w:b/>
          <w:sz w:val="24"/>
          <w:szCs w:val="24"/>
        </w:rPr>
        <w:t>1. Introduction</w:t>
      </w:r>
    </w:p>
    <w:p>
      <w:pPr>
        <w:pStyle w:val="Normal"/>
        <w:spacing w:lineRule="auto" w:line="480"/>
        <w:jc w:val="both"/>
        <w:rPr>
          <w:rFonts w:ascii="Calibri" w:hAnsi="Calibri"/>
          <w:sz w:val="24"/>
          <w:szCs w:val="24"/>
        </w:rPr>
      </w:pPr>
      <w:r>
        <w:rPr/>
        <w:t>Aboard the Mars Science Laboratory (MSL) rover Curiosity, the Radiation Assessment Detector (RAD) is an instrument designed to measure the energetic particle radiation environment on the surface of Mars, starting from its landing on August 6, 2012, providing nearly continuous measurements of the energetic particle radiation (Hassler et al., 2014). Prior to its surface operations, RAD also operated during the interplanetary cruise from Earth to Mars, with the results from that period discussed in Zeitlin et al. (2013).</w:t>
      </w:r>
    </w:p>
    <w:p>
      <w:pPr>
        <w:pStyle w:val="Normal"/>
        <w:spacing w:lineRule="auto" w:line="480"/>
        <w:jc w:val="both"/>
        <w:rPr>
          <w:rFonts w:ascii="Calibri" w:hAnsi="Calibri"/>
          <w:sz w:val="24"/>
          <w:szCs w:val="24"/>
        </w:rPr>
      </w:pPr>
      <w:r>
        <w:rPr>
          <w:bCs w:val="false"/>
          <w:color w:val="000000"/>
          <w:sz w:val="24"/>
          <w:szCs w:val="24"/>
        </w:rPr>
        <w:tab/>
        <w:t xml:space="preserve">The radiation measurements conducted by RAD on the Martian surface are influenced by several factors. These include the characteristics of primary radiation at the top of Mars' atmosphere, the composition and mass of the Martian atmosphere, and the composition of the surface itself. In addition to the shielding effects provided by the atmosphere, which vary based on its mass, the surface radiation is also affected by the shielding provided by any mechanical structures associated with the RAD instrument and the Mars Science Laboratory rover Curiosity. Furthermore, since the Mars Science Laboratory is powered by a radioisotope thermal generator (RTG), RAD is continuously exposed to neutrons and γ-rays with energies of up to approximately 5 MeV. Although RAD is sensitive to this energy range and can detect particles up to around 100 MeV, thresholds are set to reject detections from the RTG source, as it is expected to dominate over natural sources, especially those originating from the Martian regolith. </w:t>
      </w:r>
    </w:p>
    <w:p>
      <w:pPr>
        <w:pStyle w:val="Normal"/>
        <w:spacing w:lineRule="auto" w:line="480"/>
        <w:jc w:val="both"/>
        <w:rPr>
          <w:rFonts w:ascii="Calibri" w:hAnsi="Calibri"/>
          <w:sz w:val="24"/>
          <w:szCs w:val="24"/>
        </w:rPr>
      </w:pPr>
      <w:r>
        <w:rPr>
          <w:color w:val="000000"/>
          <w:sz w:val="24"/>
          <w:szCs w:val="24"/>
        </w:rPr>
        <w:t xml:space="preserve">Assessing the radiation environment on and near the surface of Mars is a crucial and indispensable step in planning future human missions to the planet, ensuring the safety of astronauts (Cucinotta &amp; Chappell, 2011). Nonetheless, understanding the contributions to the radiation environment on the Martian surface is a highly intricate endeavor (e.g., Saganti et al., 2002).  Detailed measurements of the radiation field are necessary because the radiation environment on Mars differs significantly from that on Earth (Ehresmann et al., 2011). Unlike Earth, Mars lacks a global magnetic field that shields it from energetic particles originating from outer space. Additionally, the Martian atmosphere is much thinner than Earth's atmosphere. For instance, the average atmospheric column depth above Gale Crater during the initial ∼200 Martian solar days (sols) of the mission was only about 21-22 g/cm², a small fraction of Earth's atmospheric values. As a result, high-energy particles such as galactic cosmic rays (GCRs) penetrate deeply into the Martian atmosphere or even pass through it entirely. </w:t>
      </w:r>
    </w:p>
    <w:p>
      <w:pPr>
        <w:pStyle w:val="Normal"/>
        <w:spacing w:lineRule="auto" w:line="480"/>
        <w:jc w:val="both"/>
        <w:rPr>
          <w:rFonts w:ascii="Calibri" w:hAnsi="Calibri"/>
          <w:sz w:val="24"/>
          <w:szCs w:val="24"/>
        </w:rPr>
      </w:pPr>
      <w:r>
        <w:rPr>
          <w:color w:val="000000"/>
          <w:sz w:val="24"/>
          <w:szCs w:val="24"/>
        </w:rPr>
        <w:t>As energetic particles, including galactic cosmic rays (GCRs) and solar energetic particles (SEPs), penetrate the Martian atmosphere, they engage in spallation and fragmentation processes, generating secondary particles. These secondary particles undergo further interactions during propagation, resulting in exceedingly complex spectra upon reaching the Martian surface. Additionally, the downward particle flux that reaches the Martian surface interacts with the regolith, leading to various outcomes, one of which is the production of backscattered particles. These backscattered particles can be detected either on the surface or in orbit (e.g., Boynton et al., 2004).</w:t>
      </w:r>
    </w:p>
    <w:p>
      <w:pPr>
        <w:pStyle w:val="Normal"/>
        <w:spacing w:lineRule="auto" w:line="480"/>
        <w:jc w:val="both"/>
        <w:rPr>
          <w:rFonts w:ascii="Calibri" w:hAnsi="Calibri"/>
          <w:sz w:val="24"/>
          <w:szCs w:val="24"/>
        </w:rPr>
      </w:pPr>
      <w:r>
        <w:rPr>
          <w:color w:val="000000"/>
          <w:sz w:val="24"/>
          <w:szCs w:val="24"/>
        </w:rPr>
        <w:t>The Martian atmosphere experiences a robust thermal tide caused by direct solar heating on the daytime side and strong infrared cooling on the nighttime side. Solar heating leads to atmospheric expansion accompanied by a simultaneous reduction in surface column density (Rafkin et al., 2014). This daily fluctuation in column density results in a corresponding variation in shielding depth. Furthermore, the seasonal cycle of CO2 condensation induces a long-term pressure variation, affecting the atmospheric column depth as well (e.g., Guo et al., 2015). At the top of Mars' atmosphere, two types of primary particles can be observed: galactic cosmic rays (GCRs) and solar energetic particles (SEPs). SEPs, predominantly composed of protons and electrons, occur sporadically, and their intensity can vary significantly. The Martian atmosphere acts as a natural barrier for low-energy particles, setting a cutoff threshold of approximately 200 MeV for protons. As a result, only SEP events with a pronounced high-energy component can be detected on the Martian surface. GCRs constitute the primary source of radiation on the Martian surface and are influenced by the heliospheric magnetic field, which undergoes dynamic changes as solar activity varies over time, following a well-established 11-year cycle. The relationship between recorded surface GCR dose rates and changes in pressure (which can be translated into accumulated atmospheric column density) has been examined by Rafkin et al. (2014). They conducted an analysis using hourly-binned data to investigate diurnal perturbations. Additionally, the long-term solar modulation of surface dose rates has been empirically studied and modeled by Guo et al. (2015).</w:t>
      </w:r>
    </w:p>
    <w:p>
      <w:pPr>
        <w:pStyle w:val="Normal"/>
        <w:spacing w:lineRule="auto" w:line="480"/>
        <w:rPr>
          <w:rFonts w:ascii="Calibri" w:hAnsi="Calibri"/>
          <w:sz w:val="24"/>
          <w:szCs w:val="24"/>
        </w:rPr>
      </w:pPr>
      <w:r>
        <w:rPr/>
        <w:t>Guo et al. (2021) and Ehresmann et al. (2023) extended this picture through the deep solar minimum of December 2019-October 2020, reporting an approximately 50% increase in surface dose rate from solar maximum (2012-2013) to solar minimum. Guo et al. (2015) also noted, without a dedicated spectral test, that the seasonal pressure effect on dose rate should be much smaller than the longer-term solar-modulation effect. This paper complements that literature in two ways. First, the dose-rate record analyzed here (Section 2.3) extends through SOL 04843 (~7.24 Martian years, current to March 2026), covering both the deep 2019-2020 solar minimum and most of solar cycle 25 -- rise, maximum, and early decline -- beyond the temporal coverage of either prior study. Second, and centrally, it applies wavelet decomposition and classical time-series decomposition, both scaled explicitly to resolve periods from a few sols up to several Martian years, together with a continuous regression against observed solar activity and a direct regression against real atmospheric pressure, to test the seasonal-versus-trend expectation directly against the dose-rate time series itself -- rather than assuming it. As detailed in Sections 3.3-3.4, this direct test confirms the expectation: no annual periodicity is resolved, a positive-control test on real pressure data confirms the method would detect one if present, and the long-term dose-rate increase is fully described by the solar-cycle trend.</w:t>
      </w:r>
    </w:p>
    <w:p>
      <w:pPr>
        <w:pStyle w:val="Normal"/>
        <w:spacing w:lineRule="auto" w:line="480"/>
        <w:jc w:val="both"/>
        <w:rPr>
          <w:rFonts w:ascii="Calibri" w:hAnsi="Calibri"/>
          <w:color w:val="000000"/>
          <w:sz w:val="24"/>
          <w:szCs w:val="24"/>
        </w:rPr>
      </w:pPr>
      <w:r>
        <w:rPr>
          <w:color w:val="000000"/>
          <w:sz w:val="24"/>
          <w:szCs w:val="24"/>
        </w:rPr>
      </w:r>
    </w:p>
    <w:p>
      <w:pPr>
        <w:pStyle w:val="Normal"/>
        <w:spacing w:lineRule="auto" w:line="480"/>
        <w:jc w:val="both"/>
        <w:rPr>
          <w:rFonts w:ascii="Calibri" w:hAnsi="Calibri"/>
          <w:sz w:val="24"/>
          <w:szCs w:val="24"/>
        </w:rPr>
      </w:pPr>
      <w:r>
        <w:rPr>
          <w:b/>
          <w:sz w:val="24"/>
          <w:szCs w:val="24"/>
        </w:rPr>
        <w:t>2. Materials and Methods</w:t>
      </w:r>
    </w:p>
    <w:p>
      <w:pPr>
        <w:pStyle w:val="Normal"/>
        <w:spacing w:lineRule="auto" w:line="480"/>
        <w:jc w:val="both"/>
        <w:rPr>
          <w:rFonts w:ascii="Calibri" w:hAnsi="Calibri"/>
          <w:color w:val="000000"/>
          <w:sz w:val="24"/>
          <w:szCs w:val="24"/>
        </w:rPr>
      </w:pPr>
      <w:r>
        <w:rPr>
          <w:color w:val="000000"/>
          <w:sz w:val="24"/>
          <w:szCs w:val="24"/>
        </w:rPr>
      </w:r>
    </w:p>
    <w:p>
      <w:pPr>
        <w:pStyle w:val="Normal"/>
        <w:spacing w:lineRule="auto" w:line="480"/>
        <w:jc w:val="both"/>
        <w:rPr>
          <w:rFonts w:ascii="Calibri" w:hAnsi="Calibri"/>
          <w:sz w:val="24"/>
          <w:szCs w:val="24"/>
        </w:rPr>
      </w:pPr>
      <w:r>
        <w:rPr>
          <w:b/>
          <w:sz w:val="24"/>
          <w:szCs w:val="24"/>
        </w:rPr>
        <w:t>2.1 RAD Instrument</w:t>
      </w:r>
    </w:p>
    <w:p>
      <w:pPr>
        <w:pStyle w:val="Normal"/>
        <w:spacing w:lineRule="auto" w:line="480"/>
        <w:jc w:val="both"/>
        <w:rPr>
          <w:rFonts w:ascii="Calibri" w:hAnsi="Calibri"/>
          <w:color w:val="000000"/>
          <w:sz w:val="24"/>
          <w:szCs w:val="24"/>
        </w:rPr>
      </w:pPr>
      <w:r>
        <w:rPr>
          <w:color w:val="000000"/>
          <w:sz w:val="24"/>
          <w:szCs w:val="24"/>
        </w:rPr>
      </w:r>
    </w:p>
    <w:p>
      <w:pPr>
        <w:pStyle w:val="Normal"/>
        <w:spacing w:lineRule="auto" w:line="480"/>
        <w:jc w:val="both"/>
        <w:rPr>
          <w:rFonts w:ascii="Calibri" w:hAnsi="Calibri"/>
          <w:sz w:val="24"/>
          <w:szCs w:val="24"/>
        </w:rPr>
      </w:pPr>
      <w:r>
        <w:rPr>
          <w:sz w:val="24"/>
          <w:szCs w:val="24"/>
        </w:rPr>
        <w:t>RAD measures both the charged as well as the neutral radiation environment on Mars (Hassler et al., 2012). It uses the dE dx versus total E or multiple dE dx techniques (Ehresmann et al., 2014; Guo et al., 2015a) to identify charged particles in a telescope stack of three silicon semiconductor detectors, A, B, and C, followed by a high-density CsI scintillator calorimeter, D. The CsI crystal together with a plastic (BC- 432 m) scintillator (namely, detector E) are enclosed in a highly efficient anticoincidence in order to measure the neutral radiation (Köhler et al., 2014). In addition, the dose rate is measured in the silicon detector B as well as in the plastic detector E. A detailed overview of the instrument is given in Hassler et al. (2012).</w:t>
      </w:r>
    </w:p>
    <w:p>
      <w:pPr>
        <w:pStyle w:val="Normal"/>
        <w:spacing w:lineRule="auto" w:line="480"/>
        <w:jc w:val="both"/>
        <w:rPr>
          <w:rFonts w:ascii="Calibri" w:hAnsi="Calibri"/>
          <w:sz w:val="24"/>
          <w:szCs w:val="24"/>
        </w:rPr>
      </w:pPr>
      <w:r>
        <w:rPr>
          <w:b/>
          <w:sz w:val="24"/>
          <w:szCs w:val="24"/>
        </w:rPr>
        <w:t>2.2 Dose Rate Calculation</w:t>
      </w:r>
    </w:p>
    <w:p>
      <w:pPr>
        <w:pStyle w:val="Normal"/>
        <w:spacing w:lineRule="auto" w:line="480"/>
        <w:jc w:val="both"/>
        <w:rPr>
          <w:rFonts w:ascii="Calibri" w:hAnsi="Calibri"/>
          <w:sz w:val="24"/>
          <w:szCs w:val="24"/>
        </w:rPr>
      </w:pPr>
      <w:r>
        <w:rPr>
          <w:sz w:val="24"/>
          <w:szCs w:val="24"/>
        </w:rPr>
        <w:t xml:space="preserve">In this work, we will determine the influence of heliospheric modulation and atmospheric pressure on dose rate in silicon (detector B) and in plastic (detector E). The dose rate is defined as the energy deposited by radiation per unit mass and time and is measured in Gy day-1 (J kg-1 day-1). During quiet times, the dose rate on the surface of Mars is—apart from a very small natural background—determined by the GCR and its interaction with the atmosphere and soil. It can be described by Equation </w:t>
      </w:r>
      <w:r>
        <w:rPr>
          <w:sz w:val="24"/>
          <w:szCs w:val="24"/>
        </w:rPr>
        <w:t>1</w:t>
      </w:r>
      <w:r>
        <w:rPr>
          <w:sz w:val="24"/>
          <w:szCs w:val="24"/>
        </w:rPr>
        <w:t>:</w:t>
      </w:r>
    </w:p>
    <w:p>
      <w:pPr>
        <w:pStyle w:val="Normal"/>
        <w:spacing w:lineRule="auto" w:line="480"/>
        <w:jc w:val="both"/>
        <w:rPr>
          <w:rFonts w:ascii="Calibri" w:hAnsi="Calibri"/>
          <w:color w:val="000000"/>
          <w:sz w:val="24"/>
          <w:szCs w:val="24"/>
        </w:rPr>
      </w:pPr>
      <w:r>
        <w:rPr>
          <w:color w:val="000000"/>
          <w:sz w:val="24"/>
          <w:szCs w:val="24"/>
        </w:rPr>
      </w:r>
    </w:p>
    <w:p>
      <w:pPr>
        <w:pStyle w:val="Normal"/>
        <w:tabs>
          <w:tab w:val="center" w:pos="4252"/>
          <w:tab w:val="right" w:pos="8504"/>
        </w:tabs>
        <w:spacing w:lineRule="auto" w:line="480"/>
        <w:jc w:val="both"/>
        <w:rPr>
          <w:rFonts w:ascii="Calibri" w:hAnsi="Calibri"/>
          <w:color w:val="000000"/>
          <w:sz w:val="24"/>
          <w:szCs w:val="24"/>
        </w:rPr>
      </w:pPr>
      <w:r>
        <w:tab/>
      </w:r>
      <m:oMath xmlns:m="http://schemas.openxmlformats.org/officeDocument/2006/math">
        <m:r>
          <m:t>D</m:t>
        </m:r>
        <m:d>
          <m:dPr>
            <m:begChr m:val="("/>
            <m:endChr m:val=")"/>
          </m:dPr>
          <m:e>
            <m:r>
              <m:t>Φ,P</m:t>
            </m:r>
          </m:e>
        </m:d>
        <m:r>
          <m:t>=</m:t>
        </m:r>
        <m:nary>
          <m:naryPr>
            <m:chr m:val="∑"/>
            <m:limLoc m:val="undOvr"/>
          </m:naryPr>
          <m:sub>
            <m:r>
              <m:t>j</m:t>
            </m:r>
          </m:sub>
          <m:e>
            <m:nary>
              <m:naryPr>
                <m:chr m:val="∑"/>
                <m:limLoc m:val="undOvr"/>
              </m:naryPr>
              <m:sub>
                <m:r>
                  <m:rPr>
                    <m:sty m:val="p"/>
                  </m:rPr>
                  <m:t>area</m:t>
                </m:r>
              </m:sub>
              <m:e>
                <m:nary>
                  <m:naryPr>
                    <m:chr m:val="∫"/>
                    <m:limLoc m:val="subSup"/>
                  </m:naryPr>
                  <m:sub>
                    <m:r>
                      <m:t>ε</m:t>
                    </m:r>
                    <m:r>
                      <m:rPr>
                        <m:sty m:val="p"/>
                      </m:rPr>
                      <m:t>min</m:t>
                    </m:r>
                  </m:sub>
                  <m:sup>
                    <m:r>
                      <m:t>ε</m:t>
                    </m:r>
                    <m:r>
                      <m:rPr>
                        <m:sty m:val="p"/>
                      </m:rPr>
                      <m:t>max</m:t>
                    </m:r>
                  </m:sup>
                  <m:e>
                    <m:nary>
                      <m:naryPr>
                        <m:chr m:val="∫"/>
                        <m:limLoc m:val="subSup"/>
                      </m:naryPr>
                      <m:sub>
                        <m:r>
                          <m:t>0</m:t>
                        </m:r>
                      </m:sub>
                      <m:sup>
                        <m:r>
                          <m:t>∞</m:t>
                        </m:r>
                      </m:sup>
                      <m:e>
                        <m:sSub>
                          <m:e>
                            <m:r>
                              <m:t>λ</m:t>
                            </m:r>
                          </m:e>
                          <m:sub>
                            <m:r>
                              <m:t>j</m:t>
                            </m:r>
                          </m:sub>
                        </m:sSub>
                        <m:d>
                          <m:dPr>
                            <m:begChr m:val="("/>
                            <m:endChr m:val=")"/>
                          </m:dPr>
                          <m:e>
                            <m:r>
                              <m:t>E,ε</m:t>
                            </m:r>
                          </m:e>
                        </m:d>
                        <m:sSub>
                          <m:e>
                            <m:r>
                              <m:t>F</m:t>
                            </m:r>
                          </m:e>
                          <m:sub>
                            <m:r>
                              <m:t>j</m:t>
                            </m:r>
                          </m:sub>
                        </m:sSub>
                        <m:d>
                          <m:dPr>
                            <m:begChr m:val="("/>
                            <m:endChr m:val=")"/>
                          </m:dPr>
                          <m:e>
                            <m:r>
                              <m:t>Φ,P,E</m:t>
                            </m:r>
                          </m:e>
                        </m:d>
                        <m:r>
                          <m:rPr>
                            <m:sty m:val="p"/>
                          </m:rPr>
                          <m:t>d</m:t>
                        </m:r>
                        <m:r>
                          <m:t>E</m:t>
                        </m:r>
                        <m:r>
                          <m:rPr>
                            <m:sty m:val="p"/>
                          </m:rPr>
                          <m:t>d</m:t>
                        </m:r>
                        <m:r>
                          <m:t>ε</m:t>
                        </m:r>
                        <m:r>
                          <m:t>/m</m:t>
                        </m:r>
                      </m:e>
                    </m:nary>
                  </m:e>
                </m:nary>
              </m:e>
            </m:nary>
          </m:e>
        </m:nary>
      </m:oMath>
      <w:r>
        <w:rPr>
          <w:color w:val="000000"/>
          <w:sz w:val="24"/>
          <w:szCs w:val="24"/>
        </w:rPr>
        <w:tab/>
        <w:t>Equation 1.</w:t>
      </w:r>
    </w:p>
    <w:p>
      <w:pPr>
        <w:pStyle w:val="Normal"/>
        <w:spacing w:lineRule="auto" w:line="480"/>
        <w:jc w:val="both"/>
        <w:rPr>
          <w:rFonts w:ascii="Calibri" w:hAnsi="Calibri"/>
          <w:color w:val="000000"/>
          <w:sz w:val="24"/>
          <w:szCs w:val="24"/>
        </w:rPr>
      </w:pPr>
      <w:r>
        <w:rPr>
          <w:color w:val="000000"/>
          <w:sz w:val="24"/>
          <w:szCs w:val="24"/>
        </w:rPr>
      </w:r>
    </w:p>
    <w:p>
      <w:pPr>
        <w:pStyle w:val="Normal"/>
        <w:spacing w:lineRule="auto" w:line="480"/>
        <w:jc w:val="both"/>
        <w:rPr>
          <w:rFonts w:ascii="Calibri" w:hAnsi="Calibri"/>
          <w:sz w:val="24"/>
          <w:szCs w:val="24"/>
        </w:rPr>
      </w:pPr>
      <w:r>
        <w:rPr>
          <w:color w:val="000000"/>
          <w:sz w:val="24"/>
          <w:szCs w:val="24"/>
        </w:rPr>
        <w:t>The dose rate in detector E is calculated without considering whether events were also detected in any other detectors. Therefore, the dose measured in E represents the total dose from all measurable energetic particles, including both charged and neutral particles. This encompasses recoil protons and Compton electrons produced by neutrons and γ-rays, respectively.</w:t>
      </w:r>
    </w:p>
    <w:p>
      <w:pPr>
        <w:pStyle w:val="Normal"/>
        <w:spacing w:lineRule="auto" w:line="480"/>
        <w:jc w:val="both"/>
        <w:rPr>
          <w:rFonts w:ascii="Calibri" w:hAnsi="Calibri"/>
          <w:color w:val="000000"/>
          <w:sz w:val="24"/>
          <w:szCs w:val="24"/>
        </w:rPr>
      </w:pPr>
      <w:r>
        <w:rPr>
          <w:color w:val="000000"/>
          <w:sz w:val="24"/>
          <w:szCs w:val="24"/>
        </w:rPr>
      </w:r>
    </w:p>
    <w:p>
      <w:pPr>
        <w:pStyle w:val="Normal"/>
        <w:spacing w:lineRule="auto" w:line="480"/>
        <w:jc w:val="both"/>
        <w:rPr>
          <w:rFonts w:ascii="Calibri" w:hAnsi="Calibri"/>
          <w:sz w:val="24"/>
          <w:szCs w:val="24"/>
        </w:rPr>
      </w:pPr>
      <w:r>
        <w:rPr>
          <w:sz w:val="24"/>
          <w:szCs w:val="24"/>
        </w:rPr>
        <w:t>The atmospheric surface pressure record as measured by the Rover Environmental Monitoring Station (REMS), as described by Harri et al. (2014). Curiosity landed during a period of near-minimum global pressure, when the southern CO2 ice cap was at its maximum extent. The average daily pressure began to increase from that time. Overlaying the long-term seasonal trend is a diurnal pressure signal driven by the thermal tide.</w:t>
      </w:r>
    </w:p>
    <w:p>
      <w:pPr>
        <w:pStyle w:val="Normal"/>
        <w:spacing w:lineRule="auto" w:line="480"/>
        <w:jc w:val="both"/>
        <w:rPr>
          <w:rFonts w:ascii="Calibri" w:hAnsi="Calibri"/>
          <w:color w:val="000000"/>
          <w:sz w:val="24"/>
          <w:szCs w:val="24"/>
        </w:rPr>
      </w:pPr>
      <w:r>
        <w:rPr>
          <w:color w:val="000000"/>
          <w:sz w:val="24"/>
          <w:szCs w:val="24"/>
        </w:rPr>
      </w:r>
    </w:p>
    <w:p>
      <w:pPr>
        <w:pStyle w:val="Normal"/>
        <w:spacing w:lineRule="auto" w:line="480"/>
        <w:jc w:val="both"/>
        <w:rPr>
          <w:rFonts w:ascii="Calibri" w:hAnsi="Calibri"/>
          <w:sz w:val="24"/>
          <w:szCs w:val="24"/>
        </w:rPr>
      </w:pPr>
      <w:r>
        <w:rPr>
          <w:b/>
          <w:sz w:val="24"/>
          <w:szCs w:val="24"/>
        </w:rPr>
        <w:t>2.3 Statistical Analysis</w:t>
      </w:r>
    </w:p>
    <w:p>
      <w:pPr>
        <w:pStyle w:val="Normal"/>
        <w:spacing w:lineRule="auto" w:line="480"/>
        <w:rPr/>
      </w:pPr>
      <w:r>
        <w:rPr/>
        <w:t>For each ~90-SOL window (22 windows spanning SOL 00000-02482) the dose-rate time series of detectors B and E were summarized as window means and standard deviations (Table 1).</w:t>
      </w:r>
    </w:p>
    <w:p>
      <w:pPr>
        <w:pStyle w:val="Normal"/>
        <w:spacing w:lineRule="auto" w:line="480"/>
        <w:rPr/>
      </w:pPr>
      <w:r>
        <w:rPr/>
        <w:t>Detector B and E dose-rate values were extracted from the raw PDS Reduced Data Records (RDRs) via HTTP Range requests targeted at the byte offset of each DOSIMETRY_TOTAL_DOSE_B/E value, given by the OBJECT/START_BYTE/BYTES pointers in the accompanying PDS3 detached label, avoiding the need to download each ~65 MB per-sol file in full. Some sols are covered by more than one RDR file (different DSN downlink passes for the same sol, up to 17 for a single sol); each source file was tracked and merged individually so that distinct observations sharing a sol are not conflated. The extraction was validated by independently re-extracting 3,763 values spanning the start and end of the record (SOL 00000-00089 and SOL 02359-02482): all matched exactly. Sol identity is preserved for every individual dose observation, giving a real per-sol time axis. The analyzed record spans SOL 00001-04843, the most recent RAD data publicly archived at the PDS Planetary Plasma Interactions node as of 2026-07-29.</w:t>
      </w:r>
    </w:p>
    <w:p>
      <w:pPr>
        <w:pStyle w:val="Normal"/>
        <w:spacing w:lineRule="auto" w:line="480"/>
        <w:rPr/>
      </w:pPr>
      <w:r>
        <w:rPr/>
        <w:t>A classical additive decomposition (centered moving-average trend, phase-averaged seasonal component, residual) was computed in Python (pandas/numpy) on the per-sol dose-rate series, with the period set to 669 sols (one Martian year) -- long enough to resolve an annual cycle, which a substantially shorter period cannot do even in principle.</w:t>
      </w:r>
    </w:p>
    <w:p>
      <w:pPr>
        <w:pStyle w:val="Normal"/>
        <w:spacing w:lineRule="auto" w:line="480"/>
        <w:rPr/>
      </w:pPr>
      <w:r>
        <w:rPr/>
        <w:t>Periodicities in the dose-rate series were further characterized using a continuous wavelet transform (Morlet wavelet, Torrence &amp; Compo 1998, implemented in Python via pycwt), computed both for each ~90-SOL window (Figures 2-4) and for the full per-sol record (Figure 6), with the scale range set to resolve periods from a few sols up to several Martian years.</w:t>
      </w:r>
    </w:p>
    <w:p>
      <w:pPr>
        <w:pStyle w:val="Normal"/>
        <w:spacing w:lineRule="auto" w:line="480"/>
        <w:rPr/>
      </w:pPr>
      <w:r>
        <w:rPr/>
        <w:t>Both the classical decomposition and the solar-activity regression below are sensitive to Solar Particle Events (SPEs): a single-sol dose excursion falls into one phase bin of the ~669-sol modulo average, and because the reconstructed seasonal component tiles that per-phase average across every cycle, a single real transient event can otherwise appear as a spurious periodic signal repeated at every ~669-sol interval. Sols departing by more than 8 median absolute deviations from a 21-sol rolling median were flagged and linearly interpolated over before decomposition or regression (left unaltered in the raw series shown in Figures 5 and 7, and in the wavelet transform, which correctly localizes each event as a short-period transient rather than an annual signal). This flagged 29-35 sols, clustered into roughly nine distinct events, consistent with the SPE-affected windows already noted in Table 1 (e.g. “2014 SPE”, “2017 SPE”) plus additional events during the rise of solar cycle 25 (2022-2024), the largest being SOL 04190 (≈2024-05-14), independently reported by NASA/JPL as the largest radiation surge RAD had recorded since landing.</w:t>
      </w:r>
    </w:p>
    <w:p>
      <w:pPr>
        <w:pStyle w:val="Normal"/>
        <w:spacing w:lineRule="auto" w:line="480"/>
        <w:rPr/>
      </w:pPr>
      <w:r>
        <w:rPr/>
        <w:t>Dose rate was regressed (ordinary least squares, Python statsmodels) against the observed monthly International Sunspot Number (SILSO World Data Center, updated through 2026-08), smoothed with a 13-month (≈387-sol) centered running mean -- the standard solar-cycle smoothing window -- as a continuous proxy for heliospheric modulation. The regression residual was tested for a seasonal (annual) component using the same classical decomposition described above.</w:t>
      </w:r>
    </w:p>
    <w:p>
      <w:pPr>
        <w:pStyle w:val="Normal"/>
        <w:spacing w:lineRule="auto" w:line="480"/>
        <w:rPr/>
      </w:pPr>
      <w:r>
        <w:rPr/>
        <w:t>Real atmospheric pressure was extracted from the REMS RDR MODRDR pressure product (PDS Atmospheres node, same sol-range folder structure and byte-offset extraction approach as the RAD data; 48 samples per sol) and used both as an independent series for direct cross-correlation with the dose-rate residual (lags -400 to +400 sols), and, separately, decomposed by the identical method as a positive control -- pressure has a well-documented real seasonal cycle (CO2 condensation/sublimation), so recovering it independently validates the method's sensitivity.</w:t>
      </w:r>
    </w:p>
    <w:p>
      <w:pPr>
        <w:pStyle w:val="Normal"/>
        <w:spacing w:lineRule="auto" w:line="480"/>
        <w:rPr/>
      </w:pPr>
      <w:r>
        <w:rPr/>
        <w:t>As a physically motivated alternative to the sunspot-number proxy, dose rate was also regressed against the Oulu neutron monitor daily count rate (corrected for efficiency; NMDB, the Neutron Monitor Database, Mavromichalaki et al., 2011; 2012-08-01 to 2026-08-31), a direct ground-based measurement of the same heliospheric GCR modulation Mars-surface dose responds to. Both regressions used Newey-West (Newey &amp; West, 1987) heteroskedasticity- and autocorrelation-consistent (HAC) standard errors, with a bandwidth of 400 sols matching the smoothing window used, rather than ordinary-least-squares standard errors: both the dose-rate series and the smoothed solar-activity/count-rate series are strongly autocorrelated, so a p-value computed as if from ~4,843 independent sols would be invalid.</w:t>
      </w:r>
    </w:p>
    <w:p>
      <w:pPr>
        <w:pStyle w:val="Normal"/>
        <w:spacing w:lineRule="auto" w:line="480"/>
        <w:rPr/>
      </w:pPr>
      <w:r>
        <w:rPr/>
        <w:t>A lag was scanned for between dose rate and the neutron monitor count rate (both lightly smoothed over a 27-sol Bartels-rotation window, chosen because the 387-sol smoothing used for the headline regression would itself mask a realistic month-scale lag), from -800 to +800 sols in 5-sol steps, by refitting the regression at each lag and recording R². Because the record spans a complete solar-cycle reversal -- the declining phase of cycle 24 through minimum into the rising phase of cycle 25, with the trend turning near SOL 2600 (Section 3.3) -- the fit was also repeated separately before and after this turning point, and a formal interaction term (dose ~ count rate + phase + count rate × phase, HAC standard errors) tested whether the two phases' slopes differ significantly: a hysteresis test not possible in any prior published MSL/RAD analysis, which covered only the monotonic decline into the 2019-2020 minimum.</w:t>
      </w:r>
    </w:p>
    <w:p>
      <w:pPr>
        <w:pStyle w:val="Normal"/>
        <w:spacing w:lineRule="auto" w:line="480"/>
        <w:rPr/>
      </w:pPr>
      <w:r>
        <w:rPr/>
        <w:t>As a third, independent test for a seasonal periodicity -- alongside the classical decomposition and wavelet transform, and free of any phase-binning assumption -- a Lomb-Scargle periodogram (Astropy; VanderPlas, 2018) was computed on the residual of the neutron-monitor regression, over periods from 4 to 1,500 sols. Power at the single, externally motivated annual frequency (1/668.6 sols) was evaluated against the classical single-frequency false-alarm probability (Scargle, 1982); no correction for multiple comparisons was applied there, since this is one pre-specified hypothesis, not a peak selected by scanning.</w:t>
      </w:r>
    </w:p>
    <w:p>
      <w:pPr>
        <w:pStyle w:val="Normal"/>
        <w:spacing w:lineRule="auto" w:line="480"/>
        <w:rPr/>
      </w:pPr>
      <w:r>
        <w:rPr/>
        <w:t>To translate the measured dose rate into an estimate of human mission exposure, the tissue-equivalent absorbed dose rate (detector E) was converted to dose equivalent using RAD's own measured Mars-surface quality factor (&lt;Q&gt; = 3.05; Hassler et al., 2014), and combined with RAD's own reported round-trip cruise dose equivalent (662 mSv for 2 × 180-day transits; Hassler et al., 2014, based on Zeitlin et al., 2013) to estimate a total mission dose equivalent for a 500-day surface stay (the same NASA Design Reference Mission assumption used by Hassler et al., 2014), evaluated at three points along the trend: near the mission's own solar-maximum start (SOL ~50), at the trend's peak near the 2019-2020 solar minimum (SOL ~2779), and near the most recent solar cycle 25 maximum (SOL ~4832).</w:t>
      </w:r>
    </w:p>
    <w:p>
      <w:pPr>
        <w:pStyle w:val="Normal"/>
        <w:spacing w:lineRule="auto" w:line="480"/>
        <w:jc w:val="both"/>
        <w:rPr>
          <w:rFonts w:ascii="Calibri" w:hAnsi="Calibri"/>
          <w:sz w:val="24"/>
          <w:szCs w:val="24"/>
        </w:rPr>
      </w:pPr>
      <w:r>
        <w:rPr>
          <w:b/>
          <w:sz w:val="24"/>
          <w:szCs w:val="24"/>
        </w:rPr>
        <w:t>3. Results</w:t>
      </w:r>
    </w:p>
    <w:p>
      <w:pPr>
        <w:pStyle w:val="Normal"/>
        <w:spacing w:lineRule="auto" w:line="480"/>
        <w:jc w:val="both"/>
        <w:rPr>
          <w:rFonts w:ascii="Calibri" w:hAnsi="Calibri"/>
          <w:sz w:val="24"/>
          <w:szCs w:val="24"/>
        </w:rPr>
      </w:pPr>
      <w:r>
        <w:rPr>
          <w:b/>
          <w:sz w:val="24"/>
          <w:szCs w:val="24"/>
        </w:rPr>
        <w:t>3.1 Diurnal Variation</w:t>
      </w:r>
    </w:p>
    <w:p>
      <w:pPr>
        <w:pStyle w:val="Normal"/>
        <w:spacing w:lineRule="auto" w:line="480"/>
        <w:jc w:val="both"/>
        <w:rPr>
          <w:rFonts w:ascii="Calibri" w:hAnsi="Calibri"/>
          <w:sz w:val="24"/>
          <w:szCs w:val="24"/>
        </w:rPr>
      </w:pPr>
      <w:r>
        <w:rPr>
          <w:sz w:val="24"/>
          <w:szCs w:val="24"/>
        </w:rPr>
        <w:t>The total dose rate (measured by detector E) decreases as atmospheric pressure increases (Figure 1). This decrease is attributed to the increased shielding provided by the atmosphere as pressure rises. Conversely, the count rate for neutral particles increases with increasing pressure. This is a result of the production of secondary neutrals at altitudes above the Pfotzer maximum (Bazilevskaya &amp; Svirzhevskaya, 1998). This behavior contrasts with neutron monitors on Earth's surface, which are located below the Pfotzer maximum and record a lower neutron count rate when atmospheric pressure increases (Roesler et al., 1998).</w:t>
      </w:r>
    </w:p>
    <w:p>
      <w:pPr>
        <w:pStyle w:val="Normal"/>
        <w:spacing w:lineRule="auto" w:line="480"/>
        <w:jc w:val="both"/>
        <w:rPr>
          <w:rFonts w:ascii="Calibri" w:hAnsi="Calibri" w:eastAsia="Open Sans" w:cs="Open Sans"/>
          <w:color w:val="000000"/>
          <w:sz w:val="24"/>
          <w:szCs w:val="24"/>
        </w:rPr>
      </w:pPr>
      <w:r>
        <w:rPr>
          <w:rFonts w:eastAsia="Open Sans" w:cs="Open Sans"/>
          <w:color w:val="000000"/>
          <w:sz w:val="24"/>
          <w:szCs w:val="24"/>
        </w:rPr>
      </w:r>
    </w:p>
    <w:p>
      <w:pPr>
        <w:pStyle w:val="Normal"/>
        <w:spacing w:lineRule="auto" w:line="480"/>
        <w:jc w:val="both"/>
        <w:rPr>
          <w:rFonts w:ascii="Calibri" w:hAnsi="Calibri"/>
          <w:sz w:val="24"/>
          <w:szCs w:val="24"/>
        </w:rPr>
      </w:pPr>
      <w:r>
        <w:rPr>
          <w:b/>
          <w:sz w:val="24"/>
          <w:szCs w:val="24"/>
        </w:rPr>
        <w:t>3.2 Long-Term and Periodic Variations</w:t>
      </w:r>
    </w:p>
    <w:p>
      <w:pPr>
        <w:pStyle w:val="Normal"/>
        <w:spacing w:lineRule="auto" w:line="480"/>
        <w:jc w:val="both"/>
        <w:rPr>
          <w:rFonts w:ascii="Calibri" w:hAnsi="Calibri" w:eastAsia="Open Sans" w:cs="Open Sans"/>
          <w:color w:val="000000"/>
          <w:sz w:val="24"/>
          <w:szCs w:val="24"/>
        </w:rPr>
      </w:pPr>
      <w:r>
        <w:rPr/>
        <w:t>For each of these ~90-sol windows, a continuous wavelet transform of the detector-E dose-rate time series was also computed (Section 2.3), shown in Figure 2 (SOL 00000-00804), Figure 3 (SOL 00805-01772), and Figure 4 (SOL 01773-02358). No window shows a stable, narrowband periodicity at the ~669-sol Martian-year timescale, consistent with the absence of a resolved seasonal cycle established directly in Section 3.3. The one notable feature is transient rather than periodic: panel A of Figure 4 (SOL 01773-01869) captures the September 2017 solar energetic particle event as a short-lived, broadband power excursion rather than a recurring seasonal signal.</w:t>
      </w:r>
    </w:p>
    <w:p>
      <w:pPr>
        <w:pStyle w:val="Normal"/>
        <w:spacing w:lineRule="auto" w:line="480"/>
        <w:jc w:val="both"/>
        <w:rPr>
          <w:rFonts w:ascii="Calibri" w:hAnsi="Calibri" w:eastAsia="Open Sans" w:cs="Open Sans"/>
          <w:color w:val="000000"/>
          <w:sz w:val="24"/>
          <w:szCs w:val="24"/>
        </w:rPr>
      </w:pPr>
      <w:r>
        <w:rPr>
          <w:rFonts w:eastAsia="Open Sans" w:cs="Open Sans"/>
          <w:color w:val="000000"/>
          <w:sz w:val="24"/>
          <w:szCs w:val="24"/>
        </w:rPr>
      </w:r>
    </w:p>
    <w:p>
      <w:pPr>
        <w:pStyle w:val="Normal"/>
        <w:spacing w:lineRule="auto" w:line="480"/>
        <w:rPr/>
      </w:pPr>
      <w:r>
        <w:rPr/>
        <w:t>Table 1 reports the corresponding window-level dose-rate means and standard deviations; their relationship to solar activity is analyzed directly, over the full mission record, in Section 3.4.</w:t>
      </w:r>
    </w:p>
    <w:p>
      <w:pPr>
        <w:pStyle w:val="Normal"/>
        <w:spacing w:lineRule="auto" w:line="480"/>
        <w:jc w:val="both"/>
        <w:rPr>
          <w:rFonts w:ascii="Calibri" w:hAnsi="Calibri" w:eastAsia="Open Sans" w:cs="Open Sans"/>
          <w:color w:val="000000"/>
          <w:sz w:val="24"/>
          <w:szCs w:val="24"/>
        </w:rPr>
      </w:pPr>
      <w:r>
        <w:rPr>
          <w:rFonts w:eastAsia="Open Sans" w:cs="Open Sans"/>
          <w:color w:val="000000"/>
          <w:sz w:val="24"/>
          <w:szCs w:val="24"/>
        </w:rPr>
      </w:r>
    </w:p>
    <w:p>
      <w:pPr>
        <w:pStyle w:val="Normal"/>
        <w:spacing w:lineRule="auto" w:line="480" w:before="0" w:after="0"/>
        <w:jc w:val="both"/>
        <w:rPr>
          <w:rFonts w:ascii="Calibri" w:hAnsi="Calibri"/>
          <w:color w:val="000000"/>
          <w:sz w:val="24"/>
          <w:szCs w:val="24"/>
          <w:lang w:val="pt-BR"/>
        </w:rPr>
      </w:pPr>
      <w:r>
        <w:rPr>
          <w:color w:val="000000"/>
          <w:sz w:val="24"/>
          <w:szCs w:val="24"/>
          <w:lang w:val="pt-BR"/>
        </w:rPr>
      </w:r>
    </w:p>
    <w:p>
      <w:pPr>
        <w:pStyle w:val="Normal"/>
        <w:spacing w:lineRule="auto" w:line="480"/>
        <w:jc w:val="both"/>
        <w:rPr>
          <w:rFonts w:ascii="Calibri" w:hAnsi="Calibri"/>
          <w:sz w:val="24"/>
          <w:szCs w:val="24"/>
        </w:rPr>
      </w:pPr>
      <w:r>
        <w:rPr>
          <w:b/>
          <w:sz w:val="24"/>
          <w:szCs w:val="24"/>
        </w:rPr>
        <w:t>3.3 Total Mission Series Overview</w:t>
      </w:r>
    </w:p>
    <w:p>
      <w:pPr>
        <w:pStyle w:val="Normal"/>
        <w:spacing w:lineRule="auto" w:line="480" w:before="0" w:after="0"/>
        <w:jc w:val="both"/>
        <w:rPr>
          <w:rFonts w:ascii="Calibri" w:hAnsi="Calibri"/>
          <w:sz w:val="24"/>
          <w:szCs w:val="24"/>
        </w:rPr>
      </w:pPr>
      <w:r>
        <w:rPr>
          <w:color w:val="000000"/>
          <w:sz w:val="24"/>
          <w:szCs w:val="24"/>
          <w:lang w:val="pt-BR"/>
        </w:rPr>
        <w:t>The combined dataset analyzed in this section spans SOL 00001-04843 (Aug 2012 - Mar 2026), approximately 13.5 Earth years (7.24 Martian years).</w:t>
      </w:r>
    </w:p>
    <w:p>
      <w:pPr>
        <w:pStyle w:val="Normal"/>
        <w:spacing w:lineRule="auto" w:line="480" w:before="0" w:after="0"/>
        <w:jc w:val="both"/>
        <w:rPr>
          <w:rFonts w:ascii="Calibri" w:hAnsi="Calibri"/>
          <w:color w:val="000000"/>
          <w:sz w:val="24"/>
          <w:szCs w:val="24"/>
          <w:lang w:val="pt-BR"/>
        </w:rPr>
      </w:pPr>
      <w:r>
        <w:rPr>
          <w:color w:val="000000"/>
          <w:sz w:val="24"/>
          <w:szCs w:val="24"/>
          <w:lang w:val="pt-BR"/>
        </w:rPr>
      </w:r>
    </w:p>
    <w:p>
      <w:pPr>
        <w:pStyle w:val="Normal"/>
        <w:spacing w:lineRule="auto" w:line="480"/>
        <w:rPr>
          <w:rFonts w:ascii="Calibri" w:hAnsi="Calibri"/>
          <w:sz w:val="24"/>
          <w:szCs w:val="24"/>
        </w:rPr>
      </w:pPr>
      <w:r>
        <w:rPr/>
        <w:t>The results agree: the long-term rise and fall in dose rate (Figure 5, trend panel) tracks the declining phase of solar cycle 24 followed by the rise of solar cycle 25 (quantified directly in Section 3.4), but neither the wavelet transform nor the classical decomposition's seasonal component (Figure 5; its shape remains low-amplitude and irregular across the 7.24-Martian-year record, not a smooth annual curve) provides independent evidence of a genuine Martian seasonal cycle. The dose-rate variation is accordingly attributed to solar-cycle modulation (heliospheric GCR modulation) rather than to a resolved seasonal periodicity. This is consistent with Guo et al. (2015), who noted -- without a dedicated spectral test -- that “the seasonal pressure influence is much smaller than the longer-term effects driven by solar modulation”; the wavelet and decomposition analyses here provide a direct, model-independent confirmation of that expectation, reinforced by the positive-control regression against real REMS pressure in Section 3.4. It is also consistent with the larger version of the same solar-cycle trend reported by Guo et al. (2021) and Ehresmann et al. (2023) through the deep solar minimum of 2019-2020 (~50% dose-rate increase from solar maximum), extended here through the subsequent rise of solar cycle 25.</w:t>
      </w:r>
    </w:p>
    <w:p>
      <w:pPr>
        <w:pStyle w:val="Normal"/>
        <w:spacing w:lineRule="auto" w:line="480" w:before="0" w:after="0"/>
        <w:jc w:val="both"/>
        <w:rPr>
          <w:rFonts w:ascii="Calibri" w:hAnsi="Calibri"/>
          <w:color w:val="000000"/>
          <w:sz w:val="24"/>
          <w:szCs w:val="24"/>
        </w:rPr>
      </w:pPr>
      <w:r>
        <w:rPr>
          <w:color w:val="000000"/>
          <w:sz w:val="24"/>
          <w:szCs w:val="24"/>
        </w:rPr>
      </w:r>
    </w:p>
    <w:p>
      <w:pPr>
        <w:pStyle w:val="Normal"/>
        <w:spacing w:lineRule="auto" w:line="480"/>
        <w:rPr/>
      </w:pPr>
      <w:r>
        <w:rPr/>
      </w:r>
    </w:p>
    <w:p>
      <w:pPr>
        <w:pStyle w:val="Normal"/>
        <w:spacing w:lineRule="auto" w:line="480"/>
        <w:rPr/>
      </w:pPr>
      <w:r>
        <w:rPr/>
        <w:t>3.4 Solar Activity and Atmospheric Pressure Regression</w:t>
      </w:r>
    </w:p>
    <w:p>
      <w:pPr>
        <w:pStyle w:val="Normal"/>
        <w:spacing w:lineRule="auto" w:line="480"/>
        <w:rPr/>
      </w:pPr>
      <w:r>
        <w:rPr/>
      </w:r>
    </w:p>
    <w:p>
      <w:pPr>
        <w:pStyle w:val="Normal"/>
        <w:spacing w:lineRule="auto" w:line="480"/>
        <w:rPr/>
      </w:pPr>
      <w:r>
        <w:rPr/>
        <w:t>Section 3.3's spectral analysis is complemented here by two direct regression tests, made possible by the sol-tagged record described in Section 2.3: a continuous regression of dose rate against observed solar activity, and a direct regression against real REMS atmospheric pressure rather than a qualitative citation to its known seasonal cycle (Section 2.2).</w:t>
      </w:r>
    </w:p>
    <w:p>
      <w:pPr>
        <w:pStyle w:val="Normal"/>
        <w:spacing w:lineRule="auto" w:line="480"/>
        <w:rPr/>
      </w:pPr>
      <w:r>
        <w:rPr/>
      </w:r>
    </w:p>
    <w:p>
      <w:pPr>
        <w:pStyle w:val="Normal"/>
        <w:spacing w:lineRule="auto" w:line="480"/>
        <w:rPr/>
      </w:pPr>
      <w:r>
        <w:rPr/>
        <w:t>Regressing dose rate against the 13-month-smoothed observed sunspot number (SILSO, Section 2.3), after removing sols affected by Solar Particle Events (Section 2.3), explains the large majority of dose-rate variance: R² = 0.884 (detector B) and 0.879 (detector E). Accounting for autocorrelation with Newey-West standard errors, this remains highly significant (HAC p = 1.16×10⁻⁷⁰ and 2.44×10⁻⁶⁶, respectively; Table 3) despite an ~11-fold larger standard error than an invalid ordinary-least-squares estimate would give. Section 3.5 shows an even stronger, more direct relationship using a physical GCR proxy in place of the sunspot number.</w:t>
      </w:r>
    </w:p>
    <w:p>
      <w:pPr>
        <w:pStyle w:val="Normal"/>
        <w:spacing w:lineRule="auto" w:line="480"/>
        <w:rPr/>
      </w:pPr>
      <w:r>
        <w:rPr/>
      </w:r>
    </w:p>
    <w:p>
      <w:pPr>
        <w:pStyle w:val="Normal"/>
        <w:spacing w:lineRule="auto" w:line="480"/>
        <w:rPr/>
      </w:pPr>
      <w:r>
        <w:rPr/>
        <w:t>The regression residual was then tested for a seasonal component using the same classical decomposition as Section 3.3, and compared against the identical decomposition applied to real REMS atmospheric pressure over the same sols, as a positive control: pressure has a well-documented real seasonal cycle driven by polar CO2 condensation and sublimation (Section 2.2; Harri et al., 2014), so recovering it independently confirms the method's sensitivity to genuine periodic signals. Pressure's seasonal/residual ratio (9.69) is 26-31 times larger than the dose-rate residual's (0.375, detector B; 0.317, detector E; Table 3) -- the same method, on the same time axis, clearly detects a real seasonal signal in pressure and does not detect one in the dose-rate residual. Cross-correlating the dose-rate residual directly against REMS pressure across lags of -400 to +400 sols gives a maximum |r| of only 0.089 (B) and 0.146 (E), at lags with no physically meaningful interpretation (Figure 7, bottom panel).</w:t>
      </w:r>
    </w:p>
    <w:p>
      <w:pPr>
        <w:pStyle w:val="Normal"/>
        <w:spacing w:lineRule="auto" w:line="480"/>
        <w:rPr/>
      </w:pPr>
      <w:r>
        <w:rPr/>
      </w:r>
    </w:p>
    <w:p>
      <w:pPr>
        <w:pStyle w:val="Normal"/>
        <w:spacing w:lineRule="auto" w:line="480"/>
        <w:rPr/>
      </w:pPr>
      <w:r>
        <w:rPr/>
        <w:t>Together with the negative wavelet/decomposition result of Section 3.3, covering 7.24 Martian years, this positive-control comparison provides direct, quantitative evidence that the absence of a resolved seasonal periodicity in the RAD dose-rate record is a genuine result of the underlying data, not an artifact of insufficient method sensitivity.</w:t>
      </w:r>
    </w:p>
    <w:p>
      <w:pPr>
        <w:pStyle w:val="Normal"/>
        <w:spacing w:lineRule="auto" w:line="480"/>
        <w:rPr/>
      </w:pPr>
      <w:r>
        <w:rPr/>
      </w:r>
    </w:p>
    <w:p>
      <w:pPr>
        <w:pStyle w:val="Normal"/>
        <w:spacing w:lineRule="auto" w:line="480"/>
        <w:rPr/>
      </w:pPr>
      <w:r>
        <w:rPr/>
      </w:r>
    </w:p>
    <w:p>
      <w:pPr>
        <w:pStyle w:val="Normal"/>
        <w:spacing w:lineRule="auto" w:line="480"/>
        <w:rPr/>
      </w:pPr>
      <w:r>
        <w:rPr/>
      </w:r>
    </w:p>
    <w:p>
      <w:pPr>
        <w:pStyle w:val="Normal"/>
        <w:spacing w:lineRule="auto" w:line="480"/>
        <w:rPr/>
      </w:pPr>
      <w:r>
        <w:rPr/>
      </w:r>
    </w:p>
    <w:p>
      <w:pPr>
        <w:pStyle w:val="Normal"/>
        <w:spacing w:lineRule="auto" w:line="480"/>
        <w:rPr/>
      </w:pPr>
      <w:r>
        <w:rPr/>
        <w:t>3.5 Physical GCR Proxy, Lag, and Hysteresis</w:t>
      </w:r>
    </w:p>
    <w:p>
      <w:pPr>
        <w:pStyle w:val="Normal"/>
        <w:spacing w:lineRule="auto" w:line="480"/>
        <w:rPr/>
      </w:pPr>
      <w:r>
        <w:rPr/>
      </w:r>
    </w:p>
    <w:p>
      <w:pPr>
        <w:pStyle w:val="Normal"/>
        <w:spacing w:lineRule="auto" w:line="480"/>
        <w:rPr/>
      </w:pPr>
      <w:r>
        <w:rPr/>
        <w:t>The sunspot number is an indirect proxy for heliospheric modulation. As a more direct test, dose rate was regressed against the Oulu neutron monitor daily count rate (Section 2.3) -- a ground-based measurement of the same galactic cosmic ray flux modulation that drives the Mars-surface dose rate. This physical proxy outperforms the sunspot number: R² = 0.946 (detector B) and 0.958 (detector E) at zero lag (HAC p = 1.69×10⁻⁹¹ and 5.56×10⁻¹⁶¹, respectively; Table 4), compared to 0.884 and 0.879 for the sunspot-number regression (Section 3.4).</w:t>
      </w:r>
    </w:p>
    <w:p>
      <w:pPr>
        <w:pStyle w:val="Normal"/>
        <w:spacing w:lineRule="auto" w:line="480"/>
        <w:rPr/>
      </w:pPr>
      <w:r>
        <w:rPr/>
      </w:r>
    </w:p>
    <w:p>
      <w:pPr>
        <w:pStyle w:val="Normal"/>
        <w:spacing w:lineRule="auto" w:line="480"/>
        <w:rPr/>
      </w:pPr>
      <w:r>
        <w:rPr/>
        <w:t>Scanning for a lag between the (lightly smoothed) neutron monitor count rate and dose rate finds a best-fit lag of only +5 sols (detector B) and +10 sols (detector E) -- indistinguishable, at this record's time resolution, from an instantaneous response (Figure 8, left panel). This is itself informative: unlike some Earth-based studies that find galactic cosmic ray modulation lagging solar-wind and interplanetary-field changes by weeks to months at 1 AU, the Mars-surface dose rate tracks the Oulu count rate (1 AU, Earth) with no detectable differential delay at the ~1.5 AU distance to Mars, at least at this smoothing scale.</w:t>
      </w:r>
    </w:p>
    <w:p>
      <w:pPr>
        <w:pStyle w:val="Normal"/>
        <w:spacing w:lineRule="auto" w:line="480"/>
        <w:rPr/>
      </w:pPr>
      <w:r>
        <w:rPr/>
      </w:r>
    </w:p>
    <w:p>
      <w:pPr>
        <w:pStyle w:val="Normal"/>
        <w:spacing w:lineRule="auto" w:line="480"/>
        <w:rPr/>
      </w:pPr>
      <w:r>
        <w:rPr/>
        <w:t>Because the record spans a complete solar-cycle reversal -- the declining phase of cycle 24 through the 2019-2020 minimum into the rising phase of cycle 25 -- it is possible, for the first time in the published MSL/RAD literature, to test whether the dose-rate response to a given level of GCR modulation is the same during the declining and rising phases. It is not: fitting the two phases separately (split at the trend's turning point, SOL ~2600) gives a significantly steeper slope during the rising phase of cycle 25 (0.372 and 0.500 uGy/hour per count-rate percentage point, detectors B and E) than during the declining phase of cycle 24 (0.306 and 0.435; Figure 8, right panel; Table 4). A formal interaction test confirms this difference is not due to chance (HAC p = 3.9×10⁻⁷ and 1.7×10⁻³, respectively): Mars-surface dose responds about 20% more strongly per unit of GCR proxy on the way up from solar minimum than it did on the way down from solar maximum -- a hysteresis loop in the dose-rate/GCR-modulation relationship that no prior published RAD analysis, restricted to the monotonic decline into the 2019-2020 minimum, could have detected.</w:t>
      </w:r>
    </w:p>
    <w:p>
      <w:pPr>
        <w:pStyle w:val="Normal"/>
        <w:spacing w:lineRule="auto" w:line="480"/>
        <w:rPr/>
      </w:pPr>
      <w:r>
        <w:rPr/>
      </w:r>
    </w:p>
    <w:p>
      <w:pPr>
        <w:pStyle w:val="Normal"/>
        <w:spacing w:lineRule="auto" w:line="480"/>
        <w:rPr/>
      </w:pPr>
      <w:r>
        <w:rPr/>
      </w:r>
    </w:p>
    <w:p>
      <w:pPr>
        <w:pStyle w:val="Normal"/>
        <w:spacing w:lineRule="auto" w:line="480"/>
        <w:rPr/>
      </w:pPr>
      <w:r>
        <w:rPr/>
      </w:r>
    </w:p>
    <w:p>
      <w:pPr>
        <w:pStyle w:val="Normal"/>
        <w:spacing w:lineRule="auto" w:line="480"/>
        <w:rPr/>
      </w:pPr>
      <w:r>
        <w:rPr/>
        <w:t>3.6 Independent Periodicity Test (Lomb-Scargle)</w:t>
      </w:r>
    </w:p>
    <w:p>
      <w:pPr>
        <w:pStyle w:val="Normal"/>
        <w:spacing w:lineRule="auto" w:line="480"/>
        <w:rPr/>
      </w:pPr>
      <w:r>
        <w:rPr/>
      </w:r>
    </w:p>
    <w:p>
      <w:pPr>
        <w:pStyle w:val="Normal"/>
        <w:spacing w:lineRule="auto" w:line="480"/>
        <w:rPr/>
      </w:pPr>
      <w:r>
        <w:rPr/>
        <w:t>As a third test for a seasonal periodicity, independent of the phase-binning assumption underlying the classical decomposition and free of the time-localization tradeoffs of the wavelet transform, a Lomb-Scargle periodogram (Section 2.3) was computed on the residual of the neutron-monitor regression (Section 3.5). Power at the single, externally motivated annual frequency (1/668.6 sols) is indistinguishable from the noise floor for both detectors (power = 0.009 and 0.004, single-frequency false-alarm probability = 0.99 and 1.00 for detectors B and E, respectively; Figure 9) -- a third, methodologically independent confirmation that no annual periodicity is present. The only feature exceeding the scan-corrected significance threshold anywhere in the periodogram is a rise in power toward the longest periods scanned (~1,500 sols; Figure 9), consistent with residual curvature in the secular trend that a single linear regression term cannot fully capture, not a periodic signal.</w:t>
      </w:r>
    </w:p>
    <w:p>
      <w:pPr>
        <w:pStyle w:val="Normal"/>
        <w:spacing w:lineRule="auto" w:line="480"/>
        <w:rPr/>
      </w:pPr>
      <w:r>
        <w:rPr/>
      </w:r>
    </w:p>
    <w:p>
      <w:pPr>
        <w:pStyle w:val="Normal"/>
        <w:spacing w:lineRule="auto" w:line="480"/>
        <w:rPr/>
      </w:pPr>
      <w:r>
        <w:rPr/>
      </w:r>
    </w:p>
    <w:p>
      <w:pPr>
        <w:pStyle w:val="Normal"/>
        <w:spacing w:lineRule="auto" w:line="480"/>
        <w:rPr/>
      </w:pPr>
      <w:r>
        <w:rPr/>
        <w:t>3.7 Implications for Human Mission Radiation Exposure</w:t>
      </w:r>
    </w:p>
    <w:p>
      <w:pPr>
        <w:pStyle w:val="Normal"/>
        <w:spacing w:lineRule="auto" w:line="480"/>
        <w:rPr/>
      </w:pPr>
      <w:r>
        <w:rPr/>
      </w:r>
    </w:p>
    <w:p>
      <w:pPr>
        <w:pStyle w:val="Normal"/>
        <w:spacing w:lineRule="auto" w:line="480"/>
        <w:rPr/>
      </w:pPr>
      <w:r>
        <w:rPr/>
        <w:t>The measured dose rate can be translated into an estimate of crewed-mission radiation exposure using RAD's own measured surface quality factor and cruise dose (Section 2.3; Hassler et al., 2014). Table 5 gives the resulting total mission dose equivalent -- 500 days on the surface plus RAD's own reported 662 mSv round-trip cruise dose (Hassler et al., 2014; Zeitlin et al., 2013) -- at three points spanning this record's solar-cycle range. Near the mission's own start (SOL ~50, solar maximum), the surface dose rate measured here (8.78 uGy/hour, detector E) implies a total mission dose equivalent of 983 mSv, matching Hassler et al.'s (2014) own contemporaneous estimate (982 mSv) almost exactly -- a direct cross-validation of the extraction and conversion pipeline used throughout this paper. Near the trend's peak at the 2019-2020 solar minimum, the same calculation gives 1,134 mSv; near the most recent solar cycle 25 maximum, 893 mSv.</w:t>
      </w:r>
    </w:p>
    <w:p>
      <w:pPr>
        <w:pStyle w:val="Normal"/>
        <w:spacing w:lineRule="auto" w:line="480"/>
        <w:rPr/>
      </w:pPr>
      <w:r>
        <w:rPr/>
      </w:r>
    </w:p>
    <w:p>
      <w:pPr>
        <w:pStyle w:val="Normal"/>
        <w:spacing w:lineRule="auto" w:line="480"/>
        <w:rPr/>
      </w:pPr>
      <w:r>
        <w:rPr/>
        <w:t>All three exceed NASA's current 600 mSv career effective-dose limit for astronauts (National Academies of Sciences, Engineering, and Medicine, 2021), by 49-89%, using only the transit-plus-surface GCR/quiet-time exposure of a single round-trip mission -- before accounting for any prior career dose, additional missions, or a large SEP event such as the one identified in this record at SOL 04190 (Section 2.3). This does not by itself imply such a mission is infeasible: shielding, mission-profile choices, and the timing of the mission within the solar cycle (Zhang et al., 2026) all affect the actual exposure. It does show, quantitatively, that the smooth solar-cycle modulation of surface dose rate characterized in this paper (Sections 3.3-3.5) is large enough to be the dominant lever available for reducing crewed-mission exposure toward current limits by mission timing alone, independent of any seasonal effect, for which this paper finds no evidence.</w:t>
      </w:r>
    </w:p>
    <w:p>
      <w:pPr>
        <w:pStyle w:val="Normal"/>
        <w:spacing w:lineRule="auto" w:line="480"/>
        <w:rPr/>
      </w:pPr>
      <w:r>
        <w:rPr/>
      </w:r>
    </w:p>
    <w:p>
      <w:pPr>
        <w:pStyle w:val="Normal"/>
        <w:spacing w:lineRule="auto" w:line="480"/>
        <w:rPr/>
      </w:pPr>
      <w:r>
        <w:rPr/>
      </w:r>
    </w:p>
    <w:p>
      <w:pPr>
        <w:pStyle w:val="Normal"/>
        <w:spacing w:lineRule="auto" w:line="480"/>
        <w:jc w:val="both"/>
        <w:rPr>
          <w:rFonts w:ascii="Calibri" w:hAnsi="Calibri"/>
          <w:sz w:val="24"/>
          <w:szCs w:val="24"/>
        </w:rPr>
      </w:pPr>
      <w:r>
        <w:rPr>
          <w:b/>
          <w:sz w:val="24"/>
          <w:szCs w:val="24"/>
        </w:rPr>
        <w:t>4. Discussion</w:t>
      </w:r>
    </w:p>
    <w:p>
      <w:pPr>
        <w:pStyle w:val="Normal"/>
        <w:spacing w:lineRule="auto" w:line="480" w:before="0" w:after="0"/>
        <w:jc w:val="both"/>
        <w:rPr>
          <w:rFonts w:ascii="Calibri" w:hAnsi="Calibri"/>
          <w:sz w:val="24"/>
          <w:szCs w:val="24"/>
        </w:rPr>
      </w:pPr>
      <w:r>
        <w:rPr>
          <w:color w:val="000000"/>
          <w:sz w:val="24"/>
          <w:szCs w:val="24"/>
          <w:lang w:val="pt-BR"/>
        </w:rPr>
        <w:t>The diurnal variation observed is associated with changes in atmospheric column density caused by thermal tides.</w:t>
      </w:r>
    </w:p>
    <w:p>
      <w:pPr>
        <w:pStyle w:val="Normal"/>
        <w:spacing w:lineRule="auto" w:line="480" w:before="0" w:after="0"/>
        <w:jc w:val="both"/>
        <w:rPr>
          <w:rFonts w:ascii="Calibri" w:hAnsi="Calibri"/>
          <w:color w:val="000000"/>
          <w:sz w:val="24"/>
          <w:szCs w:val="24"/>
          <w:lang w:val="pt-BR"/>
        </w:rPr>
      </w:pPr>
      <w:r>
        <w:rPr>
          <w:color w:val="000000"/>
          <w:sz w:val="24"/>
          <w:szCs w:val="24"/>
          <w:lang w:val="pt-BR"/>
        </w:rPr>
      </w:r>
    </w:p>
    <w:p>
      <w:pPr>
        <w:pStyle w:val="Normal"/>
        <w:spacing w:lineRule="auto" w:line="480" w:before="0" w:after="0"/>
        <w:jc w:val="both"/>
        <w:rPr>
          <w:rFonts w:ascii="Calibri" w:hAnsi="Calibri"/>
          <w:sz w:val="24"/>
          <w:szCs w:val="24"/>
        </w:rPr>
      </w:pPr>
      <w:r>
        <w:rPr>
          <w:sz w:val="24"/>
          <w:szCs w:val="24"/>
        </w:rPr>
        <w:t>An inverse modulation associated with solar activity/the solar cycle is observed: dose rate rises smoothly as the cycle declines toward solar minimum and falls again as the cycle rises, as also occurs on Earth -- which is notable given Mars lacks a global magnetic field (only localized crustal remnant magnetism is present), so this modulation must act through the heliospheric magnetic field's control of galactic cosmic ray flux rather than any planetary shielding. Testing this directly requires decomposition and wavelet parameters scaled to resolve a Martian year (~668.6 sols) and longer: Sections 3.3 and 3.6 find no independent evidence of a clean annual/seasonal periodicity underlying the trend, over a 7.24-Martian-year record, using three methodologically independent tests. A continuous regression against the Oulu neutron monitor count rate -- a direct physical proxy for this modulation -- explains up to 96% of dose-rate variance (Section 3.5), essentially instantaneously (no detectable lag), but with a statistically significant hysteresis: the response is about 20% steeper during the rising phase of solar cycle 25 than during the declining phase of cycle 24, a comparison only possible because this record, unlike any prior published MSL/RAD analysis, spans a complete solar-cycle reversal. A positive-control comparison against real REMS pressure (Section 3.4) shows the same decomposition method readily detects pressure's genuine seasonal cycle while finding 26-31 times less seasonal structure in the dose-rate residual -- direct evidence that the negative seasonal result reflects the data, not a limitation of the method. The dose-rate variation is best described as a smooth, hysteretic trend tracking the solar cycle, not a resolved seasonal cycle.</w:t>
      </w:r>
    </w:p>
    <w:p>
      <w:pPr>
        <w:pStyle w:val="Normal"/>
        <w:spacing w:lineRule="auto" w:line="480"/>
        <w:jc w:val="both"/>
        <w:rPr>
          <w:rFonts w:ascii="Calibri" w:hAnsi="Calibri"/>
          <w:sz w:val="24"/>
          <w:szCs w:val="24"/>
        </w:rPr>
      </w:pPr>
      <w:r>
        <w:rPr>
          <w:sz w:val="24"/>
          <w:szCs w:val="24"/>
        </w:rPr>
        <w:t>Guo et al. (2017) modeled this same atmospheric shielding effect on GCR dose rates using the HZETRN2015 code and found good agreement with RAD surface observations through the first four years of the mission -- a physical mechanism consistent with, and complementary to, the long-term trend reported here.</w:t>
      </w:r>
    </w:p>
    <w:p>
      <w:pPr>
        <w:pStyle w:val="Normal"/>
        <w:spacing w:lineRule="auto" w:line="480" w:before="0" w:after="0"/>
        <w:jc w:val="both"/>
        <w:rPr>
          <w:rFonts w:ascii="Calibri" w:hAnsi="Calibri"/>
          <w:color w:val="000000"/>
          <w:sz w:val="24"/>
          <w:szCs w:val="24"/>
        </w:rPr>
      </w:pPr>
      <w:r>
        <w:rPr>
          <w:color w:val="000000"/>
          <w:sz w:val="24"/>
          <w:szCs w:val="24"/>
        </w:rPr>
      </w:r>
    </w:p>
    <w:p>
      <w:pPr>
        <w:pStyle w:val="Normal"/>
        <w:spacing w:lineRule="auto" w:line="480"/>
        <w:jc w:val="both"/>
        <w:rPr>
          <w:rFonts w:ascii="Calibri" w:hAnsi="Calibri"/>
          <w:sz w:val="24"/>
          <w:szCs w:val="24"/>
        </w:rPr>
      </w:pPr>
      <w:r>
        <w:rPr>
          <w:b/>
          <w:sz w:val="24"/>
          <w:szCs w:val="24"/>
        </w:rPr>
        <w:t>5. Conclusion</w:t>
      </w:r>
    </w:p>
    <w:p>
      <w:pPr>
        <w:pStyle w:val="Normal"/>
        <w:spacing w:lineRule="auto" w:line="480"/>
        <w:jc w:val="both"/>
        <w:rPr>
          <w:rFonts w:ascii="Calibri" w:hAnsi="Calibri"/>
          <w:sz w:val="24"/>
          <w:szCs w:val="24"/>
        </w:rPr>
      </w:pPr>
      <w:r>
        <w:rPr/>
        <w:t>Analysis of the RAD dose-rate record through SOL 04843 (~7.24 Martian years, spanning essentially the full 2012-2026 course of solar cycles 24-25) confirms two effects reported in the literature -- diurnal anti-correlation with atmospheric pressure (Rafkin et al., 2014) and a dose-rate increase tied to solar-cycle modulation of galactic cosmic rays (Guo et al., 2015), independently corroborated at a larger magnitude through the 2019-2020 solar minimum by Guo et al. (2021) and Ehresmann et al. (2023). Regressed against a direct physical proxy for that modulation (the Oulu neutron monitor count rate, Section 3.5) rather than the sunspot number, dose rate explains up to 96% of its own variance, with an essentially instantaneous response and a statistically significant hysteresis: about 20% steeper during the rise of cycle 25 than during the decline of cycle 24, a comparison this record is the first in the published MSL/RAD literature able to make. Three independent methods -- classical decomposition, wavelet transform, and Lomb-Scargle periodogram (Sections 3.3, 3.6) -- find no independent annual/seasonal periodicity in either detector, and a positive-control test against real REMS atmospheric pressure confirms this is a real result and not a limitation of the method: the identical analysis recovers 26-31 times more seasonal structure in pressure than in the dose-rate regression residual (Section 3.4). Translated into mission terms using RAD's own measured quality factor and cruise dose (Section 3.7; Hassler et al., 2014), a round-trip 500-day-surface Mars mission would accumulate 890-1,130 mSv depending on when in the solar cycle it occurs -- all three tested scenarios exceeding NASA's current 600 mSv career limit (National Academies of Sciences, Engineering, and Medicine, 2021) from GCR and quiet-time exposure alone. This negative seasonal result and this positive solar-modulation result matter jointly for mission planning: cumulative radiation exposure should be budgeted against the large, hysteretic solar-cycle trend documented here, and mission timing is the dominant lever available for reducing it, rather than against an additional seasonal modulation that this analysis, across three independent tests, does not support. The full mission-planning picture is more nuanced than GCR dose alone, however: Zhang et al. (2026) show that solar-maximum transits can carry lower total risk despite higher surface GCR dose at solar minimum, once solar energetic particle exposure during transit is included -- underscored here by the SOL 04190 event (May 2024), independently reported by NASA/JPL as the largest single radiation surge RAD has recorded since landing, which this analysis treats as a transient outlier excluded from the secular/seasonal/hysteresis tests (Section 2.3) rather than as evidence against them. Future work could characterize the SOL 04190 event itself, which falls outside the scope of the long-term/seasonal/solar-modulation analysis presented here, and extend the hysteresis test to a second full solar-cycle reversal as the RAD record continues to grow.</w:t>
      </w:r>
    </w:p>
    <w:p>
      <w:pPr>
        <w:pStyle w:val="Normal"/>
        <w:spacing w:lineRule="auto" w:line="480"/>
        <w:jc w:val="both"/>
        <w:rPr>
          <w:rFonts w:ascii="Calibri" w:hAnsi="Calibri"/>
          <w:sz w:val="24"/>
          <w:szCs w:val="24"/>
        </w:rPr>
      </w:pPr>
      <w:r>
        <w:rPr>
          <w:sz w:val="24"/>
          <w:szCs w:val="24"/>
        </w:rPr>
      </w:r>
    </w:p>
    <w:p>
      <w:pPr>
        <w:pStyle w:val="Normal"/>
        <w:spacing w:lineRule="auto" w:line="480"/>
        <w:rPr/>
      </w:pPr>
      <w:r>
        <w:rPr/>
        <w:t>Conflict of Interest</w:t>
      </w:r>
    </w:p>
    <w:p>
      <w:pPr>
        <w:pStyle w:val="Normal"/>
        <w:spacing w:lineRule="auto" w:line="480"/>
        <w:rPr/>
      </w:pPr>
      <w:r>
        <w:rPr/>
        <w:t>The authors declare there are no conflicts of interest for this manuscript.</w:t>
      </w:r>
    </w:p>
    <w:p>
      <w:pPr>
        <w:pStyle w:val="Normal"/>
        <w:spacing w:lineRule="auto" w:line="480"/>
        <w:rPr/>
      </w:pPr>
      <w:r>
        <w:rPr/>
      </w:r>
    </w:p>
    <w:p>
      <w:pPr>
        <w:pStyle w:val="Normal"/>
        <w:spacing w:lineRule="auto" w:line="480"/>
        <w:rPr/>
      </w:pPr>
      <w:r>
        <w:rPr/>
        <w:t>Acknowledgments</w:t>
      </w:r>
    </w:p>
    <w:p>
      <w:pPr>
        <w:pStyle w:val="Normal"/>
        <w:spacing w:lineRule="auto" w:line="480"/>
        <w:rPr/>
      </w:pPr>
      <w:r>
        <w:rPr/>
        <w:t>[FUNDING INFORMATION TO BE ADDED BY THE AUTHORS: list all funding sources for this work, including grant and funder identifiers, or state that the work received no dedicated external funding.]</w:t>
      </w:r>
    </w:p>
    <w:p>
      <w:pPr>
        <w:pStyle w:val="Normal"/>
        <w:spacing w:lineRule="auto" w:line="480"/>
        <w:rPr/>
      </w:pPr>
      <w:r>
        <w:rPr/>
      </w:r>
    </w:p>
    <w:p>
      <w:pPr>
        <w:pStyle w:val="Normal"/>
        <w:spacing w:lineRule="auto" w:line="480"/>
        <w:rPr/>
      </w:pPr>
      <w:r>
        <w:rPr/>
        <w:t>Open Research</w:t>
      </w:r>
    </w:p>
    <w:p>
      <w:pPr>
        <w:pStyle w:val="Normal"/>
        <w:spacing w:lineRule="auto" w:line="480"/>
        <w:rPr/>
      </w:pPr>
      <w:r>
        <w:rPr/>
        <w:t>Raw RAD and REMS data are publicly archived at NASA's Planetary Data System (RAD: Planetary Plasma Interactions Node, 2026; REMS: Atmospheres Node, 2026). Oulu neutron monitor data are from the Neutron Monitor Database (NMDB, https://www.nmdb.eu; Mavromichalaki et al., 2011); observed sunspot numbers are from the SILSO World Data Center (2026). The extraction pipeline, derived per-sol dose and pressure series, and all analysis code used in this paper are openly available at Amaral (2026).</w:t>
      </w:r>
    </w:p>
    <w:p>
      <w:pPr>
        <w:pStyle w:val="Normal"/>
        <w:spacing w:lineRule="auto" w:line="480"/>
        <w:rPr/>
      </w:pPr>
      <w:r>
        <w:rPr/>
        <w:t>We acknowledge the NMDB database (www.nmdb.eu), founded under the European Union's FP7 programme (contract no. 213007), and the PI of the Oulu neutron monitor (Sodankylä Geophysical Observatory of the University of Oulu, Finland).</w:t>
      </w:r>
    </w:p>
    <w:p>
      <w:pPr>
        <w:pStyle w:val="Normal"/>
        <w:spacing w:lineRule="auto" w:line="480"/>
        <w:rPr/>
      </w:pPr>
      <w:r>
        <w:rPr/>
      </w:r>
    </w:p>
    <w:p>
      <w:pPr>
        <w:pStyle w:val="Normal"/>
        <w:spacing w:lineRule="auto" w:line="480"/>
        <w:jc w:val="both"/>
        <w:rPr>
          <w:rFonts w:ascii="Calibri" w:hAnsi="Calibri"/>
          <w:sz w:val="24"/>
          <w:szCs w:val="24"/>
        </w:rPr>
      </w:pPr>
      <w:r>
        <w:rPr>
          <w:b/>
          <w:sz w:val="24"/>
          <w:szCs w:val="24"/>
        </w:rPr>
        <w:t>References</w:t>
      </w:r>
    </w:p>
    <w:p>
      <w:pPr>
        <w:pStyle w:val="Normal"/>
        <w:spacing w:lineRule="auto" w:line="480"/>
        <w:rPr/>
      </w:pPr>
      <w:r>
        <w:rPr/>
        <w:t xml:space="preserve">Amaral, C. (2026). </w:t>
      </w:r>
      <w:r>
        <w:rPr>
          <w:i/>
        </w:rPr>
        <w:t>msl_2026: MSL/RAD dose-rate reanalysis code [Software]</w:t>
      </w:r>
      <w:r>
        <w:rPr/>
        <w:t>. GitHub. https://github.com/cesarrlamaral/msl_2026</w:t>
      </w:r>
    </w:p>
    <w:p>
      <w:pPr>
        <w:pStyle w:val="Normal"/>
        <w:spacing w:lineRule="auto" w:line="480"/>
        <w:rPr/>
      </w:pPr>
      <w:r>
        <w:rPr/>
        <w:t xml:space="preserve">Bazilevskaya, G. A., &amp; Svirzhevskaya, A. K. (1998). On the stratospheric measurements of cosmic rays. </w:t>
      </w:r>
      <w:r>
        <w:rPr>
          <w:i/>
        </w:rPr>
        <w:t>Space Science Reviews, 85</w:t>
      </w:r>
      <w:r>
        <w:rPr/>
        <w:t>, 431–521.</w:t>
      </w:r>
    </w:p>
    <w:p>
      <w:pPr>
        <w:pStyle w:val="Normal"/>
        <w:spacing w:lineRule="auto" w:line="480"/>
        <w:rPr/>
      </w:pPr>
      <w:r>
        <w:rPr/>
        <w:t xml:space="preserve">Boynton, W. V., Feldman, W. C., Mitrofanov, I. G., et al. (2004). The Mars Odyssey gamma-ray spectrometer instrument suite. </w:t>
      </w:r>
      <w:r>
        <w:rPr>
          <w:i/>
        </w:rPr>
        <w:t>Space Science Reviews, 110</w:t>
      </w:r>
      <w:r>
        <w:rPr/>
        <w:t>, 37–83. https://doi.org/10.1023/B:SPAC.0000021007.76126.15</w:t>
      </w:r>
    </w:p>
    <w:p>
      <w:pPr>
        <w:pStyle w:val="Normal"/>
        <w:spacing w:lineRule="auto" w:line="480"/>
        <w:rPr/>
      </w:pPr>
      <w:r>
        <w:rPr/>
        <w:t xml:space="preserve">Cucinotta, F. A., &amp; Chappell, L. J. (2011). Updates to astronaut radiation limits: Radiation risks for never-smokers. </w:t>
      </w:r>
      <w:r>
        <w:rPr>
          <w:i/>
        </w:rPr>
        <w:t>Radiation Research, 176</w:t>
      </w:r>
      <w:r>
        <w:rPr/>
        <w:t>(1), 102–114. https://doi.org/10.1667/RR2540.1</w:t>
      </w:r>
    </w:p>
    <w:p>
      <w:pPr>
        <w:pStyle w:val="Normal"/>
        <w:spacing w:lineRule="auto" w:line="480"/>
        <w:rPr/>
      </w:pPr>
      <w:r>
        <w:rPr/>
        <w:t xml:space="preserve">Ehresmann, B., Burmeister, S., Wimmer-Schweingruber, R. F., &amp; Reitz, G. (2011). Influence of higher atmospheric pressure on the Martian radiation environment: Implications for possible habitability in the Noachian epoch. </w:t>
      </w:r>
      <w:r>
        <w:rPr>
          <w:i/>
        </w:rPr>
        <w:t>Journal of Geophysical Research: Space Physics, 116</w:t>
      </w:r>
      <w:r>
        <w:rPr/>
        <w:t>, A10104. https://doi.org/10.1029/2011JA016616</w:t>
      </w:r>
    </w:p>
    <w:p>
      <w:pPr>
        <w:pStyle w:val="Normal"/>
        <w:spacing w:lineRule="auto" w:line="480"/>
        <w:rPr/>
      </w:pPr>
      <w:r>
        <w:rPr/>
        <w:t xml:space="preserve">Ehresmann, B., Zeitlin, C., Hassler, D. M., Wimmer-Schweingruber, R. F., Böhm, E., Böttcher, S., et al. (2014). Charged particle spectra obtained with the Mars Science Laboratory Radiation Assessment Detector (MSL/RAD) on the surface of Mars. </w:t>
      </w:r>
      <w:r>
        <w:rPr>
          <w:i/>
        </w:rPr>
        <w:t>Journal of Geophysical Research: Planets, 119</w:t>
      </w:r>
      <w:r>
        <w:rPr/>
        <w:t>, 468–479. https://doi.org/10.1002/2013JE004547</w:t>
      </w:r>
    </w:p>
    <w:p>
      <w:pPr>
        <w:pStyle w:val="Normal"/>
        <w:spacing w:lineRule="auto" w:line="480"/>
        <w:rPr/>
      </w:pPr>
      <w:r>
        <w:rPr/>
        <w:t xml:space="preserve">Ehresmann, B., Zeitlin, C., Hassler, D. M., Guo, J., Wimmer-Schweingruber, R. F., Berger, T., et al. (2023). The Martian surface radiation environment at solar minimum measured with MSL/RAD. </w:t>
      </w:r>
      <w:r>
        <w:rPr>
          <w:i/>
        </w:rPr>
        <w:t>Icarus, 393</w:t>
      </w:r>
      <w:r>
        <w:rPr/>
        <w:t>, 115035. https://doi.org/10.1016/j.icarus.2022.115035</w:t>
      </w:r>
    </w:p>
    <w:p>
      <w:pPr>
        <w:pStyle w:val="Normal"/>
        <w:spacing w:lineRule="auto" w:line="480"/>
        <w:rPr/>
      </w:pPr>
      <w:r>
        <w:rPr/>
        <w:t xml:space="preserve">Guo, J., Zeitlin, C., Wimmer-Schweingruber, R. F., et al. (2015). Modeling the variations of dose rate measured by RAD during the first MSL Martian year: 2012–2014. </w:t>
      </w:r>
      <w:r>
        <w:rPr>
          <w:i/>
        </w:rPr>
        <w:t>The Astrophysical Journal, 810</w:t>
      </w:r>
      <w:r>
        <w:rPr/>
        <w:t>(1), 24. https://doi.org/10.1088/0004-637X/810/1/24</w:t>
      </w:r>
    </w:p>
    <w:p>
      <w:pPr>
        <w:pStyle w:val="Normal"/>
        <w:spacing w:lineRule="auto" w:line="480"/>
        <w:rPr/>
      </w:pPr>
      <w:r>
        <w:rPr/>
        <w:t xml:space="preserve">Guo, J., Zeitlin, C., Wimmer-Schweingruber, R. F., et al. (2015a). MSL-RAD radiation environment measurements. </w:t>
      </w:r>
      <w:r>
        <w:rPr>
          <w:i/>
        </w:rPr>
        <w:t>Radiation Protection Dosimetry</w:t>
      </w:r>
      <w:r>
        <w:rPr/>
        <w:t>. https://doi.org/10.1093/rpd/ncv297</w:t>
      </w:r>
    </w:p>
    <w:p>
      <w:pPr>
        <w:pStyle w:val="Normal"/>
        <w:spacing w:lineRule="auto" w:line="480"/>
        <w:rPr/>
      </w:pPr>
      <w:r>
        <w:rPr/>
        <w:t xml:space="preserve">Guo, J., Slaba, T. C., Zeitlin, C., Wimmer-Schweingruber, R. F., et al. (2017). Dependence of the Martian radiation environment on atmospheric depth: Modelling and measurement. </w:t>
      </w:r>
      <w:r>
        <w:rPr>
          <w:i/>
        </w:rPr>
        <w:t>arXiv:1712.06987 [astro-ph.EP]</w:t>
      </w:r>
      <w:r>
        <w:rPr/>
        <w:t xml:space="preserve"> (preprint; published version not independently confirmed)</w:t>
      </w:r>
    </w:p>
    <w:p>
      <w:pPr>
        <w:pStyle w:val="Normal"/>
        <w:spacing w:lineRule="auto" w:line="480"/>
        <w:rPr/>
      </w:pPr>
      <w:r>
        <w:rPr/>
        <w:t xml:space="preserve">Guo, J., Zeitlin, C., Wimmer-Schweingruber, R. F., Hassler, D. M., Ehresmann, B., Rafkin, S., et al. (2021). Radiation environment for future human exploration on the surface of Mars: The current understanding based on MSL/RAD dose measurements. </w:t>
      </w:r>
      <w:r>
        <w:rPr>
          <w:i/>
        </w:rPr>
        <w:t>Astronomy and Astrophysics Review, 29</w:t>
      </w:r>
      <w:r>
        <w:rPr/>
        <w:t>, 8. https://doi.org/10.1007/s00159-021-00136-5</w:t>
      </w:r>
    </w:p>
    <w:p>
      <w:pPr>
        <w:pStyle w:val="Normal"/>
        <w:spacing w:lineRule="auto" w:line="480"/>
        <w:rPr/>
      </w:pPr>
      <w:r>
        <w:rPr/>
        <w:t xml:space="preserve">Harri, A.-M., Genzer, M., Kemppinen, O., et al. (2014). Pressure observations by the Curiosity rover: Initial results. </w:t>
      </w:r>
      <w:r>
        <w:rPr>
          <w:i/>
        </w:rPr>
        <w:t>Journal of Geophysical Research: Planets, 119</w:t>
      </w:r>
      <w:r>
        <w:rPr/>
        <w:t>(1), 82–92. https://doi.org/10.1002/2013JE004423</w:t>
      </w:r>
    </w:p>
    <w:p>
      <w:pPr>
        <w:pStyle w:val="Normal"/>
        <w:spacing w:lineRule="auto" w:line="480"/>
        <w:rPr/>
      </w:pPr>
      <w:r>
        <w:rPr/>
        <w:t xml:space="preserve">Hassler, D. M., Zeitlin, C., Wimmer-Schweingruber, R. F., et al. (2012). The Radiation Assessment Detector (RAD) investigation. </w:t>
      </w:r>
      <w:r>
        <w:rPr>
          <w:i/>
        </w:rPr>
        <w:t>Space Science Reviews, 170</w:t>
      </w:r>
      <w:r>
        <w:rPr/>
        <w:t>, 503–558. https://doi.org/10.1007/s11214-012-9913-1</w:t>
      </w:r>
    </w:p>
    <w:p>
      <w:pPr>
        <w:pStyle w:val="Normal"/>
        <w:spacing w:lineRule="auto" w:line="480"/>
        <w:rPr/>
      </w:pPr>
      <w:r>
        <w:rPr/>
        <w:t xml:space="preserve">Hassler, D. M., Zeitlin, C., Wimmer-Schweingruber, R. F., et al. (2014). Mars' surface radiation environment measured with the Mars Science Laboratory's Curiosity rover. </w:t>
      </w:r>
      <w:r>
        <w:rPr>
          <w:i/>
        </w:rPr>
        <w:t>Science, 343</w:t>
      </w:r>
      <w:r>
        <w:rPr/>
        <w:t>(6169), 1244797. https://doi.org/10.1126/science.1244797</w:t>
      </w:r>
    </w:p>
    <w:p>
      <w:pPr>
        <w:pStyle w:val="Normal"/>
        <w:spacing w:lineRule="auto" w:line="480"/>
        <w:rPr/>
      </w:pPr>
      <w:r>
        <w:rPr/>
        <w:t xml:space="preserve">Köhler, J., Zeitlin, C., Ehresmann, B., Wimmer-Schweingruber, R. F., Hassler, D. M., et al. (2014). Measurements of the neutron spectrum on the Martian surface with MSL/RAD. </w:t>
      </w:r>
      <w:r>
        <w:rPr>
          <w:i/>
        </w:rPr>
        <w:t>Journal of Geophysical Research: Planets, 119</w:t>
      </w:r>
      <w:r>
        <w:rPr/>
        <w:t>(3), 594–603. https://doi.org/10.1002/2013JE004539</w:t>
      </w:r>
    </w:p>
    <w:p>
      <w:pPr>
        <w:pStyle w:val="Normal"/>
        <w:spacing w:lineRule="auto" w:line="480"/>
        <w:rPr/>
      </w:pPr>
      <w:r>
        <w:rPr/>
        <w:t xml:space="preserve">Mavromichalaki, H., et al. (2011). Applications and usage of the real-time Neutron Monitor Database (NMDB). </w:t>
      </w:r>
      <w:r>
        <w:rPr>
          <w:i/>
        </w:rPr>
        <w:t>Advances in Space Research, 47</w:t>
      </w:r>
      <w:r>
        <w:rPr/>
        <w:t>(12), 2210–2222. https://doi.org/10.1016/j.asr.2010.02.019</w:t>
      </w:r>
    </w:p>
    <w:p>
      <w:pPr>
        <w:pStyle w:val="Normal"/>
        <w:spacing w:lineRule="auto" w:line="480"/>
        <w:rPr/>
      </w:pPr>
      <w:r>
        <w:rPr/>
        <w:t xml:space="preserve">NASA Planetary Data System, Atmospheres Node. (2026). </w:t>
      </w:r>
      <w:r>
        <w:rPr>
          <w:i/>
        </w:rPr>
        <w:t>MSL REMS calibrated data [Dataset]</w:t>
      </w:r>
      <w:r>
        <w:rPr/>
        <w:t>. https://atmos.nmsu.edu/PDS/data/mslrem_1001/</w:t>
      </w:r>
    </w:p>
    <w:p>
      <w:pPr>
        <w:pStyle w:val="Normal"/>
        <w:spacing w:lineRule="auto" w:line="480"/>
        <w:rPr/>
      </w:pPr>
      <w:r>
        <w:rPr/>
        <w:t xml:space="preserve">NASA Planetary Data System, Planetary Plasma Interactions Node. (2026). </w:t>
      </w:r>
      <w:r>
        <w:rPr>
          <w:i/>
        </w:rPr>
        <w:t>MSL RAD reduced data record collection [Dataset]</w:t>
      </w:r>
      <w:r>
        <w:rPr/>
        <w:t>. https://pds-ppi.igpp.ucla.edu/data/MSL-M-RAD-3-RDR-V1.0/</w:t>
      </w:r>
    </w:p>
    <w:p>
      <w:pPr>
        <w:pStyle w:val="Normal"/>
        <w:spacing w:lineRule="auto" w:line="480"/>
        <w:rPr/>
      </w:pPr>
      <w:r>
        <w:rPr/>
        <w:t xml:space="preserve">National Academies of Sciences, Engineering, and Medicine. (2021). </w:t>
      </w:r>
      <w:r>
        <w:rPr>
          <w:i/>
        </w:rPr>
        <w:t>Space radiation and astronaut health: Managing and communicating cancer risks</w:t>
      </w:r>
      <w:r>
        <w:rPr/>
        <w:t>. The National Academies Press. https://doi.org/10.17226/26155</w:t>
      </w:r>
    </w:p>
    <w:p>
      <w:pPr>
        <w:pStyle w:val="Normal"/>
        <w:spacing w:lineRule="auto" w:line="480"/>
        <w:rPr/>
      </w:pPr>
      <w:r>
        <w:rPr/>
        <w:t xml:space="preserve">Newey, W. K., &amp; West, K. D. (1987). A simple, positive semi-definite, heteroskedasticity and autocorrelation consistent covariance matrix. </w:t>
      </w:r>
      <w:r>
        <w:rPr>
          <w:i/>
        </w:rPr>
        <w:t>Econometrica, 55</w:t>
      </w:r>
      <w:r>
        <w:rPr/>
        <w:t>(3), 703–708. https://doi.org/10.2307/1913610</w:t>
      </w:r>
    </w:p>
    <w:p>
      <w:pPr>
        <w:pStyle w:val="Normal"/>
        <w:spacing w:lineRule="auto" w:line="480"/>
        <w:rPr/>
      </w:pPr>
      <w:r>
        <w:rPr/>
        <w:t xml:space="preserve">Rafkin, S. C. R., Zeitlin, C., Ehresmann, B., et al. (2014). Diurnal variations of energetic particle radiation at the surface of Mars as observed by the Mars Science Laboratory Radiation Assessment Detector. </w:t>
      </w:r>
      <w:r>
        <w:rPr>
          <w:i/>
        </w:rPr>
        <w:t>Journal of Geophysical Research: Planets, 119</w:t>
      </w:r>
      <w:r>
        <w:rPr/>
        <w:t>, 1345–1358. https://doi.org/10.1002/2013JE004525</w:t>
      </w:r>
    </w:p>
    <w:p>
      <w:pPr>
        <w:pStyle w:val="Normal"/>
        <w:spacing w:lineRule="auto" w:line="480"/>
        <w:rPr/>
      </w:pPr>
      <w:r>
        <w:rPr/>
        <w:t xml:space="preserve">Roesler, S., Heinrich, W., &amp; Schraube, H. (1998). Neutron spectra in the atmosphere from interactions of primary cosmic rays. </w:t>
      </w:r>
      <w:r>
        <w:rPr>
          <w:i/>
        </w:rPr>
        <w:t>Advances in Space Research, 21</w:t>
      </w:r>
      <w:r>
        <w:rPr/>
        <w:t>(12), 1717–1726. https://doi.org/10.1016/S0273-1177(98)00058-1</w:t>
      </w:r>
    </w:p>
    <w:p>
      <w:pPr>
        <w:pStyle w:val="Normal"/>
        <w:spacing w:lineRule="auto" w:line="480"/>
        <w:rPr/>
      </w:pPr>
      <w:r>
        <w:rPr/>
        <w:t xml:space="preserve">Saganti, P. B., Cucinotta, F. A., Wilson, J. W., &amp; Schimmerling, W. (2002). Visualization of particle flux in the human body on the surface of Mars. </w:t>
      </w:r>
      <w:r>
        <w:rPr>
          <w:i/>
        </w:rPr>
        <w:t>Journal of Radiation Research, 43</w:t>
      </w:r>
      <w:r>
        <w:rPr/>
        <w:t>(Suppl), S119–S124.</w:t>
      </w:r>
    </w:p>
    <w:p>
      <w:pPr>
        <w:pStyle w:val="Normal"/>
        <w:spacing w:lineRule="auto" w:line="480"/>
        <w:rPr/>
      </w:pPr>
      <w:r>
        <w:rPr/>
        <w:t xml:space="preserve">Scargle, J. D. (1982). Studies in astronomical time series analysis. II. Statistical aspects of spectral analysis of unevenly spaced data. </w:t>
      </w:r>
      <w:r>
        <w:rPr>
          <w:i/>
        </w:rPr>
        <w:t>The Astrophysical Journal, 263</w:t>
      </w:r>
      <w:r>
        <w:rPr/>
        <w:t>, 835–853. https://doi.org/10.1086/160554</w:t>
      </w:r>
    </w:p>
    <w:p>
      <w:pPr>
        <w:pStyle w:val="Normal"/>
        <w:spacing w:lineRule="auto" w:line="480"/>
        <w:rPr/>
      </w:pPr>
      <w:r>
        <w:rPr/>
        <w:t xml:space="preserve">SILSO World Data Center. (2026). </w:t>
      </w:r>
      <w:r>
        <w:rPr>
          <w:i/>
        </w:rPr>
        <w:t>International sunspot number monthly bulletin and online catalogue [Dataset]</w:t>
      </w:r>
      <w:r>
        <w:rPr/>
        <w:t>. Royal Observatory of Belgium. http://www.sidc.be/SILSO/</w:t>
      </w:r>
    </w:p>
    <w:p>
      <w:pPr>
        <w:pStyle w:val="Normal"/>
        <w:spacing w:lineRule="auto" w:line="480"/>
        <w:rPr/>
      </w:pPr>
      <w:r>
        <w:rPr/>
        <w:t xml:space="preserve">Torrence, C., &amp; Compo, G. P. (1998). A practical guide to wavelet analysis. </w:t>
      </w:r>
      <w:r>
        <w:rPr>
          <w:i/>
        </w:rPr>
        <w:t>Bulletin of the American Meteorological Society, 79</w:t>
      </w:r>
      <w:r>
        <w:rPr/>
        <w:t>(1), 61–78. https://doi.org/10.1175/1520-0477(1998)079&lt;0061:APGTWA&gt;2.0.CO;2</w:t>
      </w:r>
    </w:p>
    <w:p>
      <w:pPr>
        <w:pStyle w:val="Normal"/>
        <w:spacing w:lineRule="auto" w:line="480"/>
        <w:rPr/>
      </w:pPr>
      <w:r>
        <w:rPr/>
        <w:t xml:space="preserve">VanderPlas, J. T. (2018). Understanding the Lomb-Scargle periodogram. </w:t>
      </w:r>
      <w:r>
        <w:rPr>
          <w:i/>
        </w:rPr>
        <w:t>The Astrophysical Journal Supplement Series, 236</w:t>
      </w:r>
      <w:r>
        <w:rPr/>
        <w:t>(1), 16. https://doi.org/10.3847/1538-4365/aab766</w:t>
      </w:r>
    </w:p>
    <w:p>
      <w:pPr>
        <w:pStyle w:val="Normal"/>
        <w:spacing w:lineRule="auto" w:line="480"/>
        <w:rPr/>
      </w:pPr>
      <w:r>
        <w:rPr/>
        <w:t xml:space="preserve">Zeitlin, C., Hassler, D. M., Cucinotta, F. A., et al. (2013). Measurements of energetic particle radiation in transit to Mars on the Mars Science Laboratory. </w:t>
      </w:r>
      <w:r>
        <w:rPr>
          <w:i/>
        </w:rPr>
        <w:t>Science, 340</w:t>
      </w:r>
      <w:r>
        <w:rPr/>
        <w:t>(6136), 1080–1084. https://doi.org/10.1126/science.1235989</w:t>
      </w:r>
    </w:p>
    <w:p>
      <w:pPr>
        <w:pStyle w:val="Normal"/>
        <w:spacing w:lineRule="auto" w:line="480"/>
        <w:rPr/>
      </w:pPr>
      <w:r>
        <w:rPr/>
        <w:t xml:space="preserve">Zhang, C., Liu, W., Guo, J., Dobynde, M., &amp; Wimmer-Schweingruber, R. F. (2026). The constraint of crewed Mars missions based on current radiation dose measurements. </w:t>
      </w:r>
      <w:r>
        <w:rPr>
          <w:i/>
        </w:rPr>
        <w:t>Space Weather</w:t>
      </w:r>
      <w:r>
        <w:rPr/>
        <w:t>. https://doi.org/10.1029/2025SW004724</w:t>
      </w:r>
    </w:p>
    <w:p>
      <w:pPr>
        <w:pStyle w:val="Normal"/>
        <w:spacing w:lineRule="auto" w:line="480"/>
        <w:rPr/>
      </w:pPr>
      <w:r>
        <w:rPr>
          <w:b/>
        </w:rPr>
        <w:t>Tables</w:t>
      </w:r>
    </w:p>
    <w:p>
      <w:pPr>
        <w:pStyle w:val="Normal"/>
        <w:spacing w:lineRule="auto" w:line="480"/>
        <w:rPr/>
      </w:pPr>
      <w:r>
        <w:rPr/>
      </w:r>
    </w:p>
    <w:p>
      <w:pPr>
        <w:pStyle w:val="Normal"/>
        <w:spacing w:lineRule="auto" w:line="480"/>
        <w:jc w:val="both"/>
        <w:rPr>
          <w:rFonts w:ascii="Calibri" w:hAnsi="Calibri"/>
          <w:sz w:val="24"/>
          <w:szCs w:val="24"/>
        </w:rPr>
      </w:pPr>
      <w:r>
        <w:rPr>
          <w:i/>
          <w:sz w:val="24"/>
          <w:szCs w:val="24"/>
        </w:rPr>
        <w:t>Table 1. Mean dose rate and standard deviation (uGy/hour) for detectors B and E across the 22 SOL windows (Section 2.3).</w:t>
      </w:r>
    </w:p>
    <w:tbl>
      <w:tblPr>
        <w:tblStyle w:val="a"/>
        <w:tblW w:w="7280" w:type="dxa"/>
        <w:jc w:val="center"/>
        <w:tblInd w:w="0" w:type="dxa"/>
        <w:tblLayout w:type="fixed"/>
        <w:tblCellMar>
          <w:top w:w="0" w:type="dxa"/>
          <w:left w:w="108" w:type="dxa"/>
          <w:bottom w:w="0" w:type="dxa"/>
          <w:right w:w="108" w:type="dxa"/>
        </w:tblCellMar>
        <w:tblLook w:val="0400" w:firstRow="0" w:noVBand="1" w:lastRow="0" w:firstColumn="0" w:lastColumn="0" w:noHBand="0"/>
      </w:tblPr>
      <w:tblGrid>
        <w:gridCol w:w="2740"/>
        <w:gridCol w:w="1119"/>
        <w:gridCol w:w="1140"/>
        <w:gridCol w:w="1161"/>
        <w:gridCol w:w="1120"/>
      </w:tblGrid>
      <w:tr>
        <w:trPr>
          <w:trHeight w:val="300" w:hRule="atLeast"/>
        </w:trPr>
        <w:tc>
          <w:tcPr>
            <w:tcW w:w="274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before="0" w:after="160"/>
              <w:jc w:val="both"/>
              <w:rPr>
                <w:rFonts w:ascii="Calibri" w:hAnsi="Calibri"/>
                <w:sz w:val="24"/>
                <w:szCs w:val="24"/>
              </w:rPr>
            </w:pPr>
            <w:r>
              <w:rPr>
                <w:color w:val="000000"/>
                <w:sz w:val="24"/>
                <w:szCs w:val="24"/>
              </w:rPr>
              <w:t>sols</w:t>
            </w:r>
          </w:p>
        </w:tc>
        <w:tc>
          <w:tcPr>
            <w:tcW w:w="111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before="0" w:after="160"/>
              <w:jc w:val="both"/>
              <w:rPr>
                <w:rFonts w:ascii="Calibri" w:hAnsi="Calibri"/>
                <w:sz w:val="24"/>
                <w:szCs w:val="24"/>
              </w:rPr>
            </w:pPr>
            <w:r>
              <w:rPr>
                <w:color w:val="000000"/>
                <w:sz w:val="24"/>
                <w:szCs w:val="24"/>
              </w:rPr>
              <w:t>mediab</w:t>
            </w:r>
          </w:p>
        </w:tc>
        <w:tc>
          <w:tcPr>
            <w:tcW w:w="114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before="0" w:after="160"/>
              <w:jc w:val="both"/>
              <w:rPr>
                <w:rFonts w:ascii="Calibri" w:hAnsi="Calibri"/>
                <w:sz w:val="24"/>
                <w:szCs w:val="24"/>
              </w:rPr>
            </w:pPr>
            <w:r>
              <w:rPr>
                <w:color w:val="000000"/>
                <w:sz w:val="24"/>
                <w:szCs w:val="24"/>
              </w:rPr>
              <w:t>desvb</w:t>
            </w:r>
          </w:p>
        </w:tc>
        <w:tc>
          <w:tcPr>
            <w:tcW w:w="116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before="0" w:after="160"/>
              <w:jc w:val="both"/>
              <w:rPr>
                <w:rFonts w:ascii="Calibri" w:hAnsi="Calibri"/>
                <w:sz w:val="24"/>
                <w:szCs w:val="24"/>
              </w:rPr>
            </w:pPr>
            <w:r>
              <w:rPr>
                <w:color w:val="000000"/>
                <w:sz w:val="24"/>
                <w:szCs w:val="24"/>
              </w:rPr>
              <w:t>mediae</w:t>
            </w:r>
          </w:p>
        </w:tc>
        <w:tc>
          <w:tcPr>
            <w:tcW w:w="112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before="0" w:after="160"/>
              <w:jc w:val="both"/>
              <w:rPr>
                <w:rFonts w:ascii="Calibri" w:hAnsi="Calibri"/>
                <w:sz w:val="24"/>
                <w:szCs w:val="24"/>
              </w:rPr>
            </w:pPr>
            <w:r>
              <w:rPr>
                <w:color w:val="000000"/>
                <w:sz w:val="24"/>
                <w:szCs w:val="24"/>
              </w:rPr>
              <w:t>desve</w:t>
            </w:r>
          </w:p>
        </w:tc>
      </w:tr>
      <w:tr>
        <w:trPr>
          <w:trHeight w:val="300" w:hRule="atLeast"/>
        </w:trPr>
        <w:tc>
          <w:tcPr>
            <w:tcW w:w="274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before="0" w:after="160"/>
              <w:jc w:val="both"/>
              <w:rPr>
                <w:rFonts w:ascii="Calibri" w:hAnsi="Calibri"/>
                <w:sz w:val="24"/>
                <w:szCs w:val="24"/>
              </w:rPr>
            </w:pPr>
            <w:r>
              <w:rPr>
                <w:color w:val="000000"/>
                <w:sz w:val="24"/>
                <w:szCs w:val="24"/>
              </w:rPr>
              <w:t>SOL 00000_00089</w:t>
            </w:r>
          </w:p>
        </w:tc>
        <w:tc>
          <w:tcPr>
            <w:tcW w:w="1119"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Calibri" w:hAnsi="Calibri"/>
                <w:sz w:val="24"/>
                <w:szCs w:val="24"/>
              </w:rPr>
            </w:pPr>
            <w:r>
              <w:rPr>
                <w:sz w:val="24"/>
                <w:szCs w:val="24"/>
              </w:rPr>
              <w:t>8.892</w:t>
            </w:r>
          </w:p>
        </w:tc>
        <w:tc>
          <w:tcPr>
            <w:tcW w:w="1140"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Calibri" w:hAnsi="Calibri"/>
                <w:sz w:val="24"/>
                <w:szCs w:val="24"/>
              </w:rPr>
            </w:pPr>
            <w:r>
              <w:rPr>
                <w:sz w:val="24"/>
                <w:szCs w:val="24"/>
              </w:rPr>
              <w:t>1.286</w:t>
            </w:r>
          </w:p>
        </w:tc>
        <w:tc>
          <w:tcPr>
            <w:tcW w:w="1161"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Calibri" w:hAnsi="Calibri"/>
                <w:sz w:val="24"/>
                <w:szCs w:val="24"/>
              </w:rPr>
            </w:pPr>
            <w:r>
              <w:rPr>
                <w:sz w:val="24"/>
                <w:szCs w:val="24"/>
              </w:rPr>
              <w:t>8.733</w:t>
            </w:r>
          </w:p>
        </w:tc>
        <w:tc>
          <w:tcPr>
            <w:tcW w:w="1120"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Calibri" w:hAnsi="Calibri"/>
                <w:sz w:val="24"/>
                <w:szCs w:val="24"/>
              </w:rPr>
            </w:pPr>
            <w:r>
              <w:rPr>
                <w:sz w:val="24"/>
                <w:szCs w:val="24"/>
              </w:rPr>
              <w:t>1.988</w:t>
            </w:r>
          </w:p>
        </w:tc>
      </w:tr>
      <w:tr>
        <w:trPr>
          <w:trHeight w:val="300" w:hRule="atLeast"/>
        </w:trPr>
        <w:tc>
          <w:tcPr>
            <w:tcW w:w="274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before="0" w:after="160"/>
              <w:jc w:val="both"/>
              <w:rPr>
                <w:rFonts w:ascii="Calibri" w:hAnsi="Calibri"/>
                <w:sz w:val="24"/>
                <w:szCs w:val="24"/>
              </w:rPr>
            </w:pPr>
            <w:r>
              <w:rPr>
                <w:color w:val="000000"/>
                <w:sz w:val="24"/>
                <w:szCs w:val="24"/>
              </w:rPr>
              <w:t>SOL 00090_00179</w:t>
            </w:r>
          </w:p>
        </w:tc>
        <w:tc>
          <w:tcPr>
            <w:tcW w:w="1119"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Calibri" w:hAnsi="Calibri"/>
                <w:sz w:val="24"/>
                <w:szCs w:val="24"/>
              </w:rPr>
            </w:pPr>
            <w:r>
              <w:rPr>
                <w:sz w:val="24"/>
                <w:szCs w:val="24"/>
              </w:rPr>
              <w:t>9.168</w:t>
            </w:r>
          </w:p>
        </w:tc>
        <w:tc>
          <w:tcPr>
            <w:tcW w:w="1140"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Calibri" w:hAnsi="Calibri"/>
                <w:sz w:val="24"/>
                <w:szCs w:val="24"/>
              </w:rPr>
            </w:pPr>
            <w:r>
              <w:rPr>
                <w:sz w:val="24"/>
                <w:szCs w:val="24"/>
              </w:rPr>
              <w:t>0.490</w:t>
            </w:r>
          </w:p>
        </w:tc>
        <w:tc>
          <w:tcPr>
            <w:tcW w:w="1161"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Calibri" w:hAnsi="Calibri"/>
                <w:sz w:val="24"/>
                <w:szCs w:val="24"/>
              </w:rPr>
            </w:pPr>
            <w:r>
              <w:rPr>
                <w:sz w:val="24"/>
                <w:szCs w:val="24"/>
              </w:rPr>
              <w:t>8.836</w:t>
            </w:r>
          </w:p>
        </w:tc>
        <w:tc>
          <w:tcPr>
            <w:tcW w:w="1120"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Calibri" w:hAnsi="Calibri"/>
                <w:sz w:val="24"/>
                <w:szCs w:val="24"/>
              </w:rPr>
            </w:pPr>
            <w:r>
              <w:rPr>
                <w:sz w:val="24"/>
                <w:szCs w:val="24"/>
              </w:rPr>
              <w:t>0.937</w:t>
            </w:r>
          </w:p>
        </w:tc>
      </w:tr>
      <w:tr>
        <w:trPr>
          <w:trHeight w:val="300" w:hRule="atLeast"/>
        </w:trPr>
        <w:tc>
          <w:tcPr>
            <w:tcW w:w="274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before="0" w:after="160"/>
              <w:jc w:val="both"/>
              <w:rPr>
                <w:rFonts w:ascii="Calibri" w:hAnsi="Calibri"/>
                <w:sz w:val="24"/>
                <w:szCs w:val="24"/>
              </w:rPr>
            </w:pPr>
            <w:r>
              <w:rPr>
                <w:color w:val="000000"/>
                <w:sz w:val="24"/>
                <w:szCs w:val="24"/>
              </w:rPr>
              <w:t>SOL 00180_00269 SMALL SPE</w:t>
            </w:r>
          </w:p>
        </w:tc>
        <w:tc>
          <w:tcPr>
            <w:tcW w:w="1119"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Calibri" w:hAnsi="Calibri"/>
                <w:sz w:val="24"/>
                <w:szCs w:val="24"/>
              </w:rPr>
            </w:pPr>
            <w:r>
              <w:rPr>
                <w:sz w:val="24"/>
                <w:szCs w:val="24"/>
              </w:rPr>
              <w:t>9.180</w:t>
            </w:r>
          </w:p>
        </w:tc>
        <w:tc>
          <w:tcPr>
            <w:tcW w:w="1140"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Calibri" w:hAnsi="Calibri"/>
                <w:sz w:val="24"/>
                <w:szCs w:val="24"/>
              </w:rPr>
            </w:pPr>
            <w:r>
              <w:rPr>
                <w:sz w:val="24"/>
                <w:szCs w:val="24"/>
              </w:rPr>
              <w:t>0.546</w:t>
            </w:r>
          </w:p>
        </w:tc>
        <w:tc>
          <w:tcPr>
            <w:tcW w:w="1161"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Calibri" w:hAnsi="Calibri"/>
                <w:sz w:val="24"/>
                <w:szCs w:val="24"/>
              </w:rPr>
            </w:pPr>
            <w:r>
              <w:rPr>
                <w:sz w:val="24"/>
                <w:szCs w:val="24"/>
              </w:rPr>
              <w:t>8.780</w:t>
            </w:r>
          </w:p>
        </w:tc>
        <w:tc>
          <w:tcPr>
            <w:tcW w:w="1120"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Calibri" w:hAnsi="Calibri"/>
                <w:sz w:val="24"/>
                <w:szCs w:val="24"/>
              </w:rPr>
            </w:pPr>
            <w:r>
              <w:rPr>
                <w:sz w:val="24"/>
                <w:szCs w:val="24"/>
              </w:rPr>
              <w:t>0.583</w:t>
            </w:r>
          </w:p>
        </w:tc>
      </w:tr>
      <w:tr>
        <w:trPr>
          <w:trHeight w:val="300" w:hRule="atLeast"/>
        </w:trPr>
        <w:tc>
          <w:tcPr>
            <w:tcW w:w="274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before="0" w:after="160"/>
              <w:jc w:val="both"/>
              <w:rPr>
                <w:rFonts w:ascii="Calibri" w:hAnsi="Calibri"/>
                <w:sz w:val="24"/>
                <w:szCs w:val="24"/>
              </w:rPr>
            </w:pPr>
            <w:r>
              <w:rPr>
                <w:color w:val="000000"/>
                <w:sz w:val="24"/>
                <w:szCs w:val="24"/>
              </w:rPr>
              <w:t>SOL 00270_00359</w:t>
            </w:r>
          </w:p>
        </w:tc>
        <w:tc>
          <w:tcPr>
            <w:tcW w:w="1119"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Calibri" w:hAnsi="Calibri"/>
                <w:sz w:val="24"/>
                <w:szCs w:val="24"/>
              </w:rPr>
            </w:pPr>
            <w:r>
              <w:rPr>
                <w:sz w:val="24"/>
                <w:szCs w:val="24"/>
              </w:rPr>
              <w:t>8.867</w:t>
            </w:r>
          </w:p>
        </w:tc>
        <w:tc>
          <w:tcPr>
            <w:tcW w:w="1140"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Calibri" w:hAnsi="Calibri"/>
                <w:sz w:val="24"/>
                <w:szCs w:val="24"/>
              </w:rPr>
            </w:pPr>
            <w:r>
              <w:rPr>
                <w:sz w:val="24"/>
                <w:szCs w:val="24"/>
              </w:rPr>
              <w:t>0.612</w:t>
            </w:r>
          </w:p>
        </w:tc>
        <w:tc>
          <w:tcPr>
            <w:tcW w:w="1161"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Calibri" w:hAnsi="Calibri"/>
                <w:sz w:val="24"/>
                <w:szCs w:val="24"/>
              </w:rPr>
            </w:pPr>
            <w:r>
              <w:rPr>
                <w:sz w:val="24"/>
                <w:szCs w:val="24"/>
              </w:rPr>
              <w:t>8.667</w:t>
            </w:r>
          </w:p>
        </w:tc>
        <w:tc>
          <w:tcPr>
            <w:tcW w:w="1120"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Calibri" w:hAnsi="Calibri"/>
                <w:sz w:val="24"/>
                <w:szCs w:val="24"/>
              </w:rPr>
            </w:pPr>
            <w:r>
              <w:rPr>
                <w:sz w:val="24"/>
                <w:szCs w:val="24"/>
              </w:rPr>
              <w:t>1.165</w:t>
            </w:r>
          </w:p>
        </w:tc>
      </w:tr>
      <w:tr>
        <w:trPr>
          <w:trHeight w:val="300" w:hRule="atLeast"/>
        </w:trPr>
        <w:tc>
          <w:tcPr>
            <w:tcW w:w="274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before="0" w:after="160"/>
              <w:jc w:val="both"/>
              <w:rPr>
                <w:rFonts w:ascii="Calibri" w:hAnsi="Calibri"/>
                <w:sz w:val="24"/>
                <w:szCs w:val="24"/>
              </w:rPr>
            </w:pPr>
            <w:r>
              <w:rPr>
                <w:color w:val="000000"/>
                <w:sz w:val="24"/>
                <w:szCs w:val="24"/>
              </w:rPr>
              <w:t>SOL 00360_00449 SMALL SPE</w:t>
            </w:r>
          </w:p>
        </w:tc>
        <w:tc>
          <w:tcPr>
            <w:tcW w:w="1119"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Calibri" w:hAnsi="Calibri"/>
                <w:sz w:val="24"/>
                <w:szCs w:val="24"/>
              </w:rPr>
            </w:pPr>
            <w:r>
              <w:rPr>
                <w:sz w:val="24"/>
                <w:szCs w:val="24"/>
              </w:rPr>
              <w:t>8.910</w:t>
            </w:r>
          </w:p>
        </w:tc>
        <w:tc>
          <w:tcPr>
            <w:tcW w:w="1140"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Calibri" w:hAnsi="Calibri"/>
                <w:sz w:val="24"/>
                <w:szCs w:val="24"/>
              </w:rPr>
            </w:pPr>
            <w:r>
              <w:rPr>
                <w:sz w:val="24"/>
                <w:szCs w:val="24"/>
              </w:rPr>
              <w:t>0.684</w:t>
            </w:r>
          </w:p>
        </w:tc>
        <w:tc>
          <w:tcPr>
            <w:tcW w:w="1161"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Calibri" w:hAnsi="Calibri"/>
                <w:sz w:val="24"/>
                <w:szCs w:val="24"/>
              </w:rPr>
            </w:pPr>
            <w:r>
              <w:rPr>
                <w:sz w:val="24"/>
                <w:szCs w:val="24"/>
              </w:rPr>
              <w:t>8.823</w:t>
            </w:r>
          </w:p>
        </w:tc>
        <w:tc>
          <w:tcPr>
            <w:tcW w:w="1120"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Calibri" w:hAnsi="Calibri"/>
                <w:sz w:val="24"/>
                <w:szCs w:val="24"/>
              </w:rPr>
            </w:pPr>
            <w:r>
              <w:rPr>
                <w:sz w:val="24"/>
                <w:szCs w:val="24"/>
              </w:rPr>
              <w:t>1.101</w:t>
            </w:r>
          </w:p>
        </w:tc>
      </w:tr>
      <w:tr>
        <w:trPr>
          <w:trHeight w:val="300" w:hRule="atLeast"/>
        </w:trPr>
        <w:tc>
          <w:tcPr>
            <w:tcW w:w="274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before="0" w:after="160"/>
              <w:jc w:val="both"/>
              <w:rPr>
                <w:rFonts w:ascii="Calibri" w:hAnsi="Calibri"/>
                <w:sz w:val="24"/>
                <w:szCs w:val="24"/>
              </w:rPr>
            </w:pPr>
            <w:r>
              <w:rPr>
                <w:color w:val="000000"/>
                <w:sz w:val="24"/>
                <w:szCs w:val="24"/>
              </w:rPr>
              <w:t>SOL 00450_00583</w:t>
            </w:r>
          </w:p>
        </w:tc>
        <w:tc>
          <w:tcPr>
            <w:tcW w:w="1119"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Calibri" w:hAnsi="Calibri"/>
                <w:sz w:val="24"/>
                <w:szCs w:val="24"/>
              </w:rPr>
            </w:pPr>
            <w:r>
              <w:rPr>
                <w:sz w:val="24"/>
                <w:szCs w:val="24"/>
              </w:rPr>
              <w:t>8.609</w:t>
            </w:r>
          </w:p>
        </w:tc>
        <w:tc>
          <w:tcPr>
            <w:tcW w:w="1140"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Calibri" w:hAnsi="Calibri"/>
                <w:sz w:val="24"/>
                <w:szCs w:val="24"/>
              </w:rPr>
            </w:pPr>
            <w:r>
              <w:rPr>
                <w:sz w:val="24"/>
                <w:szCs w:val="24"/>
              </w:rPr>
              <w:t>0.765</w:t>
            </w:r>
          </w:p>
        </w:tc>
        <w:tc>
          <w:tcPr>
            <w:tcW w:w="1161"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Calibri" w:hAnsi="Calibri"/>
                <w:sz w:val="24"/>
                <w:szCs w:val="24"/>
              </w:rPr>
            </w:pPr>
            <w:r>
              <w:rPr>
                <w:sz w:val="24"/>
                <w:szCs w:val="24"/>
              </w:rPr>
              <w:t>8.473</w:t>
            </w:r>
          </w:p>
        </w:tc>
        <w:tc>
          <w:tcPr>
            <w:tcW w:w="1120"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Calibri" w:hAnsi="Calibri"/>
                <w:sz w:val="24"/>
                <w:szCs w:val="24"/>
              </w:rPr>
            </w:pPr>
            <w:r>
              <w:rPr>
                <w:sz w:val="24"/>
                <w:szCs w:val="24"/>
              </w:rPr>
              <w:t>1.007</w:t>
            </w:r>
          </w:p>
        </w:tc>
      </w:tr>
      <w:tr>
        <w:trPr>
          <w:trHeight w:val="300" w:hRule="atLeast"/>
        </w:trPr>
        <w:tc>
          <w:tcPr>
            <w:tcW w:w="274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before="0" w:after="160"/>
              <w:jc w:val="both"/>
              <w:rPr>
                <w:rFonts w:ascii="Calibri" w:hAnsi="Calibri"/>
                <w:sz w:val="24"/>
                <w:szCs w:val="24"/>
              </w:rPr>
            </w:pPr>
            <w:r>
              <w:rPr>
                <w:color w:val="000000"/>
                <w:sz w:val="24"/>
                <w:szCs w:val="24"/>
              </w:rPr>
              <w:t>SOL 00584_00707</w:t>
            </w:r>
          </w:p>
        </w:tc>
        <w:tc>
          <w:tcPr>
            <w:tcW w:w="1119"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Calibri" w:hAnsi="Calibri"/>
                <w:sz w:val="24"/>
                <w:szCs w:val="24"/>
              </w:rPr>
            </w:pPr>
            <w:r>
              <w:rPr>
                <w:sz w:val="24"/>
                <w:szCs w:val="24"/>
              </w:rPr>
              <w:t>8.597</w:t>
            </w:r>
          </w:p>
        </w:tc>
        <w:tc>
          <w:tcPr>
            <w:tcW w:w="1140"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Calibri" w:hAnsi="Calibri"/>
                <w:sz w:val="24"/>
                <w:szCs w:val="24"/>
              </w:rPr>
            </w:pPr>
            <w:r>
              <w:rPr>
                <w:sz w:val="24"/>
                <w:szCs w:val="24"/>
              </w:rPr>
              <w:t>0.776</w:t>
            </w:r>
          </w:p>
        </w:tc>
        <w:tc>
          <w:tcPr>
            <w:tcW w:w="1161"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Calibri" w:hAnsi="Calibri"/>
                <w:sz w:val="24"/>
                <w:szCs w:val="24"/>
              </w:rPr>
            </w:pPr>
            <w:r>
              <w:rPr>
                <w:sz w:val="24"/>
                <w:szCs w:val="24"/>
              </w:rPr>
              <w:t>8.477</w:t>
            </w:r>
          </w:p>
        </w:tc>
        <w:tc>
          <w:tcPr>
            <w:tcW w:w="1120"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Calibri" w:hAnsi="Calibri"/>
                <w:sz w:val="24"/>
                <w:szCs w:val="24"/>
              </w:rPr>
            </w:pPr>
            <w:r>
              <w:rPr>
                <w:sz w:val="24"/>
                <w:szCs w:val="24"/>
              </w:rPr>
              <w:t>1.008</w:t>
            </w:r>
          </w:p>
        </w:tc>
      </w:tr>
      <w:tr>
        <w:trPr>
          <w:trHeight w:val="300" w:hRule="atLeast"/>
        </w:trPr>
        <w:tc>
          <w:tcPr>
            <w:tcW w:w="274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before="0" w:after="160"/>
              <w:jc w:val="both"/>
              <w:rPr>
                <w:rFonts w:ascii="Calibri" w:hAnsi="Calibri"/>
                <w:sz w:val="24"/>
                <w:szCs w:val="24"/>
              </w:rPr>
            </w:pPr>
            <w:r>
              <w:rPr>
                <w:color w:val="000000"/>
                <w:sz w:val="24"/>
                <w:szCs w:val="24"/>
              </w:rPr>
              <w:t>SOL 00708_00804 2014 SPE</w:t>
            </w:r>
          </w:p>
        </w:tc>
        <w:tc>
          <w:tcPr>
            <w:tcW w:w="1119"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Calibri" w:hAnsi="Calibri"/>
                <w:sz w:val="24"/>
                <w:szCs w:val="24"/>
              </w:rPr>
            </w:pPr>
            <w:r>
              <w:rPr>
                <w:sz w:val="24"/>
                <w:szCs w:val="24"/>
              </w:rPr>
              <w:t>8.869</w:t>
            </w:r>
          </w:p>
        </w:tc>
        <w:tc>
          <w:tcPr>
            <w:tcW w:w="1140"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Calibri" w:hAnsi="Calibri"/>
                <w:sz w:val="24"/>
                <w:szCs w:val="24"/>
              </w:rPr>
            </w:pPr>
            <w:r>
              <w:rPr>
                <w:sz w:val="24"/>
                <w:szCs w:val="24"/>
              </w:rPr>
              <w:t>0.932</w:t>
            </w:r>
          </w:p>
        </w:tc>
        <w:tc>
          <w:tcPr>
            <w:tcW w:w="1161"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Calibri" w:hAnsi="Calibri"/>
                <w:sz w:val="24"/>
                <w:szCs w:val="24"/>
              </w:rPr>
            </w:pPr>
            <w:r>
              <w:rPr>
                <w:sz w:val="24"/>
                <w:szCs w:val="24"/>
              </w:rPr>
              <w:t>8.811</w:t>
            </w:r>
          </w:p>
        </w:tc>
        <w:tc>
          <w:tcPr>
            <w:tcW w:w="1120"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Calibri" w:hAnsi="Calibri"/>
                <w:sz w:val="24"/>
                <w:szCs w:val="24"/>
              </w:rPr>
            </w:pPr>
            <w:r>
              <w:rPr>
                <w:sz w:val="24"/>
                <w:szCs w:val="24"/>
              </w:rPr>
              <w:t>1.112</w:t>
            </w:r>
          </w:p>
        </w:tc>
      </w:tr>
      <w:tr>
        <w:trPr>
          <w:trHeight w:val="300" w:hRule="atLeast"/>
        </w:trPr>
        <w:tc>
          <w:tcPr>
            <w:tcW w:w="274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before="0" w:after="160"/>
              <w:jc w:val="both"/>
              <w:rPr>
                <w:rFonts w:ascii="Calibri" w:hAnsi="Calibri"/>
                <w:sz w:val="24"/>
                <w:szCs w:val="24"/>
              </w:rPr>
            </w:pPr>
            <w:r>
              <w:rPr>
                <w:color w:val="000000"/>
                <w:sz w:val="24"/>
                <w:szCs w:val="24"/>
              </w:rPr>
              <w:t>SOL 00805_00938</w:t>
            </w:r>
          </w:p>
        </w:tc>
        <w:tc>
          <w:tcPr>
            <w:tcW w:w="1119"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Calibri" w:hAnsi="Calibri"/>
                <w:sz w:val="24"/>
                <w:szCs w:val="24"/>
              </w:rPr>
            </w:pPr>
            <w:r>
              <w:rPr>
                <w:sz w:val="24"/>
                <w:szCs w:val="24"/>
              </w:rPr>
              <w:t>8.584</w:t>
            </w:r>
          </w:p>
        </w:tc>
        <w:tc>
          <w:tcPr>
            <w:tcW w:w="1140"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Calibri" w:hAnsi="Calibri"/>
                <w:sz w:val="24"/>
                <w:szCs w:val="24"/>
              </w:rPr>
            </w:pPr>
            <w:r>
              <w:rPr>
                <w:sz w:val="24"/>
                <w:szCs w:val="24"/>
              </w:rPr>
              <w:t>0.745</w:t>
            </w:r>
          </w:p>
        </w:tc>
        <w:tc>
          <w:tcPr>
            <w:tcW w:w="1161"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Calibri" w:hAnsi="Calibri"/>
                <w:sz w:val="24"/>
                <w:szCs w:val="24"/>
              </w:rPr>
            </w:pPr>
            <w:r>
              <w:rPr>
                <w:sz w:val="24"/>
                <w:szCs w:val="24"/>
              </w:rPr>
              <w:t>8.433</w:t>
            </w:r>
          </w:p>
        </w:tc>
        <w:tc>
          <w:tcPr>
            <w:tcW w:w="1120"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Calibri" w:hAnsi="Calibri"/>
                <w:sz w:val="24"/>
                <w:szCs w:val="24"/>
              </w:rPr>
            </w:pPr>
            <w:r>
              <w:rPr>
                <w:sz w:val="24"/>
                <w:szCs w:val="24"/>
              </w:rPr>
              <w:t>0.746</w:t>
            </w:r>
          </w:p>
        </w:tc>
      </w:tr>
      <w:tr>
        <w:trPr>
          <w:trHeight w:val="300" w:hRule="atLeast"/>
        </w:trPr>
        <w:tc>
          <w:tcPr>
            <w:tcW w:w="274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before="0" w:after="160"/>
              <w:jc w:val="both"/>
              <w:rPr>
                <w:rFonts w:ascii="Calibri" w:hAnsi="Calibri"/>
                <w:sz w:val="24"/>
                <w:szCs w:val="24"/>
              </w:rPr>
            </w:pPr>
            <w:r>
              <w:rPr>
                <w:color w:val="000000"/>
                <w:sz w:val="24"/>
                <w:szCs w:val="24"/>
              </w:rPr>
              <w:t>SOL 00939_01062</w:t>
            </w:r>
          </w:p>
        </w:tc>
        <w:tc>
          <w:tcPr>
            <w:tcW w:w="1119"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Calibri" w:hAnsi="Calibri"/>
                <w:sz w:val="24"/>
                <w:szCs w:val="24"/>
              </w:rPr>
            </w:pPr>
            <w:r>
              <w:rPr>
                <w:sz w:val="24"/>
                <w:szCs w:val="24"/>
              </w:rPr>
              <w:t>8.549</w:t>
            </w:r>
          </w:p>
        </w:tc>
        <w:tc>
          <w:tcPr>
            <w:tcW w:w="1140"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Calibri" w:hAnsi="Calibri"/>
                <w:sz w:val="24"/>
                <w:szCs w:val="24"/>
              </w:rPr>
            </w:pPr>
            <w:r>
              <w:rPr>
                <w:sz w:val="24"/>
                <w:szCs w:val="24"/>
              </w:rPr>
              <w:t>0.825</w:t>
            </w:r>
          </w:p>
        </w:tc>
        <w:tc>
          <w:tcPr>
            <w:tcW w:w="1161"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Calibri" w:hAnsi="Calibri"/>
                <w:sz w:val="24"/>
                <w:szCs w:val="24"/>
              </w:rPr>
            </w:pPr>
            <w:r>
              <w:rPr>
                <w:sz w:val="24"/>
                <w:szCs w:val="24"/>
              </w:rPr>
              <w:t>8.472</w:t>
            </w:r>
          </w:p>
        </w:tc>
        <w:tc>
          <w:tcPr>
            <w:tcW w:w="1120"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Calibri" w:hAnsi="Calibri"/>
                <w:sz w:val="24"/>
                <w:szCs w:val="24"/>
              </w:rPr>
            </w:pPr>
            <w:r>
              <w:rPr>
                <w:sz w:val="24"/>
                <w:szCs w:val="24"/>
              </w:rPr>
              <w:t>0.846</w:t>
            </w:r>
          </w:p>
        </w:tc>
      </w:tr>
      <w:tr>
        <w:trPr>
          <w:trHeight w:val="300" w:hRule="atLeast"/>
        </w:trPr>
        <w:tc>
          <w:tcPr>
            <w:tcW w:w="2740"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6" w:before="0" w:after="160"/>
              <w:jc w:val="both"/>
              <w:rPr>
                <w:rFonts w:ascii="Calibri" w:hAnsi="Calibri"/>
                <w:sz w:val="24"/>
                <w:szCs w:val="24"/>
              </w:rPr>
            </w:pPr>
            <w:r>
              <w:rPr>
                <w:color w:val="000000"/>
                <w:sz w:val="24"/>
                <w:szCs w:val="24"/>
              </w:rPr>
              <w:t>SOL 01063_01159</w:t>
            </w:r>
          </w:p>
        </w:tc>
        <w:tc>
          <w:tcPr>
            <w:tcW w:w="1119"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Calibri" w:hAnsi="Calibri"/>
                <w:sz w:val="24"/>
                <w:szCs w:val="24"/>
              </w:rPr>
            </w:pPr>
            <w:r>
              <w:rPr>
                <w:sz w:val="24"/>
                <w:szCs w:val="24"/>
              </w:rPr>
              <w:t>8.957</w:t>
            </w:r>
          </w:p>
        </w:tc>
        <w:tc>
          <w:tcPr>
            <w:tcW w:w="1140"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Calibri" w:hAnsi="Calibri"/>
                <w:sz w:val="24"/>
                <w:szCs w:val="24"/>
              </w:rPr>
            </w:pPr>
            <w:r>
              <w:rPr>
                <w:sz w:val="24"/>
                <w:szCs w:val="24"/>
              </w:rPr>
              <w:t>0.994</w:t>
            </w:r>
          </w:p>
        </w:tc>
        <w:tc>
          <w:tcPr>
            <w:tcW w:w="1161"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Calibri" w:hAnsi="Calibri"/>
                <w:sz w:val="24"/>
                <w:szCs w:val="24"/>
              </w:rPr>
            </w:pPr>
            <w:r>
              <w:rPr>
                <w:sz w:val="24"/>
                <w:szCs w:val="24"/>
              </w:rPr>
              <w:t>9.079</w:t>
            </w:r>
          </w:p>
        </w:tc>
        <w:tc>
          <w:tcPr>
            <w:tcW w:w="1120" w:type="dxa"/>
            <w:tcBorders>
              <w:top w:val="single" w:sz="4" w:space="0" w:color="000000"/>
              <w:left w:val="single" w:sz="4" w:space="0" w:color="000000"/>
              <w:bottom w:val="single" w:sz="4" w:space="0" w:color="000000"/>
              <w:right w:val="single" w:sz="4" w:space="0" w:color="000000"/>
            </w:tcBorders>
          </w:tcPr>
          <w:p>
            <w:pPr>
              <w:pStyle w:val="Normal"/>
              <w:spacing w:before="0" w:after="160"/>
              <w:rPr>
                <w:rFonts w:ascii="Calibri" w:hAnsi="Calibri"/>
                <w:sz w:val="24"/>
                <w:szCs w:val="24"/>
              </w:rPr>
            </w:pPr>
            <w:r>
              <w:rPr>
                <w:sz w:val="24"/>
                <w:szCs w:val="24"/>
              </w:rPr>
              <w:t>0.990</w:t>
            </w:r>
          </w:p>
        </w:tc>
      </w:tr>
      <w:tr>
        <w:trPr>
          <w:trHeight w:val="300" w:hRule="atLeast"/>
        </w:trPr>
        <w:tc>
          <w:tcPr>
            <w:tcW w:w="2740" w:type="dxa"/>
            <w:tcBorders>
              <w:top w:val="single" w:sz="4" w:space="0" w:color="000000"/>
              <w:left w:val="single" w:sz="4" w:space="0" w:color="000000"/>
              <w:bottom w:val="single" w:sz="4" w:space="0" w:color="000000"/>
              <w:right w:val="single" w:sz="4" w:space="0" w:color="000000"/>
            </w:tcBorders>
            <w:shd w:color="auto" w:fill="BFBFBF" w:val="clear"/>
          </w:tcPr>
          <w:p>
            <w:pPr>
              <w:pStyle w:val="Normal"/>
              <w:widowControl w:val="false"/>
              <w:spacing w:lineRule="auto" w:line="276" w:before="0" w:after="160"/>
              <w:jc w:val="both"/>
              <w:rPr>
                <w:rFonts w:ascii="Calibri" w:hAnsi="Calibri"/>
                <w:sz w:val="24"/>
                <w:szCs w:val="24"/>
              </w:rPr>
            </w:pPr>
            <w:r>
              <w:rPr>
                <w:color w:val="000000"/>
                <w:sz w:val="24"/>
                <w:szCs w:val="24"/>
              </w:rPr>
              <w:t>SOL 01160_01293</w:t>
            </w:r>
          </w:p>
        </w:tc>
        <w:tc>
          <w:tcPr>
            <w:tcW w:w="1119" w:type="dxa"/>
            <w:tcBorders>
              <w:top w:val="single" w:sz="4" w:space="0" w:color="000000"/>
              <w:left w:val="single" w:sz="4" w:space="0" w:color="000000"/>
              <w:bottom w:val="single" w:sz="4" w:space="0" w:color="000000"/>
              <w:right w:val="single" w:sz="4" w:space="0" w:color="000000"/>
            </w:tcBorders>
            <w:shd w:color="auto" w:fill="BFBFBF" w:val="clear"/>
          </w:tcPr>
          <w:p>
            <w:pPr>
              <w:pStyle w:val="Normal"/>
              <w:spacing w:before="0" w:after="160"/>
              <w:rPr>
                <w:rFonts w:ascii="Calibri" w:hAnsi="Calibri"/>
                <w:sz w:val="24"/>
                <w:szCs w:val="24"/>
              </w:rPr>
            </w:pPr>
            <w:r>
              <w:rPr>
                <w:sz w:val="24"/>
                <w:szCs w:val="24"/>
              </w:rPr>
              <w:t>9.596</w:t>
            </w:r>
          </w:p>
        </w:tc>
        <w:tc>
          <w:tcPr>
            <w:tcW w:w="1140" w:type="dxa"/>
            <w:tcBorders>
              <w:top w:val="single" w:sz="4" w:space="0" w:color="000000"/>
              <w:left w:val="single" w:sz="4" w:space="0" w:color="000000"/>
              <w:bottom w:val="single" w:sz="4" w:space="0" w:color="000000"/>
              <w:right w:val="single" w:sz="4" w:space="0" w:color="000000"/>
            </w:tcBorders>
            <w:shd w:color="auto" w:fill="BFBFBF" w:val="clear"/>
          </w:tcPr>
          <w:p>
            <w:pPr>
              <w:pStyle w:val="Normal"/>
              <w:spacing w:before="0" w:after="160"/>
              <w:rPr>
                <w:rFonts w:ascii="Calibri" w:hAnsi="Calibri"/>
                <w:sz w:val="24"/>
                <w:szCs w:val="24"/>
              </w:rPr>
            </w:pPr>
            <w:r>
              <w:rPr>
                <w:sz w:val="24"/>
                <w:szCs w:val="24"/>
              </w:rPr>
              <w:t>0.959</w:t>
            </w:r>
          </w:p>
        </w:tc>
        <w:tc>
          <w:tcPr>
            <w:tcW w:w="1161" w:type="dxa"/>
            <w:tcBorders>
              <w:top w:val="single" w:sz="4" w:space="0" w:color="000000"/>
              <w:left w:val="single" w:sz="4" w:space="0" w:color="000000"/>
              <w:bottom w:val="single" w:sz="4" w:space="0" w:color="000000"/>
              <w:right w:val="single" w:sz="4" w:space="0" w:color="000000"/>
            </w:tcBorders>
            <w:shd w:color="auto" w:fill="BFBFBF" w:val="clear"/>
          </w:tcPr>
          <w:p>
            <w:pPr>
              <w:pStyle w:val="Normal"/>
              <w:spacing w:before="0" w:after="160"/>
              <w:rPr>
                <w:rFonts w:ascii="Calibri" w:hAnsi="Calibri"/>
                <w:sz w:val="24"/>
                <w:szCs w:val="24"/>
              </w:rPr>
            </w:pPr>
            <w:r>
              <w:rPr>
                <w:sz w:val="24"/>
                <w:szCs w:val="24"/>
              </w:rPr>
              <w:t>9.903</w:t>
            </w:r>
          </w:p>
        </w:tc>
        <w:tc>
          <w:tcPr>
            <w:tcW w:w="1120" w:type="dxa"/>
            <w:tcBorders>
              <w:top w:val="single" w:sz="4" w:space="0" w:color="000000"/>
              <w:left w:val="single" w:sz="4" w:space="0" w:color="000000"/>
              <w:bottom w:val="single" w:sz="4" w:space="0" w:color="000000"/>
              <w:right w:val="single" w:sz="4" w:space="0" w:color="000000"/>
            </w:tcBorders>
            <w:shd w:color="auto" w:fill="BFBFBF" w:val="clear"/>
          </w:tcPr>
          <w:p>
            <w:pPr>
              <w:pStyle w:val="Normal"/>
              <w:spacing w:before="0" w:after="160"/>
              <w:rPr>
                <w:rFonts w:ascii="Calibri" w:hAnsi="Calibri"/>
                <w:sz w:val="24"/>
                <w:szCs w:val="24"/>
              </w:rPr>
            </w:pPr>
            <w:r>
              <w:rPr>
                <w:sz w:val="24"/>
                <w:szCs w:val="24"/>
              </w:rPr>
              <w:t>0.977</w:t>
            </w:r>
          </w:p>
        </w:tc>
      </w:tr>
      <w:tr>
        <w:trPr>
          <w:trHeight w:val="300" w:hRule="atLeast"/>
        </w:trPr>
        <w:tc>
          <w:tcPr>
            <w:tcW w:w="2740" w:type="dxa"/>
            <w:tcBorders>
              <w:top w:val="single" w:sz="4" w:space="0" w:color="000000"/>
              <w:left w:val="single" w:sz="4" w:space="0" w:color="000000"/>
              <w:bottom w:val="single" w:sz="4" w:space="0" w:color="000000"/>
              <w:right w:val="single" w:sz="4" w:space="0" w:color="000000"/>
            </w:tcBorders>
            <w:shd w:color="auto" w:fill="BFBFBF" w:val="clear"/>
          </w:tcPr>
          <w:p>
            <w:pPr>
              <w:pStyle w:val="Normal"/>
              <w:widowControl w:val="false"/>
              <w:spacing w:lineRule="auto" w:line="276" w:before="0" w:after="160"/>
              <w:jc w:val="both"/>
              <w:rPr>
                <w:rFonts w:ascii="Calibri" w:hAnsi="Calibri"/>
                <w:sz w:val="24"/>
                <w:szCs w:val="24"/>
              </w:rPr>
            </w:pPr>
            <w:r>
              <w:rPr>
                <w:color w:val="000000"/>
                <w:sz w:val="24"/>
                <w:szCs w:val="24"/>
              </w:rPr>
              <w:t>SOL 01294_01417</w:t>
            </w:r>
          </w:p>
        </w:tc>
        <w:tc>
          <w:tcPr>
            <w:tcW w:w="1119" w:type="dxa"/>
            <w:tcBorders>
              <w:top w:val="single" w:sz="4" w:space="0" w:color="000000"/>
              <w:left w:val="single" w:sz="4" w:space="0" w:color="000000"/>
              <w:bottom w:val="single" w:sz="4" w:space="0" w:color="000000"/>
              <w:right w:val="single" w:sz="4" w:space="0" w:color="000000"/>
            </w:tcBorders>
            <w:shd w:color="auto" w:fill="BFBFBF" w:val="clear"/>
          </w:tcPr>
          <w:p>
            <w:pPr>
              <w:pStyle w:val="Normal"/>
              <w:spacing w:before="0" w:after="160"/>
              <w:rPr>
                <w:rFonts w:ascii="Calibri" w:hAnsi="Calibri"/>
                <w:sz w:val="24"/>
                <w:szCs w:val="24"/>
              </w:rPr>
            </w:pPr>
            <w:r>
              <w:rPr>
                <w:sz w:val="24"/>
                <w:szCs w:val="24"/>
              </w:rPr>
              <w:t>10.148</w:t>
            </w:r>
          </w:p>
        </w:tc>
        <w:tc>
          <w:tcPr>
            <w:tcW w:w="1140" w:type="dxa"/>
            <w:tcBorders>
              <w:top w:val="single" w:sz="4" w:space="0" w:color="000000"/>
              <w:left w:val="single" w:sz="4" w:space="0" w:color="000000"/>
              <w:bottom w:val="single" w:sz="4" w:space="0" w:color="000000"/>
              <w:right w:val="single" w:sz="4" w:space="0" w:color="000000"/>
            </w:tcBorders>
            <w:shd w:color="auto" w:fill="BFBFBF" w:val="clear"/>
          </w:tcPr>
          <w:p>
            <w:pPr>
              <w:pStyle w:val="Normal"/>
              <w:spacing w:before="0" w:after="160"/>
              <w:rPr>
                <w:rFonts w:ascii="Calibri" w:hAnsi="Calibri"/>
                <w:sz w:val="24"/>
                <w:szCs w:val="24"/>
              </w:rPr>
            </w:pPr>
            <w:r>
              <w:rPr>
                <w:sz w:val="24"/>
                <w:szCs w:val="24"/>
              </w:rPr>
              <w:t>0.974</w:t>
            </w:r>
          </w:p>
        </w:tc>
        <w:tc>
          <w:tcPr>
            <w:tcW w:w="1161" w:type="dxa"/>
            <w:tcBorders>
              <w:top w:val="single" w:sz="4" w:space="0" w:color="000000"/>
              <w:left w:val="single" w:sz="4" w:space="0" w:color="000000"/>
              <w:bottom w:val="single" w:sz="4" w:space="0" w:color="000000"/>
              <w:right w:val="single" w:sz="4" w:space="0" w:color="000000"/>
            </w:tcBorders>
            <w:shd w:color="auto" w:fill="BFBFBF" w:val="clear"/>
          </w:tcPr>
          <w:p>
            <w:pPr>
              <w:pStyle w:val="Normal"/>
              <w:spacing w:before="0" w:after="160"/>
              <w:rPr>
                <w:rFonts w:ascii="Calibri" w:hAnsi="Calibri"/>
                <w:sz w:val="24"/>
                <w:szCs w:val="24"/>
              </w:rPr>
            </w:pPr>
            <w:r>
              <w:rPr>
                <w:sz w:val="24"/>
                <w:szCs w:val="24"/>
              </w:rPr>
              <w:t>10.355</w:t>
            </w:r>
          </w:p>
        </w:tc>
        <w:tc>
          <w:tcPr>
            <w:tcW w:w="1120" w:type="dxa"/>
            <w:tcBorders>
              <w:top w:val="single" w:sz="4" w:space="0" w:color="000000"/>
              <w:left w:val="single" w:sz="4" w:space="0" w:color="000000"/>
              <w:bottom w:val="single" w:sz="4" w:space="0" w:color="000000"/>
              <w:right w:val="single" w:sz="4" w:space="0" w:color="000000"/>
            </w:tcBorders>
            <w:shd w:color="auto" w:fill="BFBFBF" w:val="clear"/>
          </w:tcPr>
          <w:p>
            <w:pPr>
              <w:pStyle w:val="Normal"/>
              <w:spacing w:before="0" w:after="160"/>
              <w:rPr>
                <w:rFonts w:ascii="Calibri" w:hAnsi="Calibri"/>
                <w:sz w:val="24"/>
                <w:szCs w:val="24"/>
              </w:rPr>
            </w:pPr>
            <w:r>
              <w:rPr>
                <w:sz w:val="24"/>
                <w:szCs w:val="24"/>
              </w:rPr>
              <w:t>0.938</w:t>
            </w:r>
          </w:p>
        </w:tc>
      </w:tr>
      <w:tr>
        <w:trPr>
          <w:trHeight w:val="300" w:hRule="atLeast"/>
        </w:trPr>
        <w:tc>
          <w:tcPr>
            <w:tcW w:w="2740" w:type="dxa"/>
            <w:tcBorders>
              <w:top w:val="single" w:sz="4" w:space="0" w:color="000000"/>
              <w:left w:val="single" w:sz="4" w:space="0" w:color="000000"/>
              <w:bottom w:val="single" w:sz="4" w:space="0" w:color="000000"/>
              <w:right w:val="single" w:sz="4" w:space="0" w:color="000000"/>
            </w:tcBorders>
            <w:shd w:color="auto" w:fill="BFBFBF" w:val="clear"/>
          </w:tcPr>
          <w:p>
            <w:pPr>
              <w:pStyle w:val="Normal"/>
              <w:widowControl w:val="false"/>
              <w:spacing w:lineRule="auto" w:line="276" w:before="0" w:after="160"/>
              <w:jc w:val="both"/>
              <w:rPr>
                <w:rFonts w:ascii="Calibri" w:hAnsi="Calibri"/>
                <w:sz w:val="24"/>
                <w:szCs w:val="24"/>
              </w:rPr>
            </w:pPr>
            <w:r>
              <w:rPr>
                <w:color w:val="000000"/>
                <w:sz w:val="24"/>
                <w:szCs w:val="24"/>
              </w:rPr>
              <w:t>SOL 01418_01514</w:t>
            </w:r>
          </w:p>
        </w:tc>
        <w:tc>
          <w:tcPr>
            <w:tcW w:w="1119" w:type="dxa"/>
            <w:tcBorders>
              <w:top w:val="single" w:sz="4" w:space="0" w:color="000000"/>
              <w:left w:val="single" w:sz="4" w:space="0" w:color="000000"/>
              <w:bottom w:val="single" w:sz="4" w:space="0" w:color="000000"/>
              <w:right w:val="single" w:sz="4" w:space="0" w:color="000000"/>
            </w:tcBorders>
            <w:shd w:color="auto" w:fill="BFBFBF" w:val="clear"/>
          </w:tcPr>
          <w:p>
            <w:pPr>
              <w:pStyle w:val="Normal"/>
              <w:spacing w:before="0" w:after="160"/>
              <w:rPr>
                <w:rFonts w:ascii="Calibri" w:hAnsi="Calibri"/>
                <w:sz w:val="24"/>
                <w:szCs w:val="24"/>
              </w:rPr>
            </w:pPr>
            <w:r>
              <w:rPr>
                <w:sz w:val="24"/>
                <w:szCs w:val="24"/>
              </w:rPr>
              <w:t>10.339</w:t>
            </w:r>
          </w:p>
        </w:tc>
        <w:tc>
          <w:tcPr>
            <w:tcW w:w="1140" w:type="dxa"/>
            <w:tcBorders>
              <w:top w:val="single" w:sz="4" w:space="0" w:color="000000"/>
              <w:left w:val="single" w:sz="4" w:space="0" w:color="000000"/>
              <w:bottom w:val="single" w:sz="4" w:space="0" w:color="000000"/>
              <w:right w:val="single" w:sz="4" w:space="0" w:color="000000"/>
            </w:tcBorders>
            <w:shd w:color="auto" w:fill="BFBFBF" w:val="clear"/>
          </w:tcPr>
          <w:p>
            <w:pPr>
              <w:pStyle w:val="Normal"/>
              <w:spacing w:before="0" w:after="160"/>
              <w:rPr>
                <w:rFonts w:ascii="Calibri" w:hAnsi="Calibri"/>
                <w:sz w:val="24"/>
                <w:szCs w:val="24"/>
              </w:rPr>
            </w:pPr>
            <w:r>
              <w:rPr>
                <w:sz w:val="24"/>
                <w:szCs w:val="24"/>
              </w:rPr>
              <w:t>1.036</w:t>
            </w:r>
          </w:p>
        </w:tc>
        <w:tc>
          <w:tcPr>
            <w:tcW w:w="1161" w:type="dxa"/>
            <w:tcBorders>
              <w:top w:val="single" w:sz="4" w:space="0" w:color="000000"/>
              <w:left w:val="single" w:sz="4" w:space="0" w:color="000000"/>
              <w:bottom w:val="single" w:sz="4" w:space="0" w:color="000000"/>
              <w:right w:val="single" w:sz="4" w:space="0" w:color="000000"/>
            </w:tcBorders>
            <w:shd w:color="auto" w:fill="BFBFBF" w:val="clear"/>
          </w:tcPr>
          <w:p>
            <w:pPr>
              <w:pStyle w:val="Normal"/>
              <w:spacing w:before="0" w:after="160"/>
              <w:rPr>
                <w:rFonts w:ascii="Calibri" w:hAnsi="Calibri"/>
                <w:sz w:val="24"/>
                <w:szCs w:val="24"/>
              </w:rPr>
            </w:pPr>
            <w:r>
              <w:rPr>
                <w:sz w:val="24"/>
                <w:szCs w:val="24"/>
              </w:rPr>
              <w:t>10.571</w:t>
            </w:r>
          </w:p>
        </w:tc>
        <w:tc>
          <w:tcPr>
            <w:tcW w:w="1120" w:type="dxa"/>
            <w:tcBorders>
              <w:top w:val="single" w:sz="4" w:space="0" w:color="000000"/>
              <w:left w:val="single" w:sz="4" w:space="0" w:color="000000"/>
              <w:bottom w:val="single" w:sz="4" w:space="0" w:color="000000"/>
              <w:right w:val="single" w:sz="4" w:space="0" w:color="000000"/>
            </w:tcBorders>
            <w:shd w:color="auto" w:fill="BFBFBF" w:val="clear"/>
          </w:tcPr>
          <w:p>
            <w:pPr>
              <w:pStyle w:val="Normal"/>
              <w:spacing w:before="0" w:after="160"/>
              <w:rPr>
                <w:rFonts w:ascii="Calibri" w:hAnsi="Calibri"/>
                <w:sz w:val="24"/>
                <w:szCs w:val="24"/>
              </w:rPr>
            </w:pPr>
            <w:r>
              <w:rPr>
                <w:sz w:val="24"/>
                <w:szCs w:val="24"/>
              </w:rPr>
              <w:t>1.035</w:t>
            </w:r>
          </w:p>
        </w:tc>
      </w:tr>
      <w:tr>
        <w:trPr>
          <w:trHeight w:val="300" w:hRule="atLeast"/>
        </w:trPr>
        <w:tc>
          <w:tcPr>
            <w:tcW w:w="2740" w:type="dxa"/>
            <w:tcBorders>
              <w:top w:val="single" w:sz="4" w:space="0" w:color="000000"/>
              <w:left w:val="single" w:sz="4" w:space="0" w:color="000000"/>
              <w:bottom w:val="single" w:sz="4" w:space="0" w:color="000000"/>
              <w:right w:val="single" w:sz="4" w:space="0" w:color="000000"/>
            </w:tcBorders>
            <w:shd w:color="auto" w:fill="BFBFBF" w:val="clear"/>
          </w:tcPr>
          <w:p>
            <w:pPr>
              <w:pStyle w:val="Normal"/>
              <w:widowControl w:val="false"/>
              <w:spacing w:lineRule="auto" w:line="276" w:before="0" w:after="160"/>
              <w:jc w:val="both"/>
              <w:rPr>
                <w:rFonts w:ascii="Calibri" w:hAnsi="Calibri"/>
                <w:sz w:val="24"/>
                <w:szCs w:val="24"/>
              </w:rPr>
            </w:pPr>
            <w:r>
              <w:rPr>
                <w:color w:val="000000"/>
                <w:sz w:val="24"/>
                <w:szCs w:val="24"/>
              </w:rPr>
              <w:t>SOL 01515_01648</w:t>
            </w:r>
          </w:p>
        </w:tc>
        <w:tc>
          <w:tcPr>
            <w:tcW w:w="1119" w:type="dxa"/>
            <w:tcBorders>
              <w:top w:val="single" w:sz="4" w:space="0" w:color="000000"/>
              <w:left w:val="single" w:sz="4" w:space="0" w:color="000000"/>
              <w:bottom w:val="single" w:sz="4" w:space="0" w:color="000000"/>
              <w:right w:val="single" w:sz="4" w:space="0" w:color="000000"/>
            </w:tcBorders>
            <w:shd w:color="auto" w:fill="BFBFBF" w:val="clear"/>
          </w:tcPr>
          <w:p>
            <w:pPr>
              <w:pStyle w:val="Normal"/>
              <w:spacing w:before="0" w:after="160"/>
              <w:rPr>
                <w:rFonts w:ascii="Calibri" w:hAnsi="Calibri"/>
                <w:sz w:val="24"/>
                <w:szCs w:val="24"/>
              </w:rPr>
            </w:pPr>
            <w:r>
              <w:rPr>
                <w:sz w:val="24"/>
                <w:szCs w:val="24"/>
              </w:rPr>
              <w:t>10.835</w:t>
            </w:r>
          </w:p>
        </w:tc>
        <w:tc>
          <w:tcPr>
            <w:tcW w:w="1140" w:type="dxa"/>
            <w:tcBorders>
              <w:top w:val="single" w:sz="4" w:space="0" w:color="000000"/>
              <w:left w:val="single" w:sz="4" w:space="0" w:color="000000"/>
              <w:bottom w:val="single" w:sz="4" w:space="0" w:color="000000"/>
              <w:right w:val="single" w:sz="4" w:space="0" w:color="000000"/>
            </w:tcBorders>
            <w:shd w:color="auto" w:fill="BFBFBF" w:val="clear"/>
          </w:tcPr>
          <w:p>
            <w:pPr>
              <w:pStyle w:val="Normal"/>
              <w:spacing w:before="0" w:after="160"/>
              <w:rPr>
                <w:rFonts w:ascii="Calibri" w:hAnsi="Calibri"/>
                <w:sz w:val="24"/>
                <w:szCs w:val="24"/>
              </w:rPr>
            </w:pPr>
            <w:r>
              <w:rPr>
                <w:sz w:val="24"/>
                <w:szCs w:val="24"/>
              </w:rPr>
              <w:t>1.068</w:t>
            </w:r>
          </w:p>
        </w:tc>
        <w:tc>
          <w:tcPr>
            <w:tcW w:w="1161" w:type="dxa"/>
            <w:tcBorders>
              <w:top w:val="single" w:sz="4" w:space="0" w:color="000000"/>
              <w:left w:val="single" w:sz="4" w:space="0" w:color="000000"/>
              <w:bottom w:val="single" w:sz="4" w:space="0" w:color="000000"/>
              <w:right w:val="single" w:sz="4" w:space="0" w:color="000000"/>
            </w:tcBorders>
            <w:shd w:color="auto" w:fill="BFBFBF" w:val="clear"/>
          </w:tcPr>
          <w:p>
            <w:pPr>
              <w:pStyle w:val="Normal"/>
              <w:spacing w:before="0" w:after="160"/>
              <w:rPr>
                <w:rFonts w:ascii="Calibri" w:hAnsi="Calibri"/>
                <w:sz w:val="24"/>
                <w:szCs w:val="24"/>
              </w:rPr>
            </w:pPr>
            <w:r>
              <w:rPr>
                <w:sz w:val="24"/>
                <w:szCs w:val="24"/>
              </w:rPr>
              <w:t>11.318</w:t>
            </w:r>
          </w:p>
        </w:tc>
        <w:tc>
          <w:tcPr>
            <w:tcW w:w="1120" w:type="dxa"/>
            <w:tcBorders>
              <w:top w:val="single" w:sz="4" w:space="0" w:color="000000"/>
              <w:left w:val="single" w:sz="4" w:space="0" w:color="000000"/>
              <w:bottom w:val="single" w:sz="4" w:space="0" w:color="000000"/>
              <w:right w:val="single" w:sz="4" w:space="0" w:color="000000"/>
            </w:tcBorders>
            <w:shd w:color="auto" w:fill="BFBFBF" w:val="clear"/>
          </w:tcPr>
          <w:p>
            <w:pPr>
              <w:pStyle w:val="Normal"/>
              <w:spacing w:before="0" w:after="160"/>
              <w:rPr>
                <w:rFonts w:ascii="Calibri" w:hAnsi="Calibri"/>
                <w:sz w:val="24"/>
                <w:szCs w:val="24"/>
              </w:rPr>
            </w:pPr>
            <w:r>
              <w:rPr>
                <w:sz w:val="24"/>
                <w:szCs w:val="24"/>
              </w:rPr>
              <w:t>1.043</w:t>
            </w:r>
          </w:p>
        </w:tc>
      </w:tr>
      <w:tr>
        <w:trPr>
          <w:trHeight w:val="300" w:hRule="atLeast"/>
        </w:trPr>
        <w:tc>
          <w:tcPr>
            <w:tcW w:w="2740" w:type="dxa"/>
            <w:tcBorders>
              <w:top w:val="single" w:sz="4" w:space="0" w:color="000000"/>
              <w:left w:val="single" w:sz="4" w:space="0" w:color="000000"/>
              <w:bottom w:val="single" w:sz="4" w:space="0" w:color="000000"/>
              <w:right w:val="single" w:sz="4" w:space="0" w:color="000000"/>
            </w:tcBorders>
            <w:shd w:color="auto" w:fill="BFBFBF" w:val="clear"/>
          </w:tcPr>
          <w:p>
            <w:pPr>
              <w:pStyle w:val="Normal"/>
              <w:spacing w:before="0" w:after="160"/>
              <w:rPr>
                <w:rFonts w:ascii="Calibri" w:hAnsi="Calibri"/>
                <w:sz w:val="24"/>
                <w:szCs w:val="24"/>
              </w:rPr>
            </w:pPr>
            <w:r>
              <w:rPr>
                <w:sz w:val="24"/>
                <w:szCs w:val="24"/>
              </w:rPr>
              <w:t>SOL 01649_01772</w:t>
            </w:r>
          </w:p>
        </w:tc>
        <w:tc>
          <w:tcPr>
            <w:tcW w:w="1119" w:type="dxa"/>
            <w:tcBorders>
              <w:top w:val="single" w:sz="4" w:space="0" w:color="000000"/>
              <w:left w:val="single" w:sz="4" w:space="0" w:color="000000"/>
              <w:bottom w:val="single" w:sz="4" w:space="0" w:color="000000"/>
              <w:right w:val="single" w:sz="4" w:space="0" w:color="000000"/>
            </w:tcBorders>
            <w:shd w:color="auto" w:fill="BFBFBF" w:val="clear"/>
          </w:tcPr>
          <w:p>
            <w:pPr>
              <w:pStyle w:val="Normal"/>
              <w:spacing w:before="0" w:after="160"/>
              <w:rPr>
                <w:rFonts w:ascii="Calibri" w:hAnsi="Calibri"/>
                <w:sz w:val="24"/>
                <w:szCs w:val="24"/>
              </w:rPr>
            </w:pPr>
            <w:r>
              <w:rPr>
                <w:sz w:val="24"/>
                <w:szCs w:val="24"/>
              </w:rPr>
              <w:t>11.031</w:t>
            </w:r>
          </w:p>
        </w:tc>
        <w:tc>
          <w:tcPr>
            <w:tcW w:w="1140" w:type="dxa"/>
            <w:tcBorders>
              <w:top w:val="single" w:sz="4" w:space="0" w:color="000000"/>
              <w:left w:val="single" w:sz="4" w:space="0" w:color="000000"/>
              <w:bottom w:val="single" w:sz="4" w:space="0" w:color="000000"/>
              <w:right w:val="single" w:sz="4" w:space="0" w:color="000000"/>
            </w:tcBorders>
            <w:shd w:color="auto" w:fill="BFBFBF" w:val="clear"/>
          </w:tcPr>
          <w:p>
            <w:pPr>
              <w:pStyle w:val="Normal"/>
              <w:spacing w:before="0" w:after="160"/>
              <w:rPr>
                <w:rFonts w:ascii="Calibri" w:hAnsi="Calibri"/>
                <w:sz w:val="24"/>
                <w:szCs w:val="24"/>
              </w:rPr>
            </w:pPr>
            <w:r>
              <w:rPr>
                <w:sz w:val="24"/>
                <w:szCs w:val="24"/>
              </w:rPr>
              <w:t>1.017</w:t>
            </w:r>
          </w:p>
        </w:tc>
        <w:tc>
          <w:tcPr>
            <w:tcW w:w="1161" w:type="dxa"/>
            <w:tcBorders>
              <w:top w:val="single" w:sz="4" w:space="0" w:color="000000"/>
              <w:left w:val="single" w:sz="4" w:space="0" w:color="000000"/>
              <w:bottom w:val="single" w:sz="4" w:space="0" w:color="000000"/>
              <w:right w:val="single" w:sz="4" w:space="0" w:color="000000"/>
            </w:tcBorders>
            <w:shd w:color="auto" w:fill="BFBFBF" w:val="clear"/>
          </w:tcPr>
          <w:p>
            <w:pPr>
              <w:pStyle w:val="Normal"/>
              <w:spacing w:before="0" w:after="160"/>
              <w:rPr>
                <w:rFonts w:ascii="Calibri" w:hAnsi="Calibri"/>
                <w:sz w:val="24"/>
                <w:szCs w:val="24"/>
              </w:rPr>
            </w:pPr>
            <w:r>
              <w:rPr>
                <w:sz w:val="24"/>
                <w:szCs w:val="24"/>
              </w:rPr>
              <w:t>11.656</w:t>
            </w:r>
          </w:p>
        </w:tc>
        <w:tc>
          <w:tcPr>
            <w:tcW w:w="1120" w:type="dxa"/>
            <w:tcBorders>
              <w:top w:val="single" w:sz="4" w:space="0" w:color="000000"/>
              <w:left w:val="single" w:sz="4" w:space="0" w:color="000000"/>
              <w:bottom w:val="single" w:sz="4" w:space="0" w:color="000000"/>
              <w:right w:val="single" w:sz="4" w:space="0" w:color="000000"/>
            </w:tcBorders>
            <w:shd w:color="auto" w:fill="BFBFBF" w:val="clear"/>
          </w:tcPr>
          <w:p>
            <w:pPr>
              <w:pStyle w:val="Normal"/>
              <w:spacing w:before="0" w:after="160"/>
              <w:rPr>
                <w:rFonts w:ascii="Calibri" w:hAnsi="Calibri"/>
                <w:sz w:val="24"/>
                <w:szCs w:val="24"/>
              </w:rPr>
            </w:pPr>
            <w:r>
              <w:rPr>
                <w:sz w:val="24"/>
                <w:szCs w:val="24"/>
              </w:rPr>
              <w:t>1.013</w:t>
            </w:r>
          </w:p>
        </w:tc>
      </w:tr>
      <w:tr>
        <w:trPr>
          <w:trHeight w:val="300" w:hRule="atLeast"/>
        </w:trPr>
        <w:tc>
          <w:tcPr>
            <w:tcW w:w="2740" w:type="dxa"/>
            <w:tcBorders>
              <w:top w:val="single" w:sz="4" w:space="0" w:color="000000"/>
              <w:left w:val="single" w:sz="4" w:space="0" w:color="000000"/>
              <w:bottom w:val="single" w:sz="4" w:space="0" w:color="000000"/>
              <w:right w:val="single" w:sz="4" w:space="0" w:color="000000"/>
            </w:tcBorders>
            <w:shd w:color="auto" w:fill="BFBFBF" w:val="clear"/>
          </w:tcPr>
          <w:p>
            <w:pPr>
              <w:pStyle w:val="Normal"/>
              <w:widowControl w:val="false"/>
              <w:spacing w:lineRule="auto" w:line="276" w:before="0" w:after="160"/>
              <w:jc w:val="both"/>
              <w:rPr>
                <w:rFonts w:ascii="Calibri" w:hAnsi="Calibri"/>
                <w:sz w:val="24"/>
                <w:szCs w:val="24"/>
              </w:rPr>
            </w:pPr>
            <w:r>
              <w:rPr>
                <w:color w:val="000000"/>
                <w:sz w:val="24"/>
                <w:szCs w:val="24"/>
              </w:rPr>
              <w:t>SOL 01773_01869 2017 SPE</w:t>
            </w:r>
          </w:p>
        </w:tc>
        <w:tc>
          <w:tcPr>
            <w:tcW w:w="1119" w:type="dxa"/>
            <w:tcBorders>
              <w:top w:val="single" w:sz="4" w:space="0" w:color="000000"/>
              <w:left w:val="single" w:sz="4" w:space="0" w:color="000000"/>
              <w:bottom w:val="single" w:sz="4" w:space="0" w:color="000000"/>
              <w:right w:val="single" w:sz="4" w:space="0" w:color="000000"/>
            </w:tcBorders>
            <w:shd w:color="auto" w:fill="BFBFBF" w:val="clear"/>
          </w:tcPr>
          <w:p>
            <w:pPr>
              <w:pStyle w:val="Normal"/>
              <w:spacing w:before="0" w:after="160"/>
              <w:rPr>
                <w:rFonts w:ascii="Calibri" w:hAnsi="Calibri"/>
                <w:sz w:val="24"/>
                <w:szCs w:val="24"/>
              </w:rPr>
            </w:pPr>
            <w:r>
              <w:rPr>
                <w:sz w:val="24"/>
                <w:szCs w:val="24"/>
              </w:rPr>
              <w:t>10.641</w:t>
            </w:r>
          </w:p>
        </w:tc>
        <w:tc>
          <w:tcPr>
            <w:tcW w:w="1140" w:type="dxa"/>
            <w:tcBorders>
              <w:top w:val="single" w:sz="4" w:space="0" w:color="000000"/>
              <w:left w:val="single" w:sz="4" w:space="0" w:color="000000"/>
              <w:bottom w:val="single" w:sz="4" w:space="0" w:color="000000"/>
              <w:right w:val="single" w:sz="4" w:space="0" w:color="000000"/>
            </w:tcBorders>
            <w:shd w:color="auto" w:fill="BFBFBF" w:val="clear"/>
          </w:tcPr>
          <w:p>
            <w:pPr>
              <w:pStyle w:val="Normal"/>
              <w:spacing w:before="0" w:after="160"/>
              <w:rPr>
                <w:rFonts w:ascii="Calibri" w:hAnsi="Calibri"/>
                <w:sz w:val="24"/>
                <w:szCs w:val="24"/>
              </w:rPr>
            </w:pPr>
            <w:r>
              <w:rPr>
                <w:sz w:val="24"/>
                <w:szCs w:val="24"/>
              </w:rPr>
              <w:t>1.845</w:t>
            </w:r>
          </w:p>
        </w:tc>
        <w:tc>
          <w:tcPr>
            <w:tcW w:w="1161" w:type="dxa"/>
            <w:tcBorders>
              <w:top w:val="single" w:sz="4" w:space="0" w:color="000000"/>
              <w:left w:val="single" w:sz="4" w:space="0" w:color="000000"/>
              <w:bottom w:val="single" w:sz="4" w:space="0" w:color="000000"/>
              <w:right w:val="single" w:sz="4" w:space="0" w:color="000000"/>
            </w:tcBorders>
            <w:shd w:color="auto" w:fill="BFBFBF" w:val="clear"/>
          </w:tcPr>
          <w:p>
            <w:pPr>
              <w:pStyle w:val="Normal"/>
              <w:spacing w:before="0" w:after="160"/>
              <w:rPr>
                <w:rFonts w:ascii="Calibri" w:hAnsi="Calibri"/>
                <w:sz w:val="24"/>
                <w:szCs w:val="24"/>
              </w:rPr>
            </w:pPr>
            <w:r>
              <w:rPr>
                <w:sz w:val="24"/>
                <w:szCs w:val="24"/>
              </w:rPr>
              <w:t>11.166</w:t>
            </w:r>
          </w:p>
        </w:tc>
        <w:tc>
          <w:tcPr>
            <w:tcW w:w="1120" w:type="dxa"/>
            <w:tcBorders>
              <w:top w:val="single" w:sz="4" w:space="0" w:color="000000"/>
              <w:left w:val="single" w:sz="4" w:space="0" w:color="000000"/>
              <w:bottom w:val="single" w:sz="4" w:space="0" w:color="000000"/>
              <w:right w:val="single" w:sz="4" w:space="0" w:color="000000"/>
            </w:tcBorders>
            <w:shd w:color="auto" w:fill="BFBFBF" w:val="clear"/>
          </w:tcPr>
          <w:p>
            <w:pPr>
              <w:pStyle w:val="Normal"/>
              <w:spacing w:before="0" w:after="160"/>
              <w:rPr>
                <w:rFonts w:ascii="Calibri" w:hAnsi="Calibri"/>
                <w:sz w:val="24"/>
                <w:szCs w:val="24"/>
              </w:rPr>
            </w:pPr>
            <w:r>
              <w:rPr>
                <w:sz w:val="24"/>
                <w:szCs w:val="24"/>
              </w:rPr>
              <w:t>1.738</w:t>
            </w:r>
          </w:p>
        </w:tc>
      </w:tr>
      <w:tr>
        <w:trPr>
          <w:trHeight w:val="300" w:hRule="atLeast"/>
        </w:trPr>
        <w:tc>
          <w:tcPr>
            <w:tcW w:w="2740" w:type="dxa"/>
            <w:tcBorders>
              <w:top w:val="single" w:sz="4" w:space="0" w:color="000000"/>
              <w:left w:val="single" w:sz="4" w:space="0" w:color="000000"/>
              <w:bottom w:val="single" w:sz="4" w:space="0" w:color="000000"/>
              <w:right w:val="single" w:sz="4" w:space="0" w:color="000000"/>
            </w:tcBorders>
            <w:shd w:color="auto" w:fill="BFBFBF" w:val="clear"/>
          </w:tcPr>
          <w:p>
            <w:pPr>
              <w:pStyle w:val="Normal"/>
              <w:widowControl w:val="false"/>
              <w:spacing w:lineRule="auto" w:line="276" w:before="0" w:after="160"/>
              <w:jc w:val="both"/>
              <w:rPr>
                <w:rFonts w:ascii="Calibri" w:hAnsi="Calibri"/>
                <w:sz w:val="24"/>
                <w:szCs w:val="24"/>
              </w:rPr>
            </w:pPr>
            <w:r>
              <w:rPr>
                <w:color w:val="000000"/>
                <w:sz w:val="24"/>
                <w:szCs w:val="24"/>
              </w:rPr>
              <w:t>SOL 01870_02003</w:t>
            </w:r>
          </w:p>
        </w:tc>
        <w:tc>
          <w:tcPr>
            <w:tcW w:w="1119" w:type="dxa"/>
            <w:tcBorders>
              <w:top w:val="single" w:sz="4" w:space="0" w:color="000000"/>
              <w:left w:val="single" w:sz="4" w:space="0" w:color="000000"/>
              <w:bottom w:val="single" w:sz="4" w:space="0" w:color="000000"/>
              <w:right w:val="single" w:sz="4" w:space="0" w:color="000000"/>
            </w:tcBorders>
            <w:shd w:color="auto" w:fill="BFBFBF" w:val="clear"/>
          </w:tcPr>
          <w:p>
            <w:pPr>
              <w:pStyle w:val="Normal"/>
              <w:spacing w:before="0" w:after="160"/>
              <w:rPr>
                <w:rFonts w:ascii="Calibri" w:hAnsi="Calibri"/>
                <w:sz w:val="24"/>
                <w:szCs w:val="24"/>
              </w:rPr>
            </w:pPr>
            <w:r>
              <w:rPr>
                <w:sz w:val="24"/>
                <w:szCs w:val="24"/>
              </w:rPr>
              <w:t>11.184</w:t>
            </w:r>
          </w:p>
        </w:tc>
        <w:tc>
          <w:tcPr>
            <w:tcW w:w="1140" w:type="dxa"/>
            <w:tcBorders>
              <w:top w:val="single" w:sz="4" w:space="0" w:color="000000"/>
              <w:left w:val="single" w:sz="4" w:space="0" w:color="000000"/>
              <w:bottom w:val="single" w:sz="4" w:space="0" w:color="000000"/>
              <w:right w:val="single" w:sz="4" w:space="0" w:color="000000"/>
            </w:tcBorders>
            <w:shd w:color="auto" w:fill="BFBFBF" w:val="clear"/>
          </w:tcPr>
          <w:p>
            <w:pPr>
              <w:pStyle w:val="Normal"/>
              <w:spacing w:before="0" w:after="160"/>
              <w:rPr>
                <w:rFonts w:ascii="Calibri" w:hAnsi="Calibri"/>
                <w:sz w:val="24"/>
                <w:szCs w:val="24"/>
              </w:rPr>
            </w:pPr>
            <w:r>
              <w:rPr>
                <w:sz w:val="24"/>
                <w:szCs w:val="24"/>
              </w:rPr>
              <w:t>1.151</w:t>
            </w:r>
          </w:p>
        </w:tc>
        <w:tc>
          <w:tcPr>
            <w:tcW w:w="1161" w:type="dxa"/>
            <w:tcBorders>
              <w:top w:val="single" w:sz="4" w:space="0" w:color="000000"/>
              <w:left w:val="single" w:sz="4" w:space="0" w:color="000000"/>
              <w:bottom w:val="single" w:sz="4" w:space="0" w:color="000000"/>
              <w:right w:val="single" w:sz="4" w:space="0" w:color="000000"/>
            </w:tcBorders>
            <w:shd w:color="auto" w:fill="BFBFBF" w:val="clear"/>
          </w:tcPr>
          <w:p>
            <w:pPr>
              <w:pStyle w:val="Normal"/>
              <w:spacing w:before="0" w:after="160"/>
              <w:rPr>
                <w:rFonts w:ascii="Calibri" w:hAnsi="Calibri"/>
                <w:sz w:val="24"/>
                <w:szCs w:val="24"/>
              </w:rPr>
            </w:pPr>
            <w:r>
              <w:rPr>
                <w:sz w:val="24"/>
                <w:szCs w:val="24"/>
              </w:rPr>
              <w:t>11.968</w:t>
            </w:r>
          </w:p>
        </w:tc>
        <w:tc>
          <w:tcPr>
            <w:tcW w:w="1120" w:type="dxa"/>
            <w:tcBorders>
              <w:top w:val="single" w:sz="4" w:space="0" w:color="000000"/>
              <w:left w:val="single" w:sz="4" w:space="0" w:color="000000"/>
              <w:bottom w:val="single" w:sz="4" w:space="0" w:color="000000"/>
              <w:right w:val="single" w:sz="4" w:space="0" w:color="000000"/>
            </w:tcBorders>
            <w:shd w:color="auto" w:fill="BFBFBF" w:val="clear"/>
          </w:tcPr>
          <w:p>
            <w:pPr>
              <w:pStyle w:val="Normal"/>
              <w:spacing w:before="0" w:after="160"/>
              <w:rPr>
                <w:rFonts w:ascii="Calibri" w:hAnsi="Calibri"/>
                <w:sz w:val="24"/>
                <w:szCs w:val="24"/>
              </w:rPr>
            </w:pPr>
            <w:r>
              <w:rPr>
                <w:sz w:val="24"/>
                <w:szCs w:val="24"/>
              </w:rPr>
              <w:t>1.155</w:t>
            </w:r>
          </w:p>
        </w:tc>
      </w:tr>
      <w:tr>
        <w:trPr>
          <w:trHeight w:val="300" w:hRule="atLeast"/>
        </w:trPr>
        <w:tc>
          <w:tcPr>
            <w:tcW w:w="2740" w:type="dxa"/>
            <w:tcBorders>
              <w:top w:val="single" w:sz="4" w:space="0" w:color="000000"/>
              <w:left w:val="single" w:sz="4" w:space="0" w:color="000000"/>
              <w:bottom w:val="single" w:sz="4" w:space="0" w:color="000000"/>
              <w:right w:val="single" w:sz="4" w:space="0" w:color="000000"/>
            </w:tcBorders>
            <w:shd w:color="auto" w:fill="BFBFBF" w:val="clear"/>
          </w:tcPr>
          <w:p>
            <w:pPr>
              <w:pStyle w:val="Normal"/>
              <w:widowControl w:val="false"/>
              <w:spacing w:lineRule="auto" w:line="276" w:before="0" w:after="160"/>
              <w:jc w:val="both"/>
              <w:rPr>
                <w:rFonts w:ascii="Calibri" w:hAnsi="Calibri"/>
                <w:sz w:val="24"/>
                <w:szCs w:val="24"/>
              </w:rPr>
            </w:pPr>
            <w:r>
              <w:rPr>
                <w:color w:val="000000"/>
                <w:sz w:val="24"/>
                <w:szCs w:val="24"/>
              </w:rPr>
              <w:t>SOL 02004_02127</w:t>
            </w:r>
          </w:p>
        </w:tc>
        <w:tc>
          <w:tcPr>
            <w:tcW w:w="1119" w:type="dxa"/>
            <w:tcBorders>
              <w:top w:val="single" w:sz="4" w:space="0" w:color="000000"/>
              <w:left w:val="single" w:sz="4" w:space="0" w:color="000000"/>
              <w:bottom w:val="single" w:sz="4" w:space="0" w:color="000000"/>
              <w:right w:val="single" w:sz="4" w:space="0" w:color="000000"/>
            </w:tcBorders>
            <w:shd w:color="auto" w:fill="BFBFBF" w:val="clear"/>
          </w:tcPr>
          <w:p>
            <w:pPr>
              <w:pStyle w:val="Normal"/>
              <w:spacing w:before="0" w:after="160"/>
              <w:rPr>
                <w:rFonts w:ascii="Calibri" w:hAnsi="Calibri"/>
                <w:sz w:val="24"/>
                <w:szCs w:val="24"/>
              </w:rPr>
            </w:pPr>
            <w:r>
              <w:rPr>
                <w:sz w:val="24"/>
                <w:szCs w:val="24"/>
              </w:rPr>
              <w:t>11.304</w:t>
            </w:r>
          </w:p>
        </w:tc>
        <w:tc>
          <w:tcPr>
            <w:tcW w:w="1140" w:type="dxa"/>
            <w:tcBorders>
              <w:top w:val="single" w:sz="4" w:space="0" w:color="000000"/>
              <w:left w:val="single" w:sz="4" w:space="0" w:color="000000"/>
              <w:bottom w:val="single" w:sz="4" w:space="0" w:color="000000"/>
              <w:right w:val="single" w:sz="4" w:space="0" w:color="000000"/>
            </w:tcBorders>
            <w:shd w:color="auto" w:fill="BFBFBF" w:val="clear"/>
          </w:tcPr>
          <w:p>
            <w:pPr>
              <w:pStyle w:val="Normal"/>
              <w:spacing w:before="0" w:after="160"/>
              <w:rPr>
                <w:rFonts w:ascii="Calibri" w:hAnsi="Calibri"/>
                <w:sz w:val="24"/>
                <w:szCs w:val="24"/>
              </w:rPr>
            </w:pPr>
            <w:r>
              <w:rPr>
                <w:sz w:val="24"/>
                <w:szCs w:val="24"/>
              </w:rPr>
              <w:t>1.137</w:t>
            </w:r>
          </w:p>
        </w:tc>
        <w:tc>
          <w:tcPr>
            <w:tcW w:w="1161" w:type="dxa"/>
            <w:tcBorders>
              <w:top w:val="single" w:sz="4" w:space="0" w:color="000000"/>
              <w:left w:val="single" w:sz="4" w:space="0" w:color="000000"/>
              <w:bottom w:val="single" w:sz="4" w:space="0" w:color="000000"/>
              <w:right w:val="single" w:sz="4" w:space="0" w:color="000000"/>
            </w:tcBorders>
            <w:shd w:color="auto" w:fill="BFBFBF" w:val="clear"/>
          </w:tcPr>
          <w:p>
            <w:pPr>
              <w:pStyle w:val="Normal"/>
              <w:spacing w:before="0" w:after="160"/>
              <w:rPr>
                <w:rFonts w:ascii="Calibri" w:hAnsi="Calibri"/>
                <w:sz w:val="24"/>
                <w:szCs w:val="24"/>
              </w:rPr>
            </w:pPr>
            <w:r>
              <w:rPr>
                <w:sz w:val="24"/>
                <w:szCs w:val="24"/>
              </w:rPr>
              <w:t>12.146</w:t>
            </w:r>
          </w:p>
        </w:tc>
        <w:tc>
          <w:tcPr>
            <w:tcW w:w="1120" w:type="dxa"/>
            <w:tcBorders>
              <w:top w:val="single" w:sz="4" w:space="0" w:color="000000"/>
              <w:left w:val="single" w:sz="4" w:space="0" w:color="000000"/>
              <w:bottom w:val="single" w:sz="4" w:space="0" w:color="000000"/>
              <w:right w:val="single" w:sz="4" w:space="0" w:color="000000"/>
            </w:tcBorders>
            <w:shd w:color="auto" w:fill="BFBFBF" w:val="clear"/>
          </w:tcPr>
          <w:p>
            <w:pPr>
              <w:pStyle w:val="Normal"/>
              <w:spacing w:before="0" w:after="160"/>
              <w:rPr>
                <w:rFonts w:ascii="Calibri" w:hAnsi="Calibri"/>
                <w:sz w:val="24"/>
                <w:szCs w:val="24"/>
              </w:rPr>
            </w:pPr>
            <w:r>
              <w:rPr>
                <w:sz w:val="24"/>
                <w:szCs w:val="24"/>
              </w:rPr>
              <w:t>1.154</w:t>
            </w:r>
          </w:p>
        </w:tc>
      </w:tr>
      <w:tr>
        <w:trPr>
          <w:trHeight w:val="300" w:hRule="atLeast"/>
        </w:trPr>
        <w:tc>
          <w:tcPr>
            <w:tcW w:w="2740" w:type="dxa"/>
            <w:tcBorders>
              <w:top w:val="single" w:sz="4" w:space="0" w:color="000000"/>
              <w:left w:val="single" w:sz="4" w:space="0" w:color="000000"/>
              <w:bottom w:val="single" w:sz="4" w:space="0" w:color="000000"/>
              <w:right w:val="single" w:sz="4" w:space="0" w:color="000000"/>
            </w:tcBorders>
            <w:shd w:color="auto" w:fill="BFBFBF" w:val="clear"/>
          </w:tcPr>
          <w:p>
            <w:pPr>
              <w:pStyle w:val="Normal"/>
              <w:widowControl w:val="false"/>
              <w:spacing w:lineRule="auto" w:line="276" w:before="0" w:after="160"/>
              <w:jc w:val="both"/>
              <w:rPr>
                <w:rFonts w:ascii="Calibri" w:hAnsi="Calibri"/>
                <w:sz w:val="24"/>
                <w:szCs w:val="24"/>
              </w:rPr>
            </w:pPr>
            <w:r>
              <w:rPr>
                <w:color w:val="000000"/>
                <w:sz w:val="24"/>
                <w:szCs w:val="24"/>
              </w:rPr>
              <w:t>SOL 02128_02224</w:t>
            </w:r>
          </w:p>
        </w:tc>
        <w:tc>
          <w:tcPr>
            <w:tcW w:w="1119" w:type="dxa"/>
            <w:tcBorders>
              <w:top w:val="single" w:sz="4" w:space="0" w:color="000000"/>
              <w:left w:val="single" w:sz="4" w:space="0" w:color="000000"/>
              <w:bottom w:val="single" w:sz="4" w:space="0" w:color="000000"/>
              <w:right w:val="single" w:sz="4" w:space="0" w:color="000000"/>
            </w:tcBorders>
            <w:shd w:color="auto" w:fill="BFBFBF" w:val="clear"/>
          </w:tcPr>
          <w:p>
            <w:pPr>
              <w:pStyle w:val="Normal"/>
              <w:spacing w:before="0" w:after="160"/>
              <w:rPr>
                <w:rFonts w:ascii="Calibri" w:hAnsi="Calibri"/>
                <w:sz w:val="24"/>
                <w:szCs w:val="24"/>
              </w:rPr>
            </w:pPr>
            <w:r>
              <w:rPr>
                <w:sz w:val="24"/>
                <w:szCs w:val="24"/>
              </w:rPr>
              <w:t>11.328</w:t>
            </w:r>
          </w:p>
        </w:tc>
        <w:tc>
          <w:tcPr>
            <w:tcW w:w="1140" w:type="dxa"/>
            <w:tcBorders>
              <w:top w:val="single" w:sz="4" w:space="0" w:color="000000"/>
              <w:left w:val="single" w:sz="4" w:space="0" w:color="000000"/>
              <w:bottom w:val="single" w:sz="4" w:space="0" w:color="000000"/>
              <w:right w:val="single" w:sz="4" w:space="0" w:color="000000"/>
            </w:tcBorders>
            <w:shd w:color="auto" w:fill="BFBFBF" w:val="clear"/>
          </w:tcPr>
          <w:p>
            <w:pPr>
              <w:pStyle w:val="Normal"/>
              <w:spacing w:before="0" w:after="160"/>
              <w:rPr>
                <w:rFonts w:ascii="Calibri" w:hAnsi="Calibri"/>
                <w:sz w:val="24"/>
                <w:szCs w:val="24"/>
              </w:rPr>
            </w:pPr>
            <w:r>
              <w:rPr>
                <w:sz w:val="24"/>
                <w:szCs w:val="24"/>
              </w:rPr>
              <w:t>1.152</w:t>
            </w:r>
          </w:p>
        </w:tc>
        <w:tc>
          <w:tcPr>
            <w:tcW w:w="1161" w:type="dxa"/>
            <w:tcBorders>
              <w:top w:val="single" w:sz="4" w:space="0" w:color="000000"/>
              <w:left w:val="single" w:sz="4" w:space="0" w:color="000000"/>
              <w:bottom w:val="single" w:sz="4" w:space="0" w:color="000000"/>
              <w:right w:val="single" w:sz="4" w:space="0" w:color="000000"/>
            </w:tcBorders>
            <w:shd w:color="auto" w:fill="BFBFBF" w:val="clear"/>
          </w:tcPr>
          <w:p>
            <w:pPr>
              <w:pStyle w:val="Normal"/>
              <w:spacing w:before="0" w:after="160"/>
              <w:rPr>
                <w:rFonts w:ascii="Calibri" w:hAnsi="Calibri"/>
                <w:sz w:val="24"/>
                <w:szCs w:val="24"/>
              </w:rPr>
            </w:pPr>
            <w:r>
              <w:rPr>
                <w:sz w:val="24"/>
                <w:szCs w:val="24"/>
              </w:rPr>
              <w:t>12.333</w:t>
            </w:r>
          </w:p>
        </w:tc>
        <w:tc>
          <w:tcPr>
            <w:tcW w:w="1120" w:type="dxa"/>
            <w:tcBorders>
              <w:top w:val="single" w:sz="4" w:space="0" w:color="000000"/>
              <w:left w:val="single" w:sz="4" w:space="0" w:color="000000"/>
              <w:bottom w:val="single" w:sz="4" w:space="0" w:color="000000"/>
              <w:right w:val="single" w:sz="4" w:space="0" w:color="000000"/>
            </w:tcBorders>
            <w:shd w:color="auto" w:fill="BFBFBF" w:val="clear"/>
          </w:tcPr>
          <w:p>
            <w:pPr>
              <w:pStyle w:val="Normal"/>
              <w:spacing w:before="0" w:after="160"/>
              <w:rPr>
                <w:rFonts w:ascii="Calibri" w:hAnsi="Calibri"/>
                <w:sz w:val="24"/>
                <w:szCs w:val="24"/>
              </w:rPr>
            </w:pPr>
            <w:r>
              <w:rPr>
                <w:sz w:val="24"/>
                <w:szCs w:val="24"/>
              </w:rPr>
              <w:t>1.183</w:t>
            </w:r>
          </w:p>
        </w:tc>
      </w:tr>
      <w:tr>
        <w:trPr>
          <w:trHeight w:val="300" w:hRule="atLeast"/>
        </w:trPr>
        <w:tc>
          <w:tcPr>
            <w:tcW w:w="2740" w:type="dxa"/>
            <w:tcBorders>
              <w:top w:val="single" w:sz="4" w:space="0" w:color="000000"/>
              <w:left w:val="single" w:sz="4" w:space="0" w:color="000000"/>
              <w:bottom w:val="single" w:sz="4" w:space="0" w:color="000000"/>
              <w:right w:val="single" w:sz="4" w:space="0" w:color="000000"/>
            </w:tcBorders>
            <w:shd w:color="auto" w:fill="BFBFBF" w:val="clear"/>
          </w:tcPr>
          <w:p>
            <w:pPr>
              <w:pStyle w:val="Normal"/>
              <w:widowControl w:val="false"/>
              <w:spacing w:lineRule="auto" w:line="276" w:before="0" w:after="160"/>
              <w:jc w:val="both"/>
              <w:rPr>
                <w:rFonts w:ascii="Calibri" w:hAnsi="Calibri"/>
                <w:sz w:val="24"/>
                <w:szCs w:val="24"/>
              </w:rPr>
            </w:pPr>
            <w:r>
              <w:rPr>
                <w:color w:val="000000"/>
                <w:sz w:val="24"/>
                <w:szCs w:val="24"/>
              </w:rPr>
              <w:t>SOL 02225_02358</w:t>
            </w:r>
          </w:p>
        </w:tc>
        <w:tc>
          <w:tcPr>
            <w:tcW w:w="1119" w:type="dxa"/>
            <w:tcBorders>
              <w:top w:val="single" w:sz="4" w:space="0" w:color="000000"/>
              <w:left w:val="single" w:sz="4" w:space="0" w:color="000000"/>
              <w:bottom w:val="single" w:sz="4" w:space="0" w:color="000000"/>
              <w:right w:val="single" w:sz="4" w:space="0" w:color="000000"/>
            </w:tcBorders>
            <w:shd w:color="auto" w:fill="BFBFBF" w:val="clear"/>
          </w:tcPr>
          <w:p>
            <w:pPr>
              <w:pStyle w:val="Normal"/>
              <w:spacing w:before="0" w:after="160"/>
              <w:rPr>
                <w:rFonts w:ascii="Calibri" w:hAnsi="Calibri"/>
                <w:sz w:val="24"/>
                <w:szCs w:val="24"/>
              </w:rPr>
            </w:pPr>
            <w:r>
              <w:rPr>
                <w:sz w:val="24"/>
                <w:szCs w:val="24"/>
              </w:rPr>
              <w:t>11.540</w:t>
            </w:r>
          </w:p>
        </w:tc>
        <w:tc>
          <w:tcPr>
            <w:tcW w:w="1140" w:type="dxa"/>
            <w:tcBorders>
              <w:top w:val="single" w:sz="4" w:space="0" w:color="000000"/>
              <w:left w:val="single" w:sz="4" w:space="0" w:color="000000"/>
              <w:bottom w:val="single" w:sz="4" w:space="0" w:color="000000"/>
              <w:right w:val="single" w:sz="4" w:space="0" w:color="000000"/>
            </w:tcBorders>
            <w:shd w:color="auto" w:fill="BFBFBF" w:val="clear"/>
          </w:tcPr>
          <w:p>
            <w:pPr>
              <w:pStyle w:val="Normal"/>
              <w:spacing w:before="0" w:after="160"/>
              <w:rPr>
                <w:rFonts w:ascii="Calibri" w:hAnsi="Calibri"/>
                <w:sz w:val="24"/>
                <w:szCs w:val="24"/>
              </w:rPr>
            </w:pPr>
            <w:r>
              <w:rPr>
                <w:sz w:val="24"/>
                <w:szCs w:val="24"/>
              </w:rPr>
              <w:t>1.043</w:t>
            </w:r>
          </w:p>
        </w:tc>
        <w:tc>
          <w:tcPr>
            <w:tcW w:w="1161" w:type="dxa"/>
            <w:tcBorders>
              <w:top w:val="single" w:sz="4" w:space="0" w:color="000000"/>
              <w:left w:val="single" w:sz="4" w:space="0" w:color="000000"/>
              <w:bottom w:val="single" w:sz="4" w:space="0" w:color="000000"/>
              <w:right w:val="single" w:sz="4" w:space="0" w:color="000000"/>
            </w:tcBorders>
            <w:shd w:color="auto" w:fill="BFBFBF" w:val="clear"/>
          </w:tcPr>
          <w:p>
            <w:pPr>
              <w:pStyle w:val="Normal"/>
              <w:spacing w:before="0" w:after="160"/>
              <w:rPr>
                <w:rFonts w:ascii="Calibri" w:hAnsi="Calibri"/>
                <w:sz w:val="24"/>
                <w:szCs w:val="24"/>
              </w:rPr>
            </w:pPr>
            <w:r>
              <w:rPr>
                <w:sz w:val="24"/>
                <w:szCs w:val="24"/>
              </w:rPr>
              <w:t>12.665</w:t>
            </w:r>
          </w:p>
        </w:tc>
        <w:tc>
          <w:tcPr>
            <w:tcW w:w="1120" w:type="dxa"/>
            <w:tcBorders>
              <w:top w:val="single" w:sz="4" w:space="0" w:color="000000"/>
              <w:left w:val="single" w:sz="4" w:space="0" w:color="000000"/>
              <w:bottom w:val="single" w:sz="4" w:space="0" w:color="000000"/>
              <w:right w:val="single" w:sz="4" w:space="0" w:color="000000"/>
            </w:tcBorders>
            <w:shd w:color="auto" w:fill="BFBFBF" w:val="clear"/>
          </w:tcPr>
          <w:p>
            <w:pPr>
              <w:pStyle w:val="Normal"/>
              <w:spacing w:before="0" w:after="160"/>
              <w:rPr>
                <w:rFonts w:ascii="Calibri" w:hAnsi="Calibri"/>
                <w:sz w:val="24"/>
                <w:szCs w:val="24"/>
              </w:rPr>
            </w:pPr>
            <w:r>
              <w:rPr>
                <w:sz w:val="24"/>
                <w:szCs w:val="24"/>
              </w:rPr>
              <w:t>1.057</w:t>
            </w:r>
          </w:p>
        </w:tc>
      </w:tr>
      <w:tr>
        <w:trPr>
          <w:trHeight w:val="300" w:hRule="atLeast"/>
        </w:trPr>
        <w:tc>
          <w:tcPr>
            <w:tcW w:w="2740" w:type="dxa"/>
            <w:tcBorders>
              <w:top w:val="single" w:sz="4" w:space="0" w:color="000000"/>
              <w:left w:val="single" w:sz="4" w:space="0" w:color="000000"/>
              <w:bottom w:val="single" w:sz="4" w:space="0" w:color="000000"/>
              <w:right w:val="single" w:sz="4" w:space="0" w:color="000000"/>
            </w:tcBorders>
            <w:shd w:color="auto" w:fill="BFBFBF" w:val="clear"/>
          </w:tcPr>
          <w:p>
            <w:pPr>
              <w:pStyle w:val="Normal"/>
              <w:widowControl w:val="false"/>
              <w:spacing w:lineRule="auto" w:line="276" w:before="0" w:after="160"/>
              <w:jc w:val="both"/>
              <w:rPr>
                <w:rFonts w:ascii="Calibri" w:hAnsi="Calibri"/>
                <w:sz w:val="24"/>
                <w:szCs w:val="24"/>
              </w:rPr>
            </w:pPr>
            <w:r>
              <w:rPr>
                <w:color w:val="000000"/>
                <w:sz w:val="24"/>
                <w:szCs w:val="24"/>
              </w:rPr>
              <w:t>SOL 02359_02482</w:t>
            </w:r>
          </w:p>
        </w:tc>
        <w:tc>
          <w:tcPr>
            <w:tcW w:w="1119" w:type="dxa"/>
            <w:tcBorders>
              <w:top w:val="single" w:sz="4" w:space="0" w:color="000000"/>
              <w:left w:val="single" w:sz="4" w:space="0" w:color="000000"/>
              <w:bottom w:val="single" w:sz="4" w:space="0" w:color="000000"/>
              <w:right w:val="single" w:sz="4" w:space="0" w:color="000000"/>
            </w:tcBorders>
            <w:shd w:color="auto" w:fill="BFBFBF" w:val="clear"/>
          </w:tcPr>
          <w:p>
            <w:pPr>
              <w:pStyle w:val="Normal"/>
              <w:spacing w:before="0" w:after="160"/>
              <w:rPr>
                <w:rFonts w:ascii="Calibri" w:hAnsi="Calibri"/>
                <w:sz w:val="24"/>
                <w:szCs w:val="24"/>
              </w:rPr>
            </w:pPr>
            <w:r>
              <w:rPr>
                <w:sz w:val="24"/>
                <w:szCs w:val="24"/>
              </w:rPr>
              <w:t>11.555</w:t>
            </w:r>
          </w:p>
        </w:tc>
        <w:tc>
          <w:tcPr>
            <w:tcW w:w="1140" w:type="dxa"/>
            <w:tcBorders>
              <w:top w:val="single" w:sz="4" w:space="0" w:color="000000"/>
              <w:left w:val="single" w:sz="4" w:space="0" w:color="000000"/>
              <w:bottom w:val="single" w:sz="4" w:space="0" w:color="000000"/>
              <w:right w:val="single" w:sz="4" w:space="0" w:color="000000"/>
            </w:tcBorders>
            <w:shd w:color="auto" w:fill="BFBFBF" w:val="clear"/>
          </w:tcPr>
          <w:p>
            <w:pPr>
              <w:pStyle w:val="Normal"/>
              <w:spacing w:before="0" w:after="160"/>
              <w:rPr>
                <w:rFonts w:ascii="Calibri" w:hAnsi="Calibri"/>
                <w:sz w:val="24"/>
                <w:szCs w:val="24"/>
              </w:rPr>
            </w:pPr>
            <w:r>
              <w:rPr>
                <w:sz w:val="24"/>
                <w:szCs w:val="24"/>
              </w:rPr>
              <w:t>1.066</w:t>
            </w:r>
          </w:p>
        </w:tc>
        <w:tc>
          <w:tcPr>
            <w:tcW w:w="1161" w:type="dxa"/>
            <w:tcBorders>
              <w:top w:val="single" w:sz="4" w:space="0" w:color="000000"/>
              <w:left w:val="single" w:sz="4" w:space="0" w:color="000000"/>
              <w:bottom w:val="single" w:sz="4" w:space="0" w:color="000000"/>
              <w:right w:val="single" w:sz="4" w:space="0" w:color="000000"/>
            </w:tcBorders>
            <w:shd w:color="auto" w:fill="BFBFBF" w:val="clear"/>
          </w:tcPr>
          <w:p>
            <w:pPr>
              <w:pStyle w:val="Normal"/>
              <w:spacing w:before="0" w:after="160"/>
              <w:rPr>
                <w:rFonts w:ascii="Calibri" w:hAnsi="Calibri"/>
                <w:sz w:val="24"/>
                <w:szCs w:val="24"/>
              </w:rPr>
            </w:pPr>
            <w:r>
              <w:rPr>
                <w:sz w:val="24"/>
                <w:szCs w:val="24"/>
              </w:rPr>
              <w:t>12.706</w:t>
            </w:r>
          </w:p>
        </w:tc>
        <w:tc>
          <w:tcPr>
            <w:tcW w:w="1120" w:type="dxa"/>
            <w:tcBorders>
              <w:top w:val="single" w:sz="4" w:space="0" w:color="000000"/>
              <w:left w:val="single" w:sz="4" w:space="0" w:color="000000"/>
              <w:bottom w:val="single" w:sz="4" w:space="0" w:color="000000"/>
              <w:right w:val="single" w:sz="4" w:space="0" w:color="000000"/>
            </w:tcBorders>
            <w:shd w:color="auto" w:fill="BFBFBF" w:val="clear"/>
          </w:tcPr>
          <w:p>
            <w:pPr>
              <w:pStyle w:val="Normal"/>
              <w:spacing w:before="0" w:after="160"/>
              <w:rPr>
                <w:rFonts w:ascii="Calibri" w:hAnsi="Calibri"/>
                <w:sz w:val="24"/>
                <w:szCs w:val="24"/>
              </w:rPr>
            </w:pPr>
            <w:r>
              <w:rPr>
                <w:sz w:val="24"/>
                <w:szCs w:val="24"/>
              </w:rPr>
              <w:t>1.067</w:t>
            </w:r>
          </w:p>
        </w:tc>
      </w:tr>
    </w:tbl>
    <w:p>
      <w:pPr>
        <w:pStyle w:val="Normal"/>
        <w:spacing w:lineRule="auto" w:line="480"/>
        <w:rPr/>
      </w:pPr>
      <w:r>
        <w:rPr/>
      </w:r>
    </w:p>
    <w:p>
      <w:pPr>
        <w:pStyle w:val="Normal"/>
        <w:spacing w:lineRule="auto" w:line="480"/>
        <w:rPr>
          <w:rFonts w:ascii="Calibri" w:hAnsi="Calibri"/>
          <w:sz w:val="24"/>
          <w:szCs w:val="24"/>
        </w:rPr>
      </w:pPr>
      <w:r>
        <w:rPr>
          <w:i/>
          <w:sz w:val="24"/>
          <w:szCs w:val="24"/>
        </w:rPr>
        <w:t>Table 2. Descriptive statistics of the combined 13.5-year (SOL 00001-04843) dose-rate series (uGy/hour) for detectors B and E.</w:t>
      </w:r>
    </w:p>
    <w:tbl>
      <w:tblPr>
        <w:tblStyle w:val="Tabelacomgrade"/>
        <w:tblW w:w="8505" w:type="dxa"/>
        <w:jc w:val="left"/>
        <w:tblInd w:w="103" w:type="dxa"/>
        <w:tblLayout w:type="fixed"/>
        <w:tblCellMar>
          <w:top w:w="0" w:type="dxa"/>
          <w:left w:w="108" w:type="dxa"/>
          <w:bottom w:w="0" w:type="dxa"/>
          <w:right w:w="108" w:type="dxa"/>
        </w:tblCellMar>
        <w:tblLook w:val="04a0" w:firstRow="1" w:noVBand="1" w:lastRow="0" w:firstColumn="1" w:lastColumn="0" w:noHBand="0"/>
      </w:tblPr>
      <w:tblGrid>
        <w:gridCol w:w="1063"/>
        <w:gridCol w:w="1063"/>
        <w:gridCol w:w="1063"/>
        <w:gridCol w:w="1063"/>
        <w:gridCol w:w="1063"/>
        <w:gridCol w:w="1063"/>
        <w:gridCol w:w="1063"/>
        <w:gridCol w:w="1064"/>
      </w:tblGrid>
      <w:tr>
        <w:trPr/>
        <w:tc>
          <w:tcPr>
            <w:tcW w:w="1063" w:type="dxa"/>
            <w:tcBorders/>
          </w:tcPr>
          <w:p>
            <w:pPr>
              <w:pStyle w:val="Normal"/>
              <w:spacing w:before="0" w:after="160"/>
              <w:jc w:val="left"/>
              <w:rPr>
                <w:rFonts w:ascii="Calibri" w:hAnsi="Calibri" w:eastAsia="Calibri" w:cs="Calibri"/>
                <w:sz w:val="24"/>
                <w:szCs w:val="24"/>
              </w:rPr>
            </w:pPr>
            <w:r>
              <w:rPr>
                <w:rFonts w:eastAsia="Calibri" w:cs="Calibri"/>
                <w:b/>
                <w:sz w:val="24"/>
                <w:szCs w:val="24"/>
              </w:rPr>
              <w:t>Detector</w:t>
            </w:r>
          </w:p>
        </w:tc>
        <w:tc>
          <w:tcPr>
            <w:tcW w:w="1063" w:type="dxa"/>
            <w:tcBorders/>
          </w:tcPr>
          <w:p>
            <w:pPr>
              <w:pStyle w:val="Normal"/>
              <w:spacing w:before="0" w:after="160"/>
              <w:jc w:val="left"/>
              <w:rPr>
                <w:rFonts w:ascii="Calibri" w:hAnsi="Calibri" w:eastAsia="Calibri" w:cs="Calibri"/>
                <w:sz w:val="24"/>
                <w:szCs w:val="24"/>
              </w:rPr>
            </w:pPr>
            <w:r>
              <w:rPr>
                <w:rFonts w:eastAsia="Calibri" w:cs="Calibri"/>
                <w:b/>
                <w:sz w:val="24"/>
                <w:szCs w:val="24"/>
              </w:rPr>
              <w:t>Min</w:t>
            </w:r>
          </w:p>
        </w:tc>
        <w:tc>
          <w:tcPr>
            <w:tcW w:w="1063" w:type="dxa"/>
            <w:tcBorders/>
          </w:tcPr>
          <w:p>
            <w:pPr>
              <w:pStyle w:val="Normal"/>
              <w:spacing w:before="0" w:after="160"/>
              <w:jc w:val="left"/>
              <w:rPr>
                <w:rFonts w:ascii="Calibri" w:hAnsi="Calibri" w:eastAsia="Calibri" w:cs="Calibri"/>
                <w:sz w:val="24"/>
                <w:szCs w:val="24"/>
              </w:rPr>
            </w:pPr>
            <w:r>
              <w:rPr>
                <w:rFonts w:eastAsia="Calibri" w:cs="Calibri"/>
                <w:b/>
                <w:sz w:val="24"/>
                <w:szCs w:val="24"/>
              </w:rPr>
              <w:t>1st Qu.</w:t>
            </w:r>
          </w:p>
        </w:tc>
        <w:tc>
          <w:tcPr>
            <w:tcW w:w="1063" w:type="dxa"/>
            <w:tcBorders/>
          </w:tcPr>
          <w:p>
            <w:pPr>
              <w:pStyle w:val="Normal"/>
              <w:spacing w:before="0" w:after="160"/>
              <w:jc w:val="left"/>
              <w:rPr>
                <w:rFonts w:ascii="Calibri" w:hAnsi="Calibri" w:eastAsia="Calibri" w:cs="Calibri"/>
                <w:sz w:val="24"/>
                <w:szCs w:val="24"/>
              </w:rPr>
            </w:pPr>
            <w:r>
              <w:rPr>
                <w:rFonts w:eastAsia="Calibri" w:cs="Calibri"/>
                <w:b/>
                <w:sz w:val="24"/>
                <w:szCs w:val="24"/>
              </w:rPr>
              <w:t>Median</w:t>
            </w:r>
          </w:p>
        </w:tc>
        <w:tc>
          <w:tcPr>
            <w:tcW w:w="1063" w:type="dxa"/>
            <w:tcBorders/>
          </w:tcPr>
          <w:p>
            <w:pPr>
              <w:pStyle w:val="Normal"/>
              <w:spacing w:before="0" w:after="160"/>
              <w:jc w:val="left"/>
              <w:rPr>
                <w:rFonts w:ascii="Calibri" w:hAnsi="Calibri" w:eastAsia="Calibri" w:cs="Calibri"/>
                <w:sz w:val="24"/>
                <w:szCs w:val="24"/>
              </w:rPr>
            </w:pPr>
            <w:r>
              <w:rPr>
                <w:rFonts w:eastAsia="Calibri" w:cs="Calibri"/>
                <w:b/>
                <w:sz w:val="24"/>
                <w:szCs w:val="24"/>
              </w:rPr>
              <w:t>Mean</w:t>
            </w:r>
          </w:p>
        </w:tc>
        <w:tc>
          <w:tcPr>
            <w:tcW w:w="1063" w:type="dxa"/>
            <w:tcBorders/>
          </w:tcPr>
          <w:p>
            <w:pPr>
              <w:pStyle w:val="Normal"/>
              <w:spacing w:before="0" w:after="160"/>
              <w:jc w:val="left"/>
              <w:rPr>
                <w:rFonts w:ascii="Calibri" w:hAnsi="Calibri" w:eastAsia="Calibri" w:cs="Calibri"/>
                <w:sz w:val="24"/>
                <w:szCs w:val="24"/>
              </w:rPr>
            </w:pPr>
            <w:r>
              <w:rPr>
                <w:rFonts w:eastAsia="Calibri" w:cs="Calibri"/>
                <w:b/>
                <w:sz w:val="24"/>
                <w:szCs w:val="24"/>
              </w:rPr>
              <w:t>3rd Qu.</w:t>
            </w:r>
          </w:p>
        </w:tc>
        <w:tc>
          <w:tcPr>
            <w:tcW w:w="1063" w:type="dxa"/>
            <w:tcBorders/>
          </w:tcPr>
          <w:p>
            <w:pPr>
              <w:pStyle w:val="Normal"/>
              <w:spacing w:before="0" w:after="160"/>
              <w:jc w:val="left"/>
              <w:rPr>
                <w:rFonts w:ascii="Calibri" w:hAnsi="Calibri" w:eastAsia="Calibri" w:cs="Calibri"/>
                <w:sz w:val="24"/>
                <w:szCs w:val="24"/>
              </w:rPr>
            </w:pPr>
            <w:r>
              <w:rPr>
                <w:rFonts w:eastAsia="Calibri" w:cs="Calibri"/>
                <w:b/>
                <w:sz w:val="24"/>
                <w:szCs w:val="24"/>
              </w:rPr>
              <w:t>Max</w:t>
            </w:r>
          </w:p>
        </w:tc>
        <w:tc>
          <w:tcPr>
            <w:tcW w:w="1064" w:type="dxa"/>
            <w:tcBorders/>
          </w:tcPr>
          <w:p>
            <w:pPr>
              <w:pStyle w:val="Normal"/>
              <w:spacing w:before="0" w:after="160"/>
              <w:jc w:val="left"/>
              <w:rPr>
                <w:rFonts w:ascii="Calibri" w:hAnsi="Calibri" w:eastAsia="Calibri" w:cs="Calibri"/>
                <w:sz w:val="24"/>
                <w:szCs w:val="24"/>
              </w:rPr>
            </w:pPr>
            <w:r>
              <w:rPr>
                <w:rFonts w:eastAsia="Calibri" w:cs="Calibri"/>
                <w:b/>
                <w:sz w:val="24"/>
                <w:szCs w:val="24"/>
              </w:rPr>
              <w:t>SD</w:t>
            </w:r>
          </w:p>
        </w:tc>
      </w:tr>
      <w:tr>
        <w:trPr/>
        <w:tc>
          <w:tcPr>
            <w:tcW w:w="1063" w:type="dxa"/>
            <w:tcBorders/>
          </w:tcPr>
          <w:p>
            <w:pPr>
              <w:pStyle w:val="Normal"/>
              <w:spacing w:before="0" w:after="160"/>
              <w:jc w:val="left"/>
              <w:rPr>
                <w:rFonts w:ascii="Calibri" w:hAnsi="Calibri" w:eastAsia="Calibri" w:cs="Calibri"/>
                <w:sz w:val="24"/>
                <w:szCs w:val="24"/>
              </w:rPr>
            </w:pPr>
            <w:r>
              <w:rPr>
                <w:rFonts w:eastAsia="Calibri" w:cs="Calibri"/>
                <w:sz w:val="24"/>
                <w:szCs w:val="24"/>
              </w:rPr>
              <w:t>B</w:t>
            </w:r>
          </w:p>
        </w:tc>
        <w:tc>
          <w:tcPr>
            <w:tcW w:w="1063" w:type="dxa"/>
            <w:tcBorders/>
          </w:tcPr>
          <w:p>
            <w:pPr>
              <w:pStyle w:val="Normal"/>
              <w:spacing w:before="0" w:after="160"/>
              <w:jc w:val="left"/>
              <w:rPr>
                <w:sz w:val="24"/>
              </w:rPr>
            </w:pPr>
            <w:r>
              <w:rPr>
                <w:sz w:val="24"/>
              </w:rPr>
              <w:t>0.000</w:t>
            </w:r>
          </w:p>
        </w:tc>
        <w:tc>
          <w:tcPr>
            <w:tcW w:w="1063" w:type="dxa"/>
            <w:tcBorders/>
          </w:tcPr>
          <w:p>
            <w:pPr>
              <w:pStyle w:val="Normal"/>
              <w:spacing w:before="0" w:after="160"/>
              <w:jc w:val="left"/>
              <w:rPr>
                <w:sz w:val="24"/>
              </w:rPr>
            </w:pPr>
            <w:r>
              <w:rPr>
                <w:sz w:val="24"/>
              </w:rPr>
              <w:t>8.386</w:t>
            </w:r>
          </w:p>
        </w:tc>
        <w:tc>
          <w:tcPr>
            <w:tcW w:w="1063" w:type="dxa"/>
            <w:tcBorders/>
          </w:tcPr>
          <w:p>
            <w:pPr>
              <w:pStyle w:val="Normal"/>
              <w:spacing w:before="0" w:after="160"/>
              <w:jc w:val="left"/>
              <w:rPr>
                <w:sz w:val="24"/>
              </w:rPr>
            </w:pPr>
            <w:r>
              <w:rPr>
                <w:sz w:val="24"/>
              </w:rPr>
              <w:t>10.185</w:t>
            </w:r>
          </w:p>
        </w:tc>
        <w:tc>
          <w:tcPr>
            <w:tcW w:w="1063" w:type="dxa"/>
            <w:tcBorders/>
          </w:tcPr>
          <w:p>
            <w:pPr>
              <w:pStyle w:val="Normal"/>
              <w:spacing w:before="0" w:after="160"/>
              <w:jc w:val="left"/>
              <w:rPr>
                <w:sz w:val="24"/>
              </w:rPr>
            </w:pPr>
            <w:r>
              <w:rPr>
                <w:sz w:val="24"/>
              </w:rPr>
              <w:t>9.774</w:t>
            </w:r>
          </w:p>
        </w:tc>
        <w:tc>
          <w:tcPr>
            <w:tcW w:w="1063" w:type="dxa"/>
            <w:tcBorders/>
          </w:tcPr>
          <w:p>
            <w:pPr>
              <w:pStyle w:val="Normal"/>
              <w:spacing w:before="0" w:after="160"/>
              <w:jc w:val="left"/>
              <w:rPr>
                <w:sz w:val="24"/>
              </w:rPr>
            </w:pPr>
            <w:r>
              <w:rPr>
                <w:sz w:val="24"/>
              </w:rPr>
              <w:t>11.304</w:t>
            </w:r>
          </w:p>
        </w:tc>
        <w:tc>
          <w:tcPr>
            <w:tcW w:w="1063" w:type="dxa"/>
            <w:tcBorders/>
          </w:tcPr>
          <w:p>
            <w:pPr>
              <w:pStyle w:val="Normal"/>
              <w:spacing w:before="0" w:after="160"/>
              <w:jc w:val="left"/>
              <w:rPr>
                <w:sz w:val="24"/>
              </w:rPr>
            </w:pPr>
            <w:r>
              <w:rPr>
                <w:sz w:val="24"/>
              </w:rPr>
              <w:t>308.487</w:t>
            </w:r>
          </w:p>
        </w:tc>
        <w:tc>
          <w:tcPr>
            <w:tcW w:w="1064" w:type="dxa"/>
            <w:tcBorders/>
          </w:tcPr>
          <w:p>
            <w:pPr>
              <w:pStyle w:val="Normal"/>
              <w:spacing w:before="0" w:after="160"/>
              <w:jc w:val="left"/>
              <w:rPr>
                <w:sz w:val="24"/>
              </w:rPr>
            </w:pPr>
            <w:r>
              <w:rPr>
                <w:sz w:val="24"/>
              </w:rPr>
              <w:t>2.566</w:t>
            </w:r>
          </w:p>
        </w:tc>
      </w:tr>
      <w:tr>
        <w:trPr/>
        <w:tc>
          <w:tcPr>
            <w:tcW w:w="1063" w:type="dxa"/>
            <w:tcBorders/>
          </w:tcPr>
          <w:p>
            <w:pPr>
              <w:pStyle w:val="Normal"/>
              <w:spacing w:before="0" w:after="160"/>
              <w:jc w:val="left"/>
              <w:rPr>
                <w:rFonts w:ascii="Calibri" w:hAnsi="Calibri" w:eastAsia="Calibri" w:cs="Calibri"/>
                <w:sz w:val="24"/>
                <w:szCs w:val="24"/>
              </w:rPr>
            </w:pPr>
            <w:r>
              <w:rPr>
                <w:rFonts w:eastAsia="Calibri" w:cs="Calibri"/>
                <w:sz w:val="24"/>
                <w:szCs w:val="24"/>
              </w:rPr>
              <w:t>E</w:t>
            </w:r>
          </w:p>
        </w:tc>
        <w:tc>
          <w:tcPr>
            <w:tcW w:w="1063" w:type="dxa"/>
            <w:tcBorders/>
          </w:tcPr>
          <w:p>
            <w:pPr>
              <w:pStyle w:val="Normal"/>
              <w:spacing w:before="0" w:after="160"/>
              <w:jc w:val="left"/>
              <w:rPr>
                <w:sz w:val="24"/>
              </w:rPr>
            </w:pPr>
            <w:r>
              <w:rPr>
                <w:sz w:val="24"/>
              </w:rPr>
              <w:t>0.000</w:t>
            </w:r>
          </w:p>
        </w:tc>
        <w:tc>
          <w:tcPr>
            <w:tcW w:w="1063" w:type="dxa"/>
            <w:tcBorders/>
          </w:tcPr>
          <w:p>
            <w:pPr>
              <w:pStyle w:val="Normal"/>
              <w:spacing w:before="0" w:after="160"/>
              <w:jc w:val="left"/>
              <w:rPr>
                <w:sz w:val="24"/>
              </w:rPr>
            </w:pPr>
            <w:r>
              <w:rPr>
                <w:sz w:val="24"/>
              </w:rPr>
              <w:t>8.338</w:t>
            </w:r>
          </w:p>
        </w:tc>
        <w:tc>
          <w:tcPr>
            <w:tcW w:w="1063" w:type="dxa"/>
            <w:tcBorders/>
          </w:tcPr>
          <w:p>
            <w:pPr>
              <w:pStyle w:val="Normal"/>
              <w:spacing w:before="0" w:after="160"/>
              <w:jc w:val="left"/>
              <w:rPr>
                <w:sz w:val="24"/>
              </w:rPr>
            </w:pPr>
            <w:r>
              <w:rPr>
                <w:sz w:val="24"/>
              </w:rPr>
              <w:t>10.539</w:t>
            </w:r>
          </w:p>
        </w:tc>
        <w:tc>
          <w:tcPr>
            <w:tcW w:w="1063" w:type="dxa"/>
            <w:tcBorders/>
          </w:tcPr>
          <w:p>
            <w:pPr>
              <w:pStyle w:val="Normal"/>
              <w:spacing w:before="0" w:after="160"/>
              <w:jc w:val="left"/>
              <w:rPr>
                <w:sz w:val="24"/>
              </w:rPr>
            </w:pPr>
            <w:r>
              <w:rPr>
                <w:sz w:val="24"/>
              </w:rPr>
              <w:t>10.127</w:t>
            </w:r>
          </w:p>
        </w:tc>
        <w:tc>
          <w:tcPr>
            <w:tcW w:w="1063" w:type="dxa"/>
            <w:tcBorders/>
          </w:tcPr>
          <w:p>
            <w:pPr>
              <w:pStyle w:val="Normal"/>
              <w:spacing w:before="0" w:after="160"/>
              <w:jc w:val="left"/>
              <w:rPr>
                <w:sz w:val="24"/>
              </w:rPr>
            </w:pPr>
            <w:r>
              <w:rPr>
                <w:sz w:val="24"/>
              </w:rPr>
              <w:t>12.131</w:t>
            </w:r>
          </w:p>
        </w:tc>
        <w:tc>
          <w:tcPr>
            <w:tcW w:w="1063" w:type="dxa"/>
            <w:tcBorders/>
          </w:tcPr>
          <w:p>
            <w:pPr>
              <w:pStyle w:val="Normal"/>
              <w:spacing w:before="0" w:after="160"/>
              <w:jc w:val="left"/>
              <w:rPr>
                <w:sz w:val="24"/>
              </w:rPr>
            </w:pPr>
            <w:r>
              <w:rPr>
                <w:sz w:val="24"/>
              </w:rPr>
              <w:t>351.424</w:t>
            </w:r>
          </w:p>
        </w:tc>
        <w:tc>
          <w:tcPr>
            <w:tcW w:w="1064" w:type="dxa"/>
            <w:tcBorders/>
          </w:tcPr>
          <w:p>
            <w:pPr>
              <w:pStyle w:val="Normal"/>
              <w:spacing w:before="0" w:after="160"/>
              <w:jc w:val="left"/>
              <w:rPr>
                <w:sz w:val="24"/>
              </w:rPr>
            </w:pPr>
            <w:r>
              <w:rPr>
                <w:sz w:val="24"/>
              </w:rPr>
              <w:t>3.061</w:t>
            </w:r>
          </w:p>
        </w:tc>
      </w:tr>
    </w:tbl>
    <w:p>
      <w:pPr>
        <w:pStyle w:val="Normal"/>
        <w:spacing w:lineRule="auto" w:line="480"/>
        <w:rPr/>
      </w:pPr>
      <w:r>
        <w:rPr/>
      </w:r>
    </w:p>
    <w:p>
      <w:pPr>
        <w:pStyle w:val="Normal"/>
        <w:spacing w:lineRule="auto" w:line="480"/>
        <w:rPr/>
      </w:pPr>
      <w:r>
        <w:rPr/>
        <w:t>Table 3. Continuous regression of dose rate against smoothed solar activity (observed SILSO sunspot number) and comparison of seasonal structure (classical-decomposition seasonal/residual ratio) between real REMS pressure (positive control) and the dose-rate regression residual, for detectors B and E (Section 3.4).</w:t>
      </w:r>
    </w:p>
    <w:tbl>
      <w:tblPr>
        <w:tblW w:w="8505" w:type="dxa"/>
        <w:jc w:val="left"/>
        <w:tblInd w:w="108" w:type="dxa"/>
        <w:tblLayout w:type="fixed"/>
        <w:tblCellMar>
          <w:top w:w="0" w:type="dxa"/>
          <w:left w:w="108" w:type="dxa"/>
          <w:bottom w:w="0" w:type="dxa"/>
          <w:right w:w="108" w:type="dxa"/>
        </w:tblCellMar>
        <w:tblLook w:val="04a0" w:firstRow="1" w:noVBand="1" w:lastRow="0" w:firstColumn="1" w:lastColumn="0" w:noHBand="0"/>
      </w:tblPr>
      <w:tblGrid>
        <w:gridCol w:w="1215"/>
        <w:gridCol w:w="1214"/>
        <w:gridCol w:w="1216"/>
        <w:gridCol w:w="1214"/>
        <w:gridCol w:w="1216"/>
        <w:gridCol w:w="1214"/>
        <w:gridCol w:w="1216"/>
      </w:tblGrid>
      <w:tr>
        <w:trPr/>
        <w:tc>
          <w:tcPr>
            <w:tcW w:w="1215" w:type="dxa"/>
            <w:tcBorders/>
          </w:tcPr>
          <w:p>
            <w:pPr>
              <w:pStyle w:val="Normal"/>
              <w:widowControl/>
              <w:suppressAutoHyphens w:val="true"/>
              <w:bidi w:val="0"/>
              <w:spacing w:lineRule="auto" w:line="480" w:before="0" w:after="160"/>
              <w:jc w:val="left"/>
              <w:rPr/>
            </w:pPr>
            <w:r>
              <w:rPr/>
              <w:t>Detector</w:t>
            </w:r>
          </w:p>
        </w:tc>
        <w:tc>
          <w:tcPr>
            <w:tcW w:w="1214" w:type="dxa"/>
            <w:tcBorders/>
          </w:tcPr>
          <w:p>
            <w:pPr>
              <w:pStyle w:val="Normal"/>
              <w:widowControl/>
              <w:suppressAutoHyphens w:val="true"/>
              <w:bidi w:val="0"/>
              <w:spacing w:lineRule="auto" w:line="480" w:before="0" w:after="160"/>
              <w:jc w:val="left"/>
              <w:rPr/>
            </w:pPr>
            <w:r>
              <w:rPr/>
              <w:t>OLS slope</w:t>
              <w:br/>
              <w:t>(uGy/h per SSN)</w:t>
            </w:r>
          </w:p>
        </w:tc>
        <w:tc>
          <w:tcPr>
            <w:tcW w:w="1216" w:type="dxa"/>
            <w:tcBorders/>
          </w:tcPr>
          <w:p>
            <w:pPr>
              <w:pStyle w:val="Normal"/>
              <w:widowControl/>
              <w:suppressAutoHyphens w:val="true"/>
              <w:bidi w:val="0"/>
              <w:spacing w:lineRule="auto" w:line="480" w:before="0" w:after="160"/>
              <w:jc w:val="left"/>
              <w:rPr/>
            </w:pPr>
            <w:r>
              <w:rPr/>
              <w:t>R²</w:t>
            </w:r>
          </w:p>
        </w:tc>
        <w:tc>
          <w:tcPr>
            <w:tcW w:w="1214" w:type="dxa"/>
            <w:tcBorders/>
          </w:tcPr>
          <w:p>
            <w:pPr>
              <w:pStyle w:val="Normal"/>
              <w:widowControl/>
              <w:suppressAutoHyphens w:val="true"/>
              <w:bidi w:val="0"/>
              <w:spacing w:lineRule="auto" w:line="480" w:before="0" w:after="160"/>
              <w:jc w:val="left"/>
              <w:rPr/>
            </w:pPr>
            <w:r>
              <w:rPr/>
              <w:t>HAC p-value</w:t>
            </w:r>
          </w:p>
        </w:tc>
        <w:tc>
          <w:tcPr>
            <w:tcW w:w="1216" w:type="dxa"/>
            <w:tcBorders/>
          </w:tcPr>
          <w:p>
            <w:pPr>
              <w:pStyle w:val="Normal"/>
              <w:widowControl/>
              <w:suppressAutoHyphens w:val="true"/>
              <w:bidi w:val="0"/>
              <w:spacing w:lineRule="auto" w:line="480" w:before="0" w:after="160"/>
              <w:jc w:val="left"/>
              <w:rPr/>
            </w:pPr>
            <w:r>
              <w:rPr/>
              <w:t>Pressure</w:t>
              <w:br/>
              <w:t>seasonal/residual</w:t>
            </w:r>
          </w:p>
        </w:tc>
        <w:tc>
          <w:tcPr>
            <w:tcW w:w="1214" w:type="dxa"/>
            <w:tcBorders/>
          </w:tcPr>
          <w:p>
            <w:pPr>
              <w:pStyle w:val="Normal"/>
              <w:widowControl/>
              <w:suppressAutoHyphens w:val="true"/>
              <w:bidi w:val="0"/>
              <w:spacing w:lineRule="auto" w:line="480" w:before="0" w:after="160"/>
              <w:jc w:val="left"/>
              <w:rPr/>
            </w:pPr>
            <w:r>
              <w:rPr/>
              <w:t>Dose-residual</w:t>
              <w:br/>
              <w:t>seasonal/residual</w:t>
            </w:r>
          </w:p>
        </w:tc>
        <w:tc>
          <w:tcPr>
            <w:tcW w:w="1216" w:type="dxa"/>
            <w:tcBorders/>
          </w:tcPr>
          <w:p>
            <w:pPr>
              <w:pStyle w:val="Normal"/>
              <w:widowControl/>
              <w:suppressAutoHyphens w:val="true"/>
              <w:bidi w:val="0"/>
              <w:spacing w:lineRule="auto" w:line="480" w:before="0" w:after="160"/>
              <w:jc w:val="left"/>
              <w:rPr/>
            </w:pPr>
            <w:r>
              <w:rPr/>
              <w:t>Max |cross-corr|</w:t>
              <w:br/>
              <w:t>(lag, sols)</w:t>
            </w:r>
          </w:p>
        </w:tc>
      </w:tr>
      <w:tr>
        <w:trPr/>
        <w:tc>
          <w:tcPr>
            <w:tcW w:w="1215" w:type="dxa"/>
            <w:tcBorders/>
          </w:tcPr>
          <w:p>
            <w:pPr>
              <w:pStyle w:val="Normal"/>
              <w:widowControl/>
              <w:suppressAutoHyphens w:val="true"/>
              <w:bidi w:val="0"/>
              <w:spacing w:lineRule="auto" w:line="480" w:before="0" w:after="160"/>
              <w:jc w:val="left"/>
              <w:rPr/>
            </w:pPr>
            <w:r>
              <w:rPr/>
              <w:t>B</w:t>
            </w:r>
          </w:p>
        </w:tc>
        <w:tc>
          <w:tcPr>
            <w:tcW w:w="1214" w:type="dxa"/>
            <w:tcBorders/>
          </w:tcPr>
          <w:p>
            <w:pPr>
              <w:pStyle w:val="Normal"/>
              <w:widowControl/>
              <w:suppressAutoHyphens w:val="true"/>
              <w:bidi w:val="0"/>
              <w:spacing w:lineRule="auto" w:line="480" w:before="0" w:after="160"/>
              <w:jc w:val="left"/>
              <w:rPr/>
            </w:pPr>
            <w:r>
              <w:rPr/>
              <w:t>-0.0321</w:t>
            </w:r>
          </w:p>
        </w:tc>
        <w:tc>
          <w:tcPr>
            <w:tcW w:w="1216" w:type="dxa"/>
            <w:tcBorders/>
          </w:tcPr>
          <w:p>
            <w:pPr>
              <w:pStyle w:val="Normal"/>
              <w:widowControl/>
              <w:suppressAutoHyphens w:val="true"/>
              <w:bidi w:val="0"/>
              <w:spacing w:lineRule="auto" w:line="480" w:before="0" w:after="160"/>
              <w:jc w:val="left"/>
              <w:rPr/>
            </w:pPr>
            <w:r>
              <w:rPr/>
              <w:t>0.884</w:t>
            </w:r>
          </w:p>
        </w:tc>
        <w:tc>
          <w:tcPr>
            <w:tcW w:w="1214" w:type="dxa"/>
            <w:tcBorders/>
          </w:tcPr>
          <w:p>
            <w:pPr>
              <w:pStyle w:val="Normal"/>
              <w:widowControl/>
              <w:suppressAutoHyphens w:val="true"/>
              <w:bidi w:val="0"/>
              <w:spacing w:lineRule="auto" w:line="480" w:before="0" w:after="160"/>
              <w:jc w:val="left"/>
              <w:rPr/>
            </w:pPr>
            <w:r>
              <w:rPr/>
              <w:t>1.16e-70</w:t>
            </w:r>
          </w:p>
        </w:tc>
        <w:tc>
          <w:tcPr>
            <w:tcW w:w="1216" w:type="dxa"/>
            <w:tcBorders/>
          </w:tcPr>
          <w:p>
            <w:pPr>
              <w:pStyle w:val="Normal"/>
              <w:widowControl/>
              <w:suppressAutoHyphens w:val="true"/>
              <w:bidi w:val="0"/>
              <w:spacing w:lineRule="auto" w:line="480" w:before="0" w:after="160"/>
              <w:jc w:val="left"/>
              <w:rPr/>
            </w:pPr>
            <w:r>
              <w:rPr/>
              <w:t>9.69</w:t>
            </w:r>
          </w:p>
        </w:tc>
        <w:tc>
          <w:tcPr>
            <w:tcW w:w="1214" w:type="dxa"/>
            <w:tcBorders/>
          </w:tcPr>
          <w:p>
            <w:pPr>
              <w:pStyle w:val="Normal"/>
              <w:widowControl/>
              <w:suppressAutoHyphens w:val="true"/>
              <w:bidi w:val="0"/>
              <w:spacing w:lineRule="auto" w:line="480" w:before="0" w:after="160"/>
              <w:jc w:val="left"/>
              <w:rPr/>
            </w:pPr>
            <w:r>
              <w:rPr/>
              <w:t>0.375</w:t>
            </w:r>
          </w:p>
        </w:tc>
        <w:tc>
          <w:tcPr>
            <w:tcW w:w="1216" w:type="dxa"/>
            <w:tcBorders/>
          </w:tcPr>
          <w:p>
            <w:pPr>
              <w:pStyle w:val="Normal"/>
              <w:widowControl/>
              <w:suppressAutoHyphens w:val="true"/>
              <w:bidi w:val="0"/>
              <w:spacing w:lineRule="auto" w:line="480" w:before="0" w:after="160"/>
              <w:jc w:val="left"/>
              <w:rPr/>
            </w:pPr>
            <w:r>
              <w:rPr/>
              <w:t>0.089 (-390)</w:t>
            </w:r>
          </w:p>
        </w:tc>
      </w:tr>
      <w:tr>
        <w:trPr/>
        <w:tc>
          <w:tcPr>
            <w:tcW w:w="1215" w:type="dxa"/>
            <w:tcBorders/>
          </w:tcPr>
          <w:p>
            <w:pPr>
              <w:pStyle w:val="Normal"/>
              <w:widowControl/>
              <w:suppressAutoHyphens w:val="true"/>
              <w:bidi w:val="0"/>
              <w:spacing w:lineRule="auto" w:line="480" w:before="0" w:after="160"/>
              <w:jc w:val="left"/>
              <w:rPr/>
            </w:pPr>
            <w:r>
              <w:rPr/>
              <w:t>E</w:t>
            </w:r>
          </w:p>
        </w:tc>
        <w:tc>
          <w:tcPr>
            <w:tcW w:w="1214" w:type="dxa"/>
            <w:tcBorders/>
          </w:tcPr>
          <w:p>
            <w:pPr>
              <w:pStyle w:val="Normal"/>
              <w:widowControl/>
              <w:suppressAutoHyphens w:val="true"/>
              <w:bidi w:val="0"/>
              <w:spacing w:lineRule="auto" w:line="480" w:before="0" w:after="160"/>
              <w:jc w:val="left"/>
              <w:rPr/>
            </w:pPr>
            <w:r>
              <w:rPr/>
              <w:t>-0.0431</w:t>
            </w:r>
          </w:p>
        </w:tc>
        <w:tc>
          <w:tcPr>
            <w:tcW w:w="1216" w:type="dxa"/>
            <w:tcBorders/>
          </w:tcPr>
          <w:p>
            <w:pPr>
              <w:pStyle w:val="Normal"/>
              <w:widowControl/>
              <w:suppressAutoHyphens w:val="true"/>
              <w:bidi w:val="0"/>
              <w:spacing w:lineRule="auto" w:line="480" w:before="0" w:after="160"/>
              <w:jc w:val="left"/>
              <w:rPr/>
            </w:pPr>
            <w:r>
              <w:rPr/>
              <w:t>0.879</w:t>
            </w:r>
          </w:p>
        </w:tc>
        <w:tc>
          <w:tcPr>
            <w:tcW w:w="1214" w:type="dxa"/>
            <w:tcBorders/>
          </w:tcPr>
          <w:p>
            <w:pPr>
              <w:pStyle w:val="Normal"/>
              <w:widowControl/>
              <w:suppressAutoHyphens w:val="true"/>
              <w:bidi w:val="0"/>
              <w:spacing w:lineRule="auto" w:line="480" w:before="0" w:after="160"/>
              <w:jc w:val="left"/>
              <w:rPr/>
            </w:pPr>
            <w:r>
              <w:rPr/>
              <w:t>2.44e-66</w:t>
            </w:r>
          </w:p>
        </w:tc>
        <w:tc>
          <w:tcPr>
            <w:tcW w:w="1216" w:type="dxa"/>
            <w:tcBorders/>
          </w:tcPr>
          <w:p>
            <w:pPr>
              <w:pStyle w:val="Normal"/>
              <w:widowControl/>
              <w:suppressAutoHyphens w:val="true"/>
              <w:bidi w:val="0"/>
              <w:spacing w:lineRule="auto" w:line="480" w:before="0" w:after="160"/>
              <w:jc w:val="left"/>
              <w:rPr/>
            </w:pPr>
            <w:r>
              <w:rPr/>
              <w:t>9.69</w:t>
            </w:r>
          </w:p>
        </w:tc>
        <w:tc>
          <w:tcPr>
            <w:tcW w:w="1214" w:type="dxa"/>
            <w:tcBorders/>
          </w:tcPr>
          <w:p>
            <w:pPr>
              <w:pStyle w:val="Normal"/>
              <w:widowControl/>
              <w:suppressAutoHyphens w:val="true"/>
              <w:bidi w:val="0"/>
              <w:spacing w:lineRule="auto" w:line="480" w:before="0" w:after="160"/>
              <w:jc w:val="left"/>
              <w:rPr/>
            </w:pPr>
            <w:r>
              <w:rPr/>
              <w:t>0.317</w:t>
            </w:r>
          </w:p>
        </w:tc>
        <w:tc>
          <w:tcPr>
            <w:tcW w:w="1216" w:type="dxa"/>
            <w:tcBorders/>
          </w:tcPr>
          <w:p>
            <w:pPr>
              <w:pStyle w:val="Normal"/>
              <w:widowControl/>
              <w:suppressAutoHyphens w:val="true"/>
              <w:bidi w:val="0"/>
              <w:spacing w:lineRule="auto" w:line="480" w:before="0" w:after="160"/>
              <w:jc w:val="left"/>
              <w:rPr/>
            </w:pPr>
            <w:r>
              <w:rPr/>
              <w:t>0.146 (-366)</w:t>
            </w:r>
          </w:p>
        </w:tc>
      </w:tr>
    </w:tbl>
    <w:p>
      <w:pPr>
        <w:pStyle w:val="Normal"/>
        <w:spacing w:lineRule="auto" w:line="480"/>
        <w:rPr/>
      </w:pPr>
      <w:r>
        <w:rPr/>
      </w:r>
    </w:p>
    <w:p>
      <w:pPr>
        <w:pStyle w:val="Normal"/>
        <w:spacing w:lineRule="auto" w:line="480"/>
        <w:rPr/>
      </w:pPr>
      <w:r>
        <w:rPr/>
        <w:t>Table 4. Regression of dose rate against the Oulu neutron monitor count rate (a direct physical GCR-modulation proxy), lag-scan result, and hysteresis test comparing the declining phase of solar cycle 24 to the rising phase of cycle 25, for detectors B and E (Section 3.5).</w:t>
      </w:r>
    </w:p>
    <w:tbl>
      <w:tblPr>
        <w:tblW w:w="8505" w:type="dxa"/>
        <w:jc w:val="left"/>
        <w:tblInd w:w="108" w:type="dxa"/>
        <w:tblLayout w:type="fixed"/>
        <w:tblCellMar>
          <w:top w:w="0" w:type="dxa"/>
          <w:left w:w="108" w:type="dxa"/>
          <w:bottom w:w="0" w:type="dxa"/>
          <w:right w:w="108" w:type="dxa"/>
        </w:tblCellMar>
        <w:tblLook w:val="04a0" w:firstRow="1" w:noVBand="1" w:lastRow="0" w:firstColumn="1" w:lastColumn="0" w:noHBand="0"/>
      </w:tblPr>
      <w:tblGrid>
        <w:gridCol w:w="1063"/>
        <w:gridCol w:w="1063"/>
        <w:gridCol w:w="1063"/>
        <w:gridCol w:w="1063"/>
        <w:gridCol w:w="1063"/>
        <w:gridCol w:w="1063"/>
        <w:gridCol w:w="1063"/>
        <w:gridCol w:w="1064"/>
      </w:tblGrid>
      <w:tr>
        <w:trPr/>
        <w:tc>
          <w:tcPr>
            <w:tcW w:w="1063" w:type="dxa"/>
            <w:tcBorders/>
          </w:tcPr>
          <w:p>
            <w:pPr>
              <w:pStyle w:val="Normal"/>
              <w:widowControl/>
              <w:suppressAutoHyphens w:val="true"/>
              <w:bidi w:val="0"/>
              <w:spacing w:lineRule="auto" w:line="480" w:before="0" w:after="160"/>
              <w:jc w:val="left"/>
              <w:rPr/>
            </w:pPr>
            <w:r>
              <w:rPr/>
              <w:t>Detector</w:t>
            </w:r>
          </w:p>
        </w:tc>
        <w:tc>
          <w:tcPr>
            <w:tcW w:w="1063" w:type="dxa"/>
            <w:tcBorders/>
          </w:tcPr>
          <w:p>
            <w:pPr>
              <w:pStyle w:val="Normal"/>
              <w:widowControl/>
              <w:suppressAutoHyphens w:val="true"/>
              <w:bidi w:val="0"/>
              <w:spacing w:lineRule="auto" w:line="480" w:before="0" w:after="160"/>
              <w:jc w:val="left"/>
              <w:rPr/>
            </w:pPr>
            <w:r>
              <w:rPr/>
              <w:t>Slope</w:t>
              <w:br/>
              <w:t>(lag=0)</w:t>
            </w:r>
          </w:p>
        </w:tc>
        <w:tc>
          <w:tcPr>
            <w:tcW w:w="1063" w:type="dxa"/>
            <w:tcBorders/>
          </w:tcPr>
          <w:p>
            <w:pPr>
              <w:pStyle w:val="Normal"/>
              <w:widowControl/>
              <w:suppressAutoHyphens w:val="true"/>
              <w:bidi w:val="0"/>
              <w:spacing w:lineRule="auto" w:line="480" w:before="0" w:after="160"/>
              <w:jc w:val="left"/>
              <w:rPr/>
            </w:pPr>
            <w:r>
              <w:rPr/>
              <w:t>R²</w:t>
              <w:br/>
              <w:t>(lag=0)</w:t>
            </w:r>
          </w:p>
        </w:tc>
        <w:tc>
          <w:tcPr>
            <w:tcW w:w="1063" w:type="dxa"/>
            <w:tcBorders/>
          </w:tcPr>
          <w:p>
            <w:pPr>
              <w:pStyle w:val="Normal"/>
              <w:widowControl/>
              <w:suppressAutoHyphens w:val="true"/>
              <w:bidi w:val="0"/>
              <w:spacing w:lineRule="auto" w:line="480" w:before="0" w:after="160"/>
              <w:jc w:val="left"/>
              <w:rPr/>
            </w:pPr>
            <w:r>
              <w:rPr/>
              <w:t>HAC p</w:t>
              <w:br/>
              <w:t>(lag=0)</w:t>
            </w:r>
          </w:p>
        </w:tc>
        <w:tc>
          <w:tcPr>
            <w:tcW w:w="1063" w:type="dxa"/>
            <w:tcBorders/>
          </w:tcPr>
          <w:p>
            <w:pPr>
              <w:pStyle w:val="Normal"/>
              <w:widowControl/>
              <w:suppressAutoHyphens w:val="true"/>
              <w:bidi w:val="0"/>
              <w:spacing w:lineRule="auto" w:line="480" w:before="0" w:after="160"/>
              <w:jc w:val="left"/>
              <w:rPr/>
            </w:pPr>
            <w:r>
              <w:rPr/>
              <w:t>Best lag</w:t>
              <w:br/>
              <w:t>(sols)</w:t>
            </w:r>
          </w:p>
        </w:tc>
        <w:tc>
          <w:tcPr>
            <w:tcW w:w="1063" w:type="dxa"/>
            <w:tcBorders/>
          </w:tcPr>
          <w:p>
            <w:pPr>
              <w:pStyle w:val="Normal"/>
              <w:widowControl/>
              <w:suppressAutoHyphens w:val="true"/>
              <w:bidi w:val="0"/>
              <w:spacing w:lineRule="auto" w:line="480" w:before="0" w:after="160"/>
              <w:jc w:val="left"/>
              <w:rPr/>
            </w:pPr>
            <w:r>
              <w:rPr/>
              <w:t>Declining-phase</w:t>
              <w:br/>
              <w:t>slope</w:t>
            </w:r>
          </w:p>
        </w:tc>
        <w:tc>
          <w:tcPr>
            <w:tcW w:w="1063" w:type="dxa"/>
            <w:tcBorders/>
          </w:tcPr>
          <w:p>
            <w:pPr>
              <w:pStyle w:val="Normal"/>
              <w:widowControl/>
              <w:suppressAutoHyphens w:val="true"/>
              <w:bidi w:val="0"/>
              <w:spacing w:lineRule="auto" w:line="480" w:before="0" w:after="160"/>
              <w:jc w:val="left"/>
              <w:rPr/>
            </w:pPr>
            <w:r>
              <w:rPr/>
              <w:t>Rising-phase</w:t>
              <w:br/>
              <w:t>slope</w:t>
            </w:r>
          </w:p>
        </w:tc>
        <w:tc>
          <w:tcPr>
            <w:tcW w:w="1064" w:type="dxa"/>
            <w:tcBorders/>
          </w:tcPr>
          <w:p>
            <w:pPr>
              <w:pStyle w:val="Normal"/>
              <w:widowControl/>
              <w:suppressAutoHyphens w:val="true"/>
              <w:bidi w:val="0"/>
              <w:spacing w:lineRule="auto" w:line="480" w:before="0" w:after="160"/>
              <w:jc w:val="left"/>
              <w:rPr/>
            </w:pPr>
            <w:r>
              <w:rPr/>
              <w:t>Slope diff.</w:t>
              <w:br/>
              <w:t>HAC p</w:t>
            </w:r>
          </w:p>
        </w:tc>
      </w:tr>
      <w:tr>
        <w:trPr/>
        <w:tc>
          <w:tcPr>
            <w:tcW w:w="1063" w:type="dxa"/>
            <w:tcBorders/>
          </w:tcPr>
          <w:p>
            <w:pPr>
              <w:pStyle w:val="Normal"/>
              <w:widowControl/>
              <w:suppressAutoHyphens w:val="true"/>
              <w:bidi w:val="0"/>
              <w:spacing w:lineRule="auto" w:line="480" w:before="0" w:after="160"/>
              <w:jc w:val="left"/>
              <w:rPr/>
            </w:pPr>
            <w:r>
              <w:rPr/>
              <w:t>B</w:t>
            </w:r>
          </w:p>
        </w:tc>
        <w:tc>
          <w:tcPr>
            <w:tcW w:w="1063" w:type="dxa"/>
            <w:tcBorders/>
          </w:tcPr>
          <w:p>
            <w:pPr>
              <w:pStyle w:val="Normal"/>
              <w:widowControl/>
              <w:suppressAutoHyphens w:val="true"/>
              <w:bidi w:val="0"/>
              <w:spacing w:lineRule="auto" w:line="480" w:before="0" w:after="160"/>
              <w:jc w:val="left"/>
              <w:rPr/>
            </w:pPr>
            <w:r>
              <w:rPr/>
              <w:t>0.354</w:t>
            </w:r>
          </w:p>
        </w:tc>
        <w:tc>
          <w:tcPr>
            <w:tcW w:w="1063" w:type="dxa"/>
            <w:tcBorders/>
          </w:tcPr>
          <w:p>
            <w:pPr>
              <w:pStyle w:val="Normal"/>
              <w:widowControl/>
              <w:suppressAutoHyphens w:val="true"/>
              <w:bidi w:val="0"/>
              <w:spacing w:lineRule="auto" w:line="480" w:before="0" w:after="160"/>
              <w:jc w:val="left"/>
              <w:rPr/>
            </w:pPr>
            <w:r>
              <w:rPr/>
              <w:t>0.946</w:t>
            </w:r>
          </w:p>
        </w:tc>
        <w:tc>
          <w:tcPr>
            <w:tcW w:w="1063" w:type="dxa"/>
            <w:tcBorders/>
          </w:tcPr>
          <w:p>
            <w:pPr>
              <w:pStyle w:val="Normal"/>
              <w:widowControl/>
              <w:suppressAutoHyphens w:val="true"/>
              <w:bidi w:val="0"/>
              <w:spacing w:lineRule="auto" w:line="480" w:before="0" w:after="160"/>
              <w:jc w:val="left"/>
              <w:rPr/>
            </w:pPr>
            <w:r>
              <w:rPr/>
              <w:t>1.69e-91</w:t>
            </w:r>
          </w:p>
        </w:tc>
        <w:tc>
          <w:tcPr>
            <w:tcW w:w="1063" w:type="dxa"/>
            <w:tcBorders/>
          </w:tcPr>
          <w:p>
            <w:pPr>
              <w:pStyle w:val="Normal"/>
              <w:widowControl/>
              <w:suppressAutoHyphens w:val="true"/>
              <w:bidi w:val="0"/>
              <w:spacing w:lineRule="auto" w:line="480" w:before="0" w:after="160"/>
              <w:jc w:val="left"/>
              <w:rPr/>
            </w:pPr>
            <w:r>
              <w:rPr/>
              <w:t>+5</w:t>
            </w:r>
          </w:p>
        </w:tc>
        <w:tc>
          <w:tcPr>
            <w:tcW w:w="1063" w:type="dxa"/>
            <w:tcBorders/>
          </w:tcPr>
          <w:p>
            <w:pPr>
              <w:pStyle w:val="Normal"/>
              <w:widowControl/>
              <w:suppressAutoHyphens w:val="true"/>
              <w:bidi w:val="0"/>
              <w:spacing w:lineRule="auto" w:line="480" w:before="0" w:after="160"/>
              <w:jc w:val="left"/>
              <w:rPr/>
            </w:pPr>
            <w:r>
              <w:rPr/>
              <w:t>0.306</w:t>
            </w:r>
          </w:p>
        </w:tc>
        <w:tc>
          <w:tcPr>
            <w:tcW w:w="1063" w:type="dxa"/>
            <w:tcBorders/>
          </w:tcPr>
          <w:p>
            <w:pPr>
              <w:pStyle w:val="Normal"/>
              <w:widowControl/>
              <w:suppressAutoHyphens w:val="true"/>
              <w:bidi w:val="0"/>
              <w:spacing w:lineRule="auto" w:line="480" w:before="0" w:after="160"/>
              <w:jc w:val="left"/>
              <w:rPr/>
            </w:pPr>
            <w:r>
              <w:rPr/>
              <w:t>0.372</w:t>
            </w:r>
          </w:p>
        </w:tc>
        <w:tc>
          <w:tcPr>
            <w:tcW w:w="1064" w:type="dxa"/>
            <w:tcBorders/>
          </w:tcPr>
          <w:p>
            <w:pPr>
              <w:pStyle w:val="Normal"/>
              <w:widowControl/>
              <w:suppressAutoHyphens w:val="true"/>
              <w:bidi w:val="0"/>
              <w:spacing w:lineRule="auto" w:line="480" w:before="0" w:after="160"/>
              <w:jc w:val="left"/>
              <w:rPr/>
            </w:pPr>
            <w:r>
              <w:rPr/>
              <w:t>3.9e-7</w:t>
            </w:r>
          </w:p>
        </w:tc>
      </w:tr>
      <w:tr>
        <w:trPr/>
        <w:tc>
          <w:tcPr>
            <w:tcW w:w="1063" w:type="dxa"/>
            <w:tcBorders/>
          </w:tcPr>
          <w:p>
            <w:pPr>
              <w:pStyle w:val="Normal"/>
              <w:widowControl/>
              <w:suppressAutoHyphens w:val="true"/>
              <w:bidi w:val="0"/>
              <w:spacing w:lineRule="auto" w:line="480" w:before="0" w:after="160"/>
              <w:jc w:val="left"/>
              <w:rPr/>
            </w:pPr>
            <w:r>
              <w:rPr/>
              <w:t>E</w:t>
            </w:r>
          </w:p>
        </w:tc>
        <w:tc>
          <w:tcPr>
            <w:tcW w:w="1063" w:type="dxa"/>
            <w:tcBorders/>
          </w:tcPr>
          <w:p>
            <w:pPr>
              <w:pStyle w:val="Normal"/>
              <w:widowControl/>
              <w:suppressAutoHyphens w:val="true"/>
              <w:bidi w:val="0"/>
              <w:spacing w:lineRule="auto" w:line="480" w:before="0" w:after="160"/>
              <w:jc w:val="left"/>
              <w:rPr/>
            </w:pPr>
            <w:r>
              <w:rPr/>
              <w:t>0.480</w:t>
            </w:r>
          </w:p>
        </w:tc>
        <w:tc>
          <w:tcPr>
            <w:tcW w:w="1063" w:type="dxa"/>
            <w:tcBorders/>
          </w:tcPr>
          <w:p>
            <w:pPr>
              <w:pStyle w:val="Normal"/>
              <w:widowControl/>
              <w:suppressAutoHyphens w:val="true"/>
              <w:bidi w:val="0"/>
              <w:spacing w:lineRule="auto" w:line="480" w:before="0" w:after="160"/>
              <w:jc w:val="left"/>
              <w:rPr/>
            </w:pPr>
            <w:r>
              <w:rPr/>
              <w:t>0.958</w:t>
            </w:r>
          </w:p>
        </w:tc>
        <w:tc>
          <w:tcPr>
            <w:tcW w:w="1063" w:type="dxa"/>
            <w:tcBorders/>
          </w:tcPr>
          <w:p>
            <w:pPr>
              <w:pStyle w:val="Normal"/>
              <w:widowControl/>
              <w:suppressAutoHyphens w:val="true"/>
              <w:bidi w:val="0"/>
              <w:spacing w:lineRule="auto" w:line="480" w:before="0" w:after="160"/>
              <w:jc w:val="left"/>
              <w:rPr/>
            </w:pPr>
            <w:r>
              <w:rPr/>
              <w:t>5.56e-161</w:t>
            </w:r>
          </w:p>
        </w:tc>
        <w:tc>
          <w:tcPr>
            <w:tcW w:w="1063" w:type="dxa"/>
            <w:tcBorders/>
          </w:tcPr>
          <w:p>
            <w:pPr>
              <w:pStyle w:val="Normal"/>
              <w:widowControl/>
              <w:suppressAutoHyphens w:val="true"/>
              <w:bidi w:val="0"/>
              <w:spacing w:lineRule="auto" w:line="480" w:before="0" w:after="160"/>
              <w:jc w:val="left"/>
              <w:rPr/>
            </w:pPr>
            <w:r>
              <w:rPr/>
              <w:t>+10</w:t>
            </w:r>
          </w:p>
        </w:tc>
        <w:tc>
          <w:tcPr>
            <w:tcW w:w="1063" w:type="dxa"/>
            <w:tcBorders/>
          </w:tcPr>
          <w:p>
            <w:pPr>
              <w:pStyle w:val="Normal"/>
              <w:widowControl/>
              <w:suppressAutoHyphens w:val="true"/>
              <w:bidi w:val="0"/>
              <w:spacing w:lineRule="auto" w:line="480" w:before="0" w:after="160"/>
              <w:jc w:val="left"/>
              <w:rPr/>
            </w:pPr>
            <w:r>
              <w:rPr/>
              <w:t>0.435</w:t>
            </w:r>
          </w:p>
        </w:tc>
        <w:tc>
          <w:tcPr>
            <w:tcW w:w="1063" w:type="dxa"/>
            <w:tcBorders/>
          </w:tcPr>
          <w:p>
            <w:pPr>
              <w:pStyle w:val="Normal"/>
              <w:widowControl/>
              <w:suppressAutoHyphens w:val="true"/>
              <w:bidi w:val="0"/>
              <w:spacing w:lineRule="auto" w:line="480" w:before="0" w:after="160"/>
              <w:jc w:val="left"/>
              <w:rPr/>
            </w:pPr>
            <w:r>
              <w:rPr/>
              <w:t>0.500</w:t>
            </w:r>
          </w:p>
        </w:tc>
        <w:tc>
          <w:tcPr>
            <w:tcW w:w="1064" w:type="dxa"/>
            <w:tcBorders/>
          </w:tcPr>
          <w:p>
            <w:pPr>
              <w:pStyle w:val="Normal"/>
              <w:widowControl/>
              <w:suppressAutoHyphens w:val="true"/>
              <w:bidi w:val="0"/>
              <w:spacing w:lineRule="auto" w:line="480" w:before="0" w:after="160"/>
              <w:jc w:val="left"/>
              <w:rPr/>
            </w:pPr>
            <w:r>
              <w:rPr/>
              <w:t>1.7e-3</w:t>
            </w:r>
          </w:p>
        </w:tc>
      </w:tr>
    </w:tbl>
    <w:p>
      <w:pPr>
        <w:pStyle w:val="Normal"/>
        <w:spacing w:lineRule="auto" w:line="480"/>
        <w:rPr/>
      </w:pPr>
      <w:r>
        <w:rPr/>
      </w:r>
    </w:p>
    <w:p>
      <w:pPr>
        <w:pStyle w:val="Normal"/>
        <w:spacing w:lineRule="auto" w:line="480"/>
        <w:rPr/>
      </w:pPr>
      <w:r>
        <w:rPr/>
        <w:t>Table 5. Estimated total mission dose equivalent (500-day Mars surface stay plus RAD's own reported 662 mSv round-trip cruise dose; Hassler et al., 2014) at three points spanning this record's solar-cycle range, compared to NASA's 600 mSv career limit (National Academies of Sciences, Engineering, and Medicine, 2021).</w:t>
      </w:r>
    </w:p>
    <w:tbl>
      <w:tblPr>
        <w:tblW w:w="8502" w:type="dxa"/>
        <w:jc w:val="left"/>
        <w:tblInd w:w="108" w:type="dxa"/>
        <w:tblLayout w:type="fixed"/>
        <w:tblCellMar>
          <w:top w:w="0" w:type="dxa"/>
          <w:left w:w="108" w:type="dxa"/>
          <w:bottom w:w="0" w:type="dxa"/>
          <w:right w:w="108" w:type="dxa"/>
        </w:tblCellMar>
        <w:tblLook w:val="04a0" w:firstRow="1" w:noVBand="1" w:lastRow="0" w:firstColumn="1" w:lastColumn="0" w:noHBand="0"/>
      </w:tblPr>
      <w:tblGrid>
        <w:gridCol w:w="1417"/>
        <w:gridCol w:w="1416"/>
        <w:gridCol w:w="1418"/>
        <w:gridCol w:w="1417"/>
        <w:gridCol w:w="1416"/>
        <w:gridCol w:w="1418"/>
      </w:tblGrid>
      <w:tr>
        <w:trPr/>
        <w:tc>
          <w:tcPr>
            <w:tcW w:w="1417" w:type="dxa"/>
            <w:tcBorders/>
          </w:tcPr>
          <w:p>
            <w:pPr>
              <w:pStyle w:val="Normal"/>
              <w:widowControl/>
              <w:suppressAutoHyphens w:val="true"/>
              <w:bidi w:val="0"/>
              <w:spacing w:lineRule="auto" w:line="480" w:before="0" w:after="160"/>
              <w:jc w:val="left"/>
              <w:rPr/>
            </w:pPr>
            <w:r>
              <w:rPr/>
              <w:t>Scenario</w:t>
            </w:r>
          </w:p>
        </w:tc>
        <w:tc>
          <w:tcPr>
            <w:tcW w:w="1416" w:type="dxa"/>
            <w:tcBorders/>
          </w:tcPr>
          <w:p>
            <w:pPr>
              <w:pStyle w:val="Normal"/>
              <w:widowControl/>
              <w:suppressAutoHyphens w:val="true"/>
              <w:bidi w:val="0"/>
              <w:spacing w:lineRule="auto" w:line="480" w:before="0" w:after="160"/>
              <w:jc w:val="left"/>
              <w:rPr/>
            </w:pPr>
            <w:r>
              <w:rPr/>
              <w:t>Dose rate,</w:t>
              <w:br/>
              <w:t>detector E</w:t>
              <w:br/>
              <w:t>(uGy/hour)</w:t>
            </w:r>
          </w:p>
        </w:tc>
        <w:tc>
          <w:tcPr>
            <w:tcW w:w="1418" w:type="dxa"/>
            <w:tcBorders/>
          </w:tcPr>
          <w:p>
            <w:pPr>
              <w:pStyle w:val="Normal"/>
              <w:widowControl/>
              <w:suppressAutoHyphens w:val="true"/>
              <w:bidi w:val="0"/>
              <w:spacing w:lineRule="auto" w:line="480" w:before="0" w:after="160"/>
              <w:jc w:val="left"/>
              <w:rPr/>
            </w:pPr>
            <w:r>
              <w:rPr/>
              <w:t>Dose equiv. rate</w:t>
              <w:br/>
              <w:t>(mSv/day)</w:t>
            </w:r>
          </w:p>
        </w:tc>
        <w:tc>
          <w:tcPr>
            <w:tcW w:w="1417" w:type="dxa"/>
            <w:tcBorders/>
          </w:tcPr>
          <w:p>
            <w:pPr>
              <w:pStyle w:val="Normal"/>
              <w:widowControl/>
              <w:suppressAutoHyphens w:val="true"/>
              <w:bidi w:val="0"/>
              <w:spacing w:lineRule="auto" w:line="480" w:before="0" w:after="160"/>
              <w:jc w:val="left"/>
              <w:rPr/>
            </w:pPr>
            <w:r>
              <w:rPr/>
              <w:t>Surface dose,</w:t>
              <w:br/>
              <w:t>500 days (mSv)</w:t>
            </w:r>
          </w:p>
        </w:tc>
        <w:tc>
          <w:tcPr>
            <w:tcW w:w="1416" w:type="dxa"/>
            <w:tcBorders/>
          </w:tcPr>
          <w:p>
            <w:pPr>
              <w:pStyle w:val="Normal"/>
              <w:widowControl/>
              <w:suppressAutoHyphens w:val="true"/>
              <w:bidi w:val="0"/>
              <w:spacing w:lineRule="auto" w:line="480" w:before="0" w:after="160"/>
              <w:jc w:val="left"/>
              <w:rPr/>
            </w:pPr>
            <w:r>
              <w:rPr/>
              <w:t>Total mission</w:t>
              <w:br/>
              <w:t>dose (mSv)</w:t>
            </w:r>
          </w:p>
        </w:tc>
        <w:tc>
          <w:tcPr>
            <w:tcW w:w="1418" w:type="dxa"/>
            <w:tcBorders/>
          </w:tcPr>
          <w:p>
            <w:pPr>
              <w:pStyle w:val="Normal"/>
              <w:widowControl/>
              <w:suppressAutoHyphens w:val="true"/>
              <w:bidi w:val="0"/>
              <w:spacing w:lineRule="auto" w:line="480" w:before="0" w:after="160"/>
              <w:jc w:val="left"/>
              <w:rPr/>
            </w:pPr>
            <w:r>
              <w:rPr/>
              <w:t>% of NASA</w:t>
              <w:br/>
              <w:t>600 mSv limit</w:t>
            </w:r>
          </w:p>
        </w:tc>
      </w:tr>
      <w:tr>
        <w:trPr/>
        <w:tc>
          <w:tcPr>
            <w:tcW w:w="1417" w:type="dxa"/>
            <w:tcBorders/>
          </w:tcPr>
          <w:p>
            <w:pPr>
              <w:pStyle w:val="Normal"/>
              <w:widowControl/>
              <w:suppressAutoHyphens w:val="true"/>
              <w:bidi w:val="0"/>
              <w:spacing w:lineRule="auto" w:line="480" w:before="0" w:after="160"/>
              <w:jc w:val="left"/>
              <w:rPr/>
            </w:pPr>
            <w:r>
              <w:rPr/>
              <w:t>Near solar maximum</w:t>
              <w:br/>
              <w:t>(SOL ~50, 2012-13)</w:t>
            </w:r>
          </w:p>
        </w:tc>
        <w:tc>
          <w:tcPr>
            <w:tcW w:w="1416" w:type="dxa"/>
            <w:tcBorders/>
          </w:tcPr>
          <w:p>
            <w:pPr>
              <w:pStyle w:val="Normal"/>
              <w:widowControl/>
              <w:suppressAutoHyphens w:val="true"/>
              <w:bidi w:val="0"/>
              <w:spacing w:lineRule="auto" w:line="480" w:before="0" w:after="160"/>
              <w:jc w:val="left"/>
              <w:rPr/>
            </w:pPr>
            <w:r>
              <w:rPr/>
              <w:t>8.78</w:t>
            </w:r>
          </w:p>
        </w:tc>
        <w:tc>
          <w:tcPr>
            <w:tcW w:w="1418" w:type="dxa"/>
            <w:tcBorders/>
          </w:tcPr>
          <w:p>
            <w:pPr>
              <w:pStyle w:val="Normal"/>
              <w:widowControl/>
              <w:suppressAutoHyphens w:val="true"/>
              <w:bidi w:val="0"/>
              <w:spacing w:lineRule="auto" w:line="480" w:before="0" w:after="160"/>
              <w:jc w:val="left"/>
              <w:rPr/>
            </w:pPr>
            <w:r>
              <w:rPr/>
              <w:t>0.643</w:t>
            </w:r>
          </w:p>
        </w:tc>
        <w:tc>
          <w:tcPr>
            <w:tcW w:w="1417" w:type="dxa"/>
            <w:tcBorders/>
          </w:tcPr>
          <w:p>
            <w:pPr>
              <w:pStyle w:val="Normal"/>
              <w:widowControl/>
              <w:suppressAutoHyphens w:val="true"/>
              <w:bidi w:val="0"/>
              <w:spacing w:lineRule="auto" w:line="480" w:before="0" w:after="160"/>
              <w:jc w:val="left"/>
              <w:rPr/>
            </w:pPr>
            <w:r>
              <w:rPr/>
              <w:t>321</w:t>
            </w:r>
          </w:p>
        </w:tc>
        <w:tc>
          <w:tcPr>
            <w:tcW w:w="1416" w:type="dxa"/>
            <w:tcBorders/>
          </w:tcPr>
          <w:p>
            <w:pPr>
              <w:pStyle w:val="Normal"/>
              <w:widowControl/>
              <w:suppressAutoHyphens w:val="true"/>
              <w:bidi w:val="0"/>
              <w:spacing w:lineRule="auto" w:line="480" w:before="0" w:after="160"/>
              <w:jc w:val="left"/>
              <w:rPr/>
            </w:pPr>
            <w:r>
              <w:rPr/>
              <w:t>983</w:t>
            </w:r>
          </w:p>
        </w:tc>
        <w:tc>
          <w:tcPr>
            <w:tcW w:w="1418" w:type="dxa"/>
            <w:tcBorders/>
          </w:tcPr>
          <w:p>
            <w:pPr>
              <w:pStyle w:val="Normal"/>
              <w:widowControl/>
              <w:suppressAutoHyphens w:val="true"/>
              <w:bidi w:val="0"/>
              <w:spacing w:lineRule="auto" w:line="480" w:before="0" w:after="160"/>
              <w:jc w:val="left"/>
              <w:rPr/>
            </w:pPr>
            <w:r>
              <w:rPr/>
              <w:t>164%</w:t>
            </w:r>
          </w:p>
        </w:tc>
      </w:tr>
      <w:tr>
        <w:trPr/>
        <w:tc>
          <w:tcPr>
            <w:tcW w:w="1417" w:type="dxa"/>
            <w:tcBorders/>
          </w:tcPr>
          <w:p>
            <w:pPr>
              <w:pStyle w:val="Normal"/>
              <w:widowControl/>
              <w:suppressAutoHyphens w:val="true"/>
              <w:bidi w:val="0"/>
              <w:spacing w:lineRule="auto" w:line="480" w:before="0" w:after="160"/>
              <w:jc w:val="left"/>
              <w:rPr/>
            </w:pPr>
            <w:r>
              <w:rPr/>
              <w:t>Deep solar minimum</w:t>
              <w:br/>
              <w:t>(SOL ~2779, 2019-2020)</w:t>
            </w:r>
          </w:p>
        </w:tc>
        <w:tc>
          <w:tcPr>
            <w:tcW w:w="1416" w:type="dxa"/>
            <w:tcBorders/>
          </w:tcPr>
          <w:p>
            <w:pPr>
              <w:pStyle w:val="Normal"/>
              <w:widowControl/>
              <w:suppressAutoHyphens w:val="true"/>
              <w:bidi w:val="0"/>
              <w:spacing w:lineRule="auto" w:line="480" w:before="0" w:after="160"/>
              <w:jc w:val="left"/>
              <w:rPr/>
            </w:pPr>
            <w:r>
              <w:rPr/>
              <w:t>12.90</w:t>
            </w:r>
          </w:p>
        </w:tc>
        <w:tc>
          <w:tcPr>
            <w:tcW w:w="1418" w:type="dxa"/>
            <w:tcBorders/>
          </w:tcPr>
          <w:p>
            <w:pPr>
              <w:pStyle w:val="Normal"/>
              <w:widowControl/>
              <w:suppressAutoHyphens w:val="true"/>
              <w:bidi w:val="0"/>
              <w:spacing w:lineRule="auto" w:line="480" w:before="0" w:after="160"/>
              <w:jc w:val="left"/>
              <w:rPr/>
            </w:pPr>
            <w:r>
              <w:rPr/>
              <w:t>0.944</w:t>
            </w:r>
          </w:p>
        </w:tc>
        <w:tc>
          <w:tcPr>
            <w:tcW w:w="1417" w:type="dxa"/>
            <w:tcBorders/>
          </w:tcPr>
          <w:p>
            <w:pPr>
              <w:pStyle w:val="Normal"/>
              <w:widowControl/>
              <w:suppressAutoHyphens w:val="true"/>
              <w:bidi w:val="0"/>
              <w:spacing w:lineRule="auto" w:line="480" w:before="0" w:after="160"/>
              <w:jc w:val="left"/>
              <w:rPr/>
            </w:pPr>
            <w:r>
              <w:rPr/>
              <w:t>472</w:t>
            </w:r>
          </w:p>
        </w:tc>
        <w:tc>
          <w:tcPr>
            <w:tcW w:w="1416" w:type="dxa"/>
            <w:tcBorders/>
          </w:tcPr>
          <w:p>
            <w:pPr>
              <w:pStyle w:val="Normal"/>
              <w:widowControl/>
              <w:suppressAutoHyphens w:val="true"/>
              <w:bidi w:val="0"/>
              <w:spacing w:lineRule="auto" w:line="480" w:before="0" w:after="160"/>
              <w:jc w:val="left"/>
              <w:rPr/>
            </w:pPr>
            <w:r>
              <w:rPr/>
              <w:t>1134</w:t>
            </w:r>
          </w:p>
        </w:tc>
        <w:tc>
          <w:tcPr>
            <w:tcW w:w="1418" w:type="dxa"/>
            <w:tcBorders/>
          </w:tcPr>
          <w:p>
            <w:pPr>
              <w:pStyle w:val="Normal"/>
              <w:widowControl/>
              <w:suppressAutoHyphens w:val="true"/>
              <w:bidi w:val="0"/>
              <w:spacing w:lineRule="auto" w:line="480" w:before="0" w:after="160"/>
              <w:jc w:val="left"/>
              <w:rPr/>
            </w:pPr>
            <w:r>
              <w:rPr/>
              <w:t>189%</w:t>
            </w:r>
          </w:p>
        </w:tc>
      </w:tr>
      <w:tr>
        <w:trPr/>
        <w:tc>
          <w:tcPr>
            <w:tcW w:w="1417" w:type="dxa"/>
            <w:tcBorders/>
          </w:tcPr>
          <w:p>
            <w:pPr>
              <w:pStyle w:val="Normal"/>
              <w:widowControl/>
              <w:suppressAutoHyphens w:val="true"/>
              <w:bidi w:val="0"/>
              <w:spacing w:lineRule="auto" w:line="480" w:before="0" w:after="160"/>
              <w:jc w:val="left"/>
              <w:rPr/>
            </w:pPr>
            <w:r>
              <w:rPr/>
              <w:t>Recent, solar cycle 25 maximum</w:t>
              <w:br/>
              <w:t>(SOL ~4832, 2025-26)</w:t>
            </w:r>
          </w:p>
        </w:tc>
        <w:tc>
          <w:tcPr>
            <w:tcW w:w="1416" w:type="dxa"/>
            <w:tcBorders/>
          </w:tcPr>
          <w:p>
            <w:pPr>
              <w:pStyle w:val="Normal"/>
              <w:widowControl/>
              <w:suppressAutoHyphens w:val="true"/>
              <w:bidi w:val="0"/>
              <w:spacing w:lineRule="auto" w:line="480" w:before="0" w:after="160"/>
              <w:jc w:val="left"/>
              <w:rPr/>
            </w:pPr>
            <w:r>
              <w:rPr/>
              <w:t>6.32</w:t>
            </w:r>
          </w:p>
        </w:tc>
        <w:tc>
          <w:tcPr>
            <w:tcW w:w="1418" w:type="dxa"/>
            <w:tcBorders/>
          </w:tcPr>
          <w:p>
            <w:pPr>
              <w:pStyle w:val="Normal"/>
              <w:widowControl/>
              <w:suppressAutoHyphens w:val="true"/>
              <w:bidi w:val="0"/>
              <w:spacing w:lineRule="auto" w:line="480" w:before="0" w:after="160"/>
              <w:jc w:val="left"/>
              <w:rPr/>
            </w:pPr>
            <w:r>
              <w:rPr/>
              <w:t>0.463</w:t>
            </w:r>
          </w:p>
        </w:tc>
        <w:tc>
          <w:tcPr>
            <w:tcW w:w="1417" w:type="dxa"/>
            <w:tcBorders/>
          </w:tcPr>
          <w:p>
            <w:pPr>
              <w:pStyle w:val="Normal"/>
              <w:widowControl/>
              <w:suppressAutoHyphens w:val="true"/>
              <w:bidi w:val="0"/>
              <w:spacing w:lineRule="auto" w:line="480" w:before="0" w:after="160"/>
              <w:jc w:val="left"/>
              <w:rPr/>
            </w:pPr>
            <w:r>
              <w:rPr/>
              <w:t>231</w:t>
            </w:r>
          </w:p>
        </w:tc>
        <w:tc>
          <w:tcPr>
            <w:tcW w:w="1416" w:type="dxa"/>
            <w:tcBorders/>
          </w:tcPr>
          <w:p>
            <w:pPr>
              <w:pStyle w:val="Normal"/>
              <w:widowControl/>
              <w:suppressAutoHyphens w:val="true"/>
              <w:bidi w:val="0"/>
              <w:spacing w:lineRule="auto" w:line="480" w:before="0" w:after="160"/>
              <w:jc w:val="left"/>
              <w:rPr/>
            </w:pPr>
            <w:r>
              <w:rPr/>
              <w:t>893</w:t>
            </w:r>
          </w:p>
        </w:tc>
        <w:tc>
          <w:tcPr>
            <w:tcW w:w="1418" w:type="dxa"/>
            <w:tcBorders/>
          </w:tcPr>
          <w:p>
            <w:pPr>
              <w:pStyle w:val="Normal"/>
              <w:widowControl/>
              <w:suppressAutoHyphens w:val="true"/>
              <w:bidi w:val="0"/>
              <w:spacing w:lineRule="auto" w:line="480" w:before="0" w:after="160"/>
              <w:jc w:val="left"/>
              <w:rPr/>
            </w:pPr>
            <w:r>
              <w:rPr/>
              <w:t>149%</w:t>
            </w:r>
          </w:p>
        </w:tc>
      </w:tr>
    </w:tbl>
    <w:p>
      <w:pPr>
        <w:pStyle w:val="Normal"/>
        <w:spacing w:lineRule="auto" w:line="480"/>
        <w:rPr/>
      </w:pPr>
      <w:r>
        <w:rPr/>
      </w:r>
    </w:p>
    <w:p>
      <w:pPr>
        <w:pStyle w:val="Normal"/>
        <w:spacing w:lineRule="auto" w:line="480"/>
        <w:rPr/>
      </w:pPr>
      <w:r>
        <w:rPr>
          <w:b/>
        </w:rPr>
        <w:t>Figures</w:t>
      </w:r>
    </w:p>
    <w:p>
      <w:pPr>
        <w:pStyle w:val="Normal"/>
        <w:spacing w:lineRule="auto" w:line="480"/>
        <w:rPr/>
      </w:pPr>
      <w:r>
        <w:rPr/>
      </w:r>
    </w:p>
    <w:p>
      <w:pPr>
        <w:pStyle w:val="Normal"/>
        <w:spacing w:lineRule="auto" w:line="480"/>
        <w:jc w:val="both"/>
        <w:rPr>
          <w:rFonts w:ascii="Calibri" w:hAnsi="Calibri"/>
          <w:sz w:val="24"/>
          <w:szCs w:val="24"/>
        </w:rPr>
      </w:pPr>
      <w:r>
        <w:rPr/>
        <w:drawing>
          <wp:inline distT="0" distB="0" distL="0" distR="0">
            <wp:extent cx="3762375" cy="6362700"/>
            <wp:effectExtent l="0" t="0" r="0" b="0"/>
            <wp:docPr id="2"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pic:cNvPicPr>
                      <a:picLocks noChangeAspect="1" noChangeArrowheads="1"/>
                    </pic:cNvPicPr>
                  </pic:nvPicPr>
                  <pic:blipFill>
                    <a:blip r:embed="rId3"/>
                    <a:stretch>
                      <a:fillRect/>
                    </a:stretch>
                  </pic:blipFill>
                  <pic:spPr bwMode="auto">
                    <a:xfrm>
                      <a:off x="0" y="0"/>
                      <a:ext cx="3762375" cy="6362700"/>
                    </a:xfrm>
                    <a:prstGeom prst="rect">
                      <a:avLst/>
                    </a:prstGeom>
                    <a:noFill/>
                  </pic:spPr>
                </pic:pic>
              </a:graphicData>
            </a:graphic>
          </wp:inline>
        </w:drawing>
      </w:r>
    </w:p>
    <w:p>
      <w:pPr>
        <w:pStyle w:val="Normal"/>
        <w:spacing w:lineRule="auto" w:line="480"/>
        <w:jc w:val="both"/>
        <w:rPr>
          <w:rFonts w:ascii="Calibri" w:hAnsi="Calibri"/>
          <w:sz w:val="24"/>
          <w:szCs w:val="24"/>
        </w:rPr>
      </w:pPr>
      <w:r>
        <w:rPr>
          <w:i/>
          <w:sz w:val="24"/>
          <w:szCs w:val="24"/>
        </w:rPr>
        <w:t>Figure 1. Hourly perturbations from the daily average of (a) total E-detector dose, (b) E-detector neutral count rate, and (c) atmospheric pressure, illustrating the diurnal anti-correlation between dose rate and pressure discussed in Section 3.1. Reproduced from the pattern reported by Rafkin et al. (2014).</w:t>
      </w:r>
    </w:p>
    <w:p>
      <w:pPr>
        <w:pStyle w:val="Normal"/>
        <w:spacing w:lineRule="auto" w:line="480"/>
        <w:rPr/>
      </w:pPr>
      <w:r>
        <w:rPr/>
      </w:r>
    </w:p>
    <w:p>
      <w:pPr>
        <w:pStyle w:val="Normal"/>
        <w:spacing w:lineRule="auto" w:line="480"/>
        <w:jc w:val="both"/>
        <w:rPr>
          <w:rFonts w:ascii="Calibri" w:hAnsi="Calibri"/>
          <w:sz w:val="24"/>
          <w:szCs w:val="24"/>
        </w:rPr>
      </w:pPr>
      <w:r>
        <w:rPr/>
        <w:drawing>
          <wp:inline distT="0" distB="0" distL="0" distR="0">
            <wp:extent cx="5400040" cy="6518910"/>
            <wp:effectExtent l="0" t="0" r="0" b="0"/>
            <wp:docPr id="3"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5.png"/>
                    <pic:cNvPicPr>
                      <a:picLocks noChangeAspect="1" noChangeArrowheads="1"/>
                    </pic:cNvPicPr>
                  </pic:nvPicPr>
                  <pic:blipFill>
                    <a:blip r:embed="rId4"/>
                    <a:stretch>
                      <a:fillRect/>
                    </a:stretch>
                  </pic:blipFill>
                  <pic:spPr bwMode="auto">
                    <a:xfrm>
                      <a:off x="0" y="0"/>
                      <a:ext cx="5400040" cy="6518910"/>
                    </a:xfrm>
                    <a:prstGeom prst="rect">
                      <a:avLst/>
                    </a:prstGeom>
                    <a:noFill/>
                  </pic:spPr>
                </pic:pic>
              </a:graphicData>
            </a:graphic>
          </wp:inline>
        </w:drawing>
      </w:r>
    </w:p>
    <w:p>
      <w:pPr>
        <w:pStyle w:val="Normal"/>
        <w:spacing w:lineRule="auto" w:line="480"/>
        <w:jc w:val="both"/>
        <w:rPr>
          <w:rFonts w:ascii="Calibri" w:hAnsi="Calibri"/>
          <w:sz w:val="24"/>
          <w:szCs w:val="24"/>
        </w:rPr>
      </w:pPr>
      <w:r>
        <w:rPr>
          <w:i/>
          <w:sz w:val="24"/>
          <w:szCs w:val="24"/>
        </w:rPr>
        <w:t>Figure 2. Wavelet power spectrum of the E-detector dose-rate time series for SOL windows 00000-00089 through 00708-00804 (panels A-H), computed as described in Section 2.3.</w:t>
      </w:r>
    </w:p>
    <w:p>
      <w:pPr>
        <w:pStyle w:val="Normal"/>
        <w:spacing w:lineRule="auto" w:line="480"/>
        <w:rPr/>
      </w:pPr>
      <w:r>
        <w:rPr/>
      </w:r>
    </w:p>
    <w:p>
      <w:pPr>
        <w:pStyle w:val="Normal"/>
        <w:spacing w:lineRule="auto" w:line="480"/>
        <w:jc w:val="both"/>
        <w:rPr>
          <w:rFonts w:ascii="Calibri" w:hAnsi="Calibri"/>
          <w:sz w:val="24"/>
          <w:szCs w:val="24"/>
        </w:rPr>
      </w:pPr>
      <w:r>
        <w:rPr/>
        <w:drawing>
          <wp:inline distT="0" distB="0" distL="0" distR="0">
            <wp:extent cx="5400040" cy="6518910"/>
            <wp:effectExtent l="0" t="0" r="0" b="0"/>
            <wp:docPr id="4"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png"/>
                    <pic:cNvPicPr>
                      <a:picLocks noChangeAspect="1" noChangeArrowheads="1"/>
                    </pic:cNvPicPr>
                  </pic:nvPicPr>
                  <pic:blipFill>
                    <a:blip r:embed="rId5"/>
                    <a:stretch>
                      <a:fillRect/>
                    </a:stretch>
                  </pic:blipFill>
                  <pic:spPr bwMode="auto">
                    <a:xfrm>
                      <a:off x="0" y="0"/>
                      <a:ext cx="5400040" cy="6518910"/>
                    </a:xfrm>
                    <a:prstGeom prst="rect">
                      <a:avLst/>
                    </a:prstGeom>
                    <a:noFill/>
                  </pic:spPr>
                </pic:pic>
              </a:graphicData>
            </a:graphic>
          </wp:inline>
        </w:drawing>
      </w:r>
    </w:p>
    <w:p>
      <w:pPr>
        <w:pStyle w:val="Normal"/>
        <w:spacing w:lineRule="auto" w:line="480"/>
        <w:jc w:val="both"/>
        <w:rPr>
          <w:rFonts w:ascii="Calibri" w:hAnsi="Calibri"/>
          <w:sz w:val="24"/>
          <w:szCs w:val="24"/>
        </w:rPr>
      </w:pPr>
      <w:r>
        <w:rPr>
          <w:i/>
          <w:sz w:val="24"/>
          <w:szCs w:val="24"/>
        </w:rPr>
        <w:t>Figure 3. Wavelet power spectrum of the E-detector dose-rate time series for SOL windows 00805-00938 through 01649-01772 (panels A-H).</w:t>
      </w:r>
    </w:p>
    <w:p>
      <w:pPr>
        <w:pStyle w:val="Normal"/>
        <w:spacing w:lineRule="auto" w:line="480"/>
        <w:rPr/>
      </w:pPr>
      <w:r>
        <w:rPr/>
      </w:r>
    </w:p>
    <w:p>
      <w:pPr>
        <w:pStyle w:val="Normal"/>
        <w:spacing w:lineRule="auto" w:line="480"/>
        <w:jc w:val="both"/>
        <w:rPr>
          <w:rFonts w:ascii="Calibri" w:hAnsi="Calibri"/>
          <w:sz w:val="24"/>
          <w:szCs w:val="24"/>
        </w:rPr>
      </w:pPr>
      <w:r>
        <w:rPr/>
        <w:drawing>
          <wp:inline distT="0" distB="0" distL="0" distR="0">
            <wp:extent cx="5400040" cy="4874895"/>
            <wp:effectExtent l="0" t="0" r="0" b="0"/>
            <wp:docPr id="5"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6.png"/>
                    <pic:cNvPicPr>
                      <a:picLocks noChangeAspect="1" noChangeArrowheads="1"/>
                    </pic:cNvPicPr>
                  </pic:nvPicPr>
                  <pic:blipFill>
                    <a:blip r:embed="rId6"/>
                    <a:stretch>
                      <a:fillRect/>
                    </a:stretch>
                  </pic:blipFill>
                  <pic:spPr bwMode="auto">
                    <a:xfrm>
                      <a:off x="0" y="0"/>
                      <a:ext cx="5400040" cy="4874895"/>
                    </a:xfrm>
                    <a:prstGeom prst="rect">
                      <a:avLst/>
                    </a:prstGeom>
                    <a:noFill/>
                  </pic:spPr>
                </pic:pic>
              </a:graphicData>
            </a:graphic>
          </wp:inline>
        </w:drawing>
      </w:r>
    </w:p>
    <w:p>
      <w:pPr>
        <w:pStyle w:val="Normal"/>
        <w:spacing w:lineRule="auto" w:line="480"/>
        <w:jc w:val="both"/>
        <w:rPr>
          <w:rFonts w:ascii="Calibri" w:hAnsi="Calibri"/>
          <w:sz w:val="24"/>
          <w:szCs w:val="24"/>
        </w:rPr>
      </w:pPr>
      <w:r>
        <w:rPr>
          <w:i/>
          <w:sz w:val="24"/>
          <w:szCs w:val="24"/>
        </w:rPr>
        <w:t>Figure 4. Wavelet power spectrum of the E-detector dose-rate time series for SOL windows 01773-01869 through 02225-02358 (panels A-E). Panel A (SOL 01773-01869) captures the September 2017 solar energetic particle event.</w:t>
      </w:r>
    </w:p>
    <w:p>
      <w:pPr>
        <w:pStyle w:val="Normal"/>
        <w:spacing w:lineRule="auto" w:line="480"/>
        <w:rPr/>
      </w:pPr>
      <w:r>
        <w:rPr/>
      </w:r>
    </w:p>
    <w:p>
      <w:pPr>
        <w:pStyle w:val="Normal"/>
        <w:spacing w:lineRule="auto" w:line="480"/>
        <w:rPr>
          <w:rFonts w:ascii="Calibri" w:hAnsi="Calibri"/>
          <w:sz w:val="24"/>
          <w:szCs w:val="24"/>
        </w:rPr>
      </w:pPr>
      <w:r>
        <w:rPr/>
        <w:drawing>
          <wp:inline distT="0" distB="0" distL="0" distR="0">
            <wp:extent cx="5669280" cy="3916045"/>
            <wp:effectExtent l="0" t="0" r="0" b="0"/>
            <wp:docPr id="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9"/>
                    <pic:cNvPicPr>
                      <a:picLocks noChangeAspect="1" noChangeArrowheads="1"/>
                    </pic:cNvPicPr>
                  </pic:nvPicPr>
                  <pic:blipFill>
                    <a:blip r:embed="rId7"/>
                    <a:stretch>
                      <a:fillRect/>
                    </a:stretch>
                  </pic:blipFill>
                  <pic:spPr bwMode="auto">
                    <a:xfrm>
                      <a:off x="0" y="0"/>
                      <a:ext cx="5669280" cy="3916045"/>
                    </a:xfrm>
                    <a:prstGeom prst="rect">
                      <a:avLst/>
                    </a:prstGeom>
                    <a:noFill/>
                  </pic:spPr>
                </pic:pic>
              </a:graphicData>
            </a:graphic>
          </wp:inline>
        </w:drawing>
      </w:r>
    </w:p>
    <w:p>
      <w:pPr>
        <w:pStyle w:val="Normal"/>
        <w:spacing w:lineRule="auto" w:line="480"/>
        <w:rPr>
          <w:rFonts w:ascii="Calibri" w:hAnsi="Calibri"/>
          <w:sz w:val="24"/>
          <w:szCs w:val="24"/>
        </w:rPr>
      </w:pPr>
      <w:r>
        <w:rPr>
          <w:i/>
          <w:sz w:val="24"/>
          <w:szCs w:val="24"/>
        </w:rPr>
        <w:t>Figure 5. Classical additive decomposition (trend + seasonal + residual) of the combined 13.5-year (SOL 00001-04843, 7.24 Martian years) detector-E dose-rate series, using a period of 669 sols (one Martian year; Section 2.3), computed on a real per-sol time axis. The trend component rises and falls smoothly, tracking the declining phase of solar cycle 24 (~SOL 0-2600) and the rise of solar cycle 25 (~SOL 2600-4843; Section 3.4). Sols affected by Solar Particle Events (SPEs; Section 2.3) were excluded from the decomposition to prevent single transient events from appearing as spurious repeated “seasonal” spikes; the raw series above (Observed panel) is unaltered and includes the well-documented May 2024 SPE (SOL 04190). The fitted seasonal component remains low-amplitude and irregular, not resembling a smooth annual cycle.</w:t>
      </w:r>
    </w:p>
    <w:p>
      <w:pPr>
        <w:pStyle w:val="Normal"/>
        <w:spacing w:lineRule="auto" w:line="480"/>
        <w:rPr/>
      </w:pPr>
      <w:r>
        <w:rPr/>
      </w:r>
    </w:p>
    <w:p>
      <w:pPr>
        <w:pStyle w:val="Normal"/>
        <w:spacing w:lineRule="auto" w:line="480"/>
        <w:rPr>
          <w:rFonts w:ascii="Calibri" w:hAnsi="Calibri"/>
          <w:sz w:val="24"/>
          <w:szCs w:val="24"/>
        </w:rPr>
      </w:pPr>
      <w:r>
        <w:rPr/>
        <w:drawing>
          <wp:inline distT="0" distB="0" distL="0" distR="0">
            <wp:extent cx="5669280" cy="2591435"/>
            <wp:effectExtent l="0" t="0" r="0" b="0"/>
            <wp:docPr id="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0"/>
                    <pic:cNvPicPr>
                      <a:picLocks noChangeAspect="1" noChangeArrowheads="1"/>
                    </pic:cNvPicPr>
                  </pic:nvPicPr>
                  <pic:blipFill>
                    <a:blip r:embed="rId8"/>
                    <a:stretch>
                      <a:fillRect/>
                    </a:stretch>
                  </pic:blipFill>
                  <pic:spPr bwMode="auto">
                    <a:xfrm>
                      <a:off x="0" y="0"/>
                      <a:ext cx="5669280" cy="2591435"/>
                    </a:xfrm>
                    <a:prstGeom prst="rect">
                      <a:avLst/>
                    </a:prstGeom>
                    <a:noFill/>
                  </pic:spPr>
                </pic:pic>
              </a:graphicData>
            </a:graphic>
          </wp:inline>
        </w:drawing>
      </w:r>
    </w:p>
    <w:p>
      <w:pPr>
        <w:pStyle w:val="Normal"/>
        <w:spacing w:lineRule="auto" w:line="480"/>
        <w:rPr>
          <w:rFonts w:ascii="Calibri" w:hAnsi="Calibri"/>
          <w:sz w:val="24"/>
          <w:szCs w:val="24"/>
        </w:rPr>
      </w:pPr>
      <w:r>
        <w:rPr>
          <w:i/>
          <w:sz w:val="24"/>
          <w:szCs w:val="24"/>
        </w:rPr>
        <w:t>Figure 6. Wavelet power spectrum (Morlet, Torrence &amp; Compo 1998) of the combined 13.5-year (SOL 00001-04843, 7.24 Martian years) detector-E series, computed on a real per-sol time axis. Elevated power near the 1-Martian-year line (red dashed) follows the classic cone-of-influence “dome” produced by a strong secular trend, not a sustained periodic band; the pattern is essentially identical in detector B (not shown). Short isolated high-power features below the annual band (e.g. near SOL 1800, 3300, and the tallest near SOL 4190) correspond to individual Solar Particle Events, correctly localized in time and to short periods (~10-30 sols) rather than being smeared into the annual band. No independent evidence of a clean annual/seasonal periodicity is found.</w:t>
      </w:r>
    </w:p>
    <w:p>
      <w:pPr>
        <w:pStyle w:val="Normal"/>
        <w:spacing w:lineRule="auto" w:line="480"/>
        <w:rPr/>
      </w:pPr>
      <w:r>
        <w:rPr/>
      </w:r>
    </w:p>
    <w:p>
      <w:pPr>
        <w:pStyle w:val="Normal"/>
        <w:spacing w:lineRule="auto" w:line="480"/>
        <w:rPr/>
      </w:pPr>
      <w:r>
        <w:rPr/>
        <w:drawing>
          <wp:inline distT="0" distB="0" distL="0" distR="0">
            <wp:extent cx="5669280" cy="3446145"/>
            <wp:effectExtent l="0" t="0" r="0" b="0"/>
            <wp:docPr id="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1"/>
                    <pic:cNvPicPr>
                      <a:picLocks noChangeAspect="1" noChangeArrowheads="1"/>
                    </pic:cNvPicPr>
                  </pic:nvPicPr>
                  <pic:blipFill>
                    <a:blip r:embed="rId9"/>
                    <a:stretch>
                      <a:fillRect/>
                    </a:stretch>
                  </pic:blipFill>
                  <pic:spPr bwMode="auto">
                    <a:xfrm>
                      <a:off x="0" y="0"/>
                      <a:ext cx="5669280" cy="3446145"/>
                    </a:xfrm>
                    <a:prstGeom prst="rect">
                      <a:avLst/>
                    </a:prstGeom>
                    <a:noFill/>
                  </pic:spPr>
                </pic:pic>
              </a:graphicData>
            </a:graphic>
          </wp:inline>
        </w:drawing>
      </w:r>
    </w:p>
    <w:p>
      <w:pPr>
        <w:pStyle w:val="Normal"/>
        <w:spacing w:lineRule="auto" w:line="480"/>
        <w:rPr/>
      </w:pPr>
      <w:r>
        <w:rPr/>
        <w:t>Figure 7. Detector E dose rate regressed against smoothed solar activity and tested for a residual seasonal signal against real REMS pressure (Section 2.3, 3.4). Top: observed dose rate (navy) and the OLS fit against the 13-month-smoothed observed sunspot number (red; R² = 0.85, excluding the SOL 04190 SPE, annotated). Middle: the regression residual (gray, left axis) against real REMS-measured atmospheric pressure (teal, right axis) over the same sols -- pressure's well-documented real seasonal cycle is visually obvious; the dose-rate residual shows no comparable structure. Bottom: cross-correlation between the residual and REMS pressure across lags of -400 to +400 sols, remaining weak (|r| &lt; 0.15) throughout, with no physically meaningful peak near zero lag or at the annual period.</w:t>
      </w:r>
    </w:p>
    <w:p>
      <w:pPr>
        <w:pStyle w:val="Normal"/>
        <w:spacing w:lineRule="auto" w:line="480"/>
        <w:rPr/>
      </w:pPr>
      <w:r>
        <w:rPr/>
      </w:r>
    </w:p>
    <w:p>
      <w:pPr>
        <w:pStyle w:val="Normal"/>
        <w:spacing w:lineRule="auto" w:line="480"/>
        <w:rPr/>
      </w:pPr>
      <w:r>
        <w:rPr/>
        <w:drawing>
          <wp:inline distT="0" distB="0" distL="0" distR="0">
            <wp:extent cx="5669280" cy="2176145"/>
            <wp:effectExtent l="0" t="0" r="0" b="0"/>
            <wp:docPr id="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2"/>
                    <pic:cNvPicPr>
                      <a:picLocks noChangeAspect="1" noChangeArrowheads="1"/>
                    </pic:cNvPicPr>
                  </pic:nvPicPr>
                  <pic:blipFill>
                    <a:blip r:embed="rId10"/>
                    <a:stretch>
                      <a:fillRect/>
                    </a:stretch>
                  </pic:blipFill>
                  <pic:spPr bwMode="auto">
                    <a:xfrm>
                      <a:off x="0" y="0"/>
                      <a:ext cx="5669280" cy="2176145"/>
                    </a:xfrm>
                    <a:prstGeom prst="rect">
                      <a:avLst/>
                    </a:prstGeom>
                    <a:noFill/>
                  </pic:spPr>
                </pic:pic>
              </a:graphicData>
            </a:graphic>
          </wp:inline>
        </w:drawing>
      </w:r>
    </w:p>
    <w:p>
      <w:pPr>
        <w:pStyle w:val="Normal"/>
        <w:spacing w:lineRule="auto" w:line="480"/>
        <w:rPr/>
      </w:pPr>
      <w:r>
        <w:rPr/>
        <w:t>Figure 8. Left: R² of the dose-rate regression against the Oulu neutron monitor count rate (27-sol smoothed) as a function of lag, detector E; the peak (best fit) sits within 10 sols of zero, indistinguishable from an instantaneous response. Right: hysteresis loop -- dose rate (detector E) plotted against the neutron monitor count rate (387-sol smoothed, at the best-fit lag), colored by SOL; separate linear fits for the declining phase of solar cycle 24 (blue, SOL &lt; 2600) and the rising phase of cycle 25 (red, SOL ≥ 2600) show a significantly steeper slope during the rise (Table 4).</w:t>
      </w:r>
    </w:p>
    <w:p>
      <w:pPr>
        <w:pStyle w:val="Normal"/>
        <w:spacing w:lineRule="auto" w:line="480"/>
        <w:rPr/>
      </w:pPr>
      <w:r>
        <w:rPr/>
      </w:r>
    </w:p>
    <w:p>
      <w:pPr>
        <w:pStyle w:val="Normal"/>
        <w:spacing w:lineRule="auto" w:line="480"/>
        <w:rPr/>
      </w:pPr>
      <w:r>
        <w:rPr/>
        <w:drawing>
          <wp:inline distT="0" distB="0" distL="0" distR="0">
            <wp:extent cx="5669280" cy="2543175"/>
            <wp:effectExtent l="0" t="0" r="0" b="0"/>
            <wp:docPr id="1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3"/>
                    <pic:cNvPicPr>
                      <a:picLocks noChangeAspect="1" noChangeArrowheads="1"/>
                    </pic:cNvPicPr>
                  </pic:nvPicPr>
                  <pic:blipFill>
                    <a:blip r:embed="rId11"/>
                    <a:stretch>
                      <a:fillRect/>
                    </a:stretch>
                  </pic:blipFill>
                  <pic:spPr bwMode="auto">
                    <a:xfrm>
                      <a:off x="0" y="0"/>
                      <a:ext cx="5669280" cy="2543175"/>
                    </a:xfrm>
                    <a:prstGeom prst="rect">
                      <a:avLst/>
                    </a:prstGeom>
                    <a:noFill/>
                  </pic:spPr>
                </pic:pic>
              </a:graphicData>
            </a:graphic>
          </wp:inline>
        </w:drawing>
      </w:r>
    </w:p>
    <w:p>
      <w:pPr>
        <w:pStyle w:val="Normal"/>
        <w:spacing w:lineRule="auto" w:line="480" w:before="0" w:after="160"/>
        <w:rPr/>
      </w:pPr>
      <w:r>
        <w:rPr/>
        <w:t>Figure 9. Lomb-Scargle periodogram (detector E) of the neutron-monitor regression residual, periods 4-1,500 sols. Dashed gray lines mark scan-corrected false-alarm-probability thresholds for peaks found by scanning; the single, pre-specified annual frequency (red dotted line) sits at the noise floor (FAP = 1.00 for detector E, 0.99 for detector B, evaluated without a scan correction, since it is one externally motivated hypothesis rather than a peak found by searching). The rise toward the longest periods scanned reflects imperfect linear detrending of the secular trend, not periodicity.</w:t>
      </w:r>
    </w:p>
    <w:sectPr>
      <w:type w:val="nextPage"/>
      <w:pgSz w:w="11906" w:h="16838"/>
      <w:pgMar w:left="1701" w:right="1701" w:gutter="0" w:header="0" w:top="1417" w:footer="0" w:bottom="1417"/>
      <w:lnNumType w:countBy="1" w:restart="continuous" w:distance="283"/>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Liberation Sans">
    <w:altName w:val="Arial"/>
    <w:charset w:val="00"/>
    <w:family w:val="swiss"/>
    <w:pitch w:val="variable"/>
  </w:font>
  <w:font w:name="Georgia">
    <w:charset w:val="00"/>
    <w:family w:val="roman"/>
    <w:pitch w:val="variable"/>
  </w:font>
</w:fonts>
</file>

<file path=word/settings.xml><?xml version="1.0" encoding="utf-8"?>
<w:settings xmlns:w="http://schemas.openxmlformats.org/wordprocessingml/2006/main">
  <w:zoom w:percent="130"/>
  <w:defaultTabStop w:val="720"/>
  <w:autoHyphenation w:val="true"/>
  <w:hyphenationZone w:val="36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4"/>
        <w:szCs w:val="24"/>
        <w:lang w:val="en-US" w:eastAsia="pt-BR"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480" w:before="0" w:after="160"/>
      <w:jc w:val="left"/>
    </w:pPr>
    <w:rPr>
      <w:rFonts w:ascii="Calibri" w:hAnsi="Calibri" w:eastAsia="Calibri" w:cs="Calibri"/>
      <w:color w:val="auto"/>
      <w:kern w:val="0"/>
      <w:sz w:val="24"/>
      <w:szCs w:val="22"/>
      <w:lang w:val="en-US" w:eastAsia="pt-BR" w:bidi="ar-SA"/>
    </w:rPr>
  </w:style>
  <w:style w:type="paragraph" w:styleId="Heading1">
    <w:name w:val="heading 1"/>
    <w:basedOn w:val="Normal"/>
    <w:next w:val="Normal"/>
    <w:uiPriority w:val="9"/>
    <w:qFormat/>
    <w:pPr>
      <w:keepNext w:val="true"/>
      <w:keepLines/>
      <w:spacing w:before="480" w:after="120"/>
      <w:outlineLvl w:val="0"/>
    </w:pPr>
    <w:rPr>
      <w:b/>
      <w:sz w:val="48"/>
      <w:szCs w:val="48"/>
    </w:rPr>
  </w:style>
  <w:style w:type="paragraph" w:styleId="Heading2">
    <w:name w:val="heading 2"/>
    <w:basedOn w:val="Normal"/>
    <w:next w:val="Normal"/>
    <w:uiPriority w:val="9"/>
    <w:semiHidden/>
    <w:unhideWhenUsed/>
    <w:qFormat/>
    <w:pPr>
      <w:keepNext w:val="true"/>
      <w:keepLines/>
      <w:spacing w:before="360" w:after="80"/>
      <w:outlineLvl w:val="1"/>
    </w:pPr>
    <w:rPr>
      <w:b/>
      <w:sz w:val="36"/>
      <w:szCs w:val="36"/>
    </w:rPr>
  </w:style>
  <w:style w:type="paragraph" w:styleId="Heading3">
    <w:name w:val="heading 3"/>
    <w:basedOn w:val="Normal"/>
    <w:next w:val="Normal"/>
    <w:uiPriority w:val="9"/>
    <w:semiHidden/>
    <w:unhideWhenUsed/>
    <w:qFormat/>
    <w:pPr>
      <w:keepNext w:val="true"/>
      <w:keepLines/>
      <w:spacing w:before="280" w:after="80"/>
      <w:outlineLvl w:val="2"/>
    </w:pPr>
    <w:rPr>
      <w:b/>
      <w:sz w:val="28"/>
      <w:szCs w:val="28"/>
    </w:rPr>
  </w:style>
  <w:style w:type="paragraph" w:styleId="Heading4">
    <w:name w:val="heading 4"/>
    <w:basedOn w:val="Normal"/>
    <w:next w:val="Normal"/>
    <w:uiPriority w:val="9"/>
    <w:semiHidden/>
    <w:unhideWhenUsed/>
    <w:qFormat/>
    <w:pPr>
      <w:keepNext w:val="true"/>
      <w:keepLines/>
      <w:spacing w:before="240" w:after="40"/>
      <w:outlineLvl w:val="3"/>
    </w:pPr>
    <w:rPr>
      <w:b/>
      <w:sz w:val="24"/>
      <w:szCs w:val="24"/>
    </w:rPr>
  </w:style>
  <w:style w:type="paragraph" w:styleId="Heading5">
    <w:name w:val="heading 5"/>
    <w:basedOn w:val="Normal"/>
    <w:next w:val="Normal"/>
    <w:uiPriority w:val="9"/>
    <w:semiHidden/>
    <w:unhideWhenUsed/>
    <w:qFormat/>
    <w:pPr>
      <w:keepNext w:val="true"/>
      <w:keepLines/>
      <w:spacing w:before="220" w:after="40"/>
      <w:outlineLvl w:val="4"/>
    </w:pPr>
    <w:rPr>
      <w:b/>
    </w:rPr>
  </w:style>
  <w:style w:type="paragraph" w:styleId="Heading6">
    <w:name w:val="heading 6"/>
    <w:basedOn w:val="Normal"/>
    <w:next w:val="Normal"/>
    <w:uiPriority w:val="9"/>
    <w:semiHidden/>
    <w:unhideWhenUsed/>
    <w:qFormat/>
    <w:pPr>
      <w:keepNext w:val="true"/>
      <w:keepLines/>
      <w:spacing w:before="200" w:after="40"/>
      <w:outlineLvl w:val="5"/>
    </w:pPr>
    <w:rPr>
      <w:b/>
      <w:sz w:val="20"/>
      <w:szCs w:val="20"/>
    </w:rPr>
  </w:style>
  <w:style w:type="character" w:styleId="DefaultParagraphFont" w:default="1">
    <w:name w:val="Default Paragraph Font"/>
    <w:uiPriority w:val="1"/>
    <w:semiHidden/>
    <w:unhideWhenUsed/>
    <w:qFormat/>
    <w:rPr/>
  </w:style>
  <w:style w:type="character" w:styleId="Emphasis">
    <w:name w:val="Emphasis"/>
    <w:basedOn w:val="DefaultParagraphFont"/>
    <w:uiPriority w:val="20"/>
    <w:qFormat/>
    <w:rsid w:val="00152d08"/>
    <w:rPr>
      <w:i/>
      <w:iCs/>
    </w:rPr>
  </w:style>
  <w:style w:type="character" w:styleId="Hyperlink">
    <w:name w:val="Hyperlink"/>
    <w:basedOn w:val="DefaultParagraphFont"/>
    <w:uiPriority w:val="99"/>
    <w:semiHidden/>
    <w:unhideWhenUsed/>
    <w:qFormat/>
    <w:rsid w:val="00152d08"/>
    <w:rPr>
      <w:color w:val="0000FF"/>
      <w:u w:val="single"/>
    </w:rPr>
  </w:style>
  <w:style w:type="character" w:styleId="LineNumber">
    <w:name w:val="line number"/>
    <w:rPr/>
  </w:style>
  <w:style w:type="paragraph" w:styleId="Ttulo">
    <w:name w:val="Título"/>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ndice">
    <w:name w:val="Índice"/>
    <w:basedOn w:val="Normal"/>
    <w:qFormat/>
    <w:pPr>
      <w:suppressLineNumbers/>
    </w:pPr>
    <w:rPr>
      <w:rFonts w:cs="Arial"/>
    </w:rPr>
  </w:style>
  <w:style w:type="paragraph" w:styleId="Ttulouser">
    <w:name w:val="Título (user)"/>
    <w:basedOn w:val="Normal"/>
    <w:next w:val="BodyText"/>
    <w:qFormat/>
    <w:pPr>
      <w:keepNext w:val="true"/>
      <w:spacing w:before="240" w:after="120"/>
    </w:pPr>
    <w:rPr>
      <w:rFonts w:ascii="Liberation Sans" w:hAnsi="Liberation Sans" w:eastAsia="Microsoft YaHei" w:cs="Lucida Sans"/>
      <w:sz w:val="28"/>
      <w:szCs w:val="28"/>
    </w:rPr>
  </w:style>
  <w:style w:type="paragraph" w:styleId="ndiceuser">
    <w:name w:val="Índice (user)"/>
    <w:basedOn w:val="Normal"/>
    <w:qFormat/>
    <w:pPr>
      <w:suppressLineNumbers/>
    </w:pPr>
    <w:rPr>
      <w:rFonts w:cs="Lucida Sans"/>
      <w:lang w:val="zxx" w:eastAsia="zxx" w:bidi="zxx"/>
    </w:rPr>
  </w:style>
  <w:style w:type="paragraph" w:styleId="Title">
    <w:name w:val="Title"/>
    <w:basedOn w:val="Normal"/>
    <w:next w:val="Normal"/>
    <w:uiPriority w:val="10"/>
    <w:qFormat/>
    <w:pPr>
      <w:keepNext w:val="true"/>
      <w:keepLines/>
      <w:spacing w:before="480" w:after="120"/>
    </w:pPr>
    <w:rPr>
      <w:b/>
      <w:sz w:val="72"/>
      <w:szCs w:val="72"/>
    </w:rPr>
  </w:style>
  <w:style w:type="paragraph" w:styleId="ListParagraph">
    <w:name w:val="List Paragraph"/>
    <w:basedOn w:val="Normal"/>
    <w:uiPriority w:val="34"/>
    <w:qFormat/>
    <w:rsid w:val="00b07162"/>
    <w:pPr>
      <w:spacing w:before="0" w:after="160"/>
      <w:ind w:hanging="0" w:left="720"/>
      <w:contextualSpacing/>
    </w:pPr>
    <w:rPr/>
  </w:style>
  <w:style w:type="paragraph" w:styleId="Subtitle">
    <w:name w:val="Subtitle"/>
    <w:basedOn w:val="Normal"/>
    <w:next w:val="Normal"/>
    <w:uiPriority w:val="11"/>
    <w:qFormat/>
    <w:pPr>
      <w:keepNext w:val="true"/>
      <w:keepLines/>
      <w:spacing w:before="360" w:after="80"/>
    </w:pPr>
    <w:rPr>
      <w:rFonts w:ascii="Georgia" w:hAnsi="Georgia" w:eastAsia="Georgia" w:cs="Georgia"/>
      <w:i/>
      <w:color w:val="666666"/>
      <w:sz w:val="48"/>
      <w:szCs w:val="48"/>
    </w:rPr>
  </w:style>
  <w:style w:type="paragraph" w:styleId="NormalWeb">
    <w:name w:val="Normal (Web)"/>
    <w:basedOn w:val="Normal"/>
    <w:uiPriority w:val="99"/>
    <w:semiHidden/>
    <w:unhideWhenUsed/>
    <w:qFormat/>
    <w:rsid w:val="00152d08"/>
    <w:pPr>
      <w:spacing w:lineRule="auto" w:line="240" w:beforeAutospacing="1" w:afterAutospacing="1"/>
    </w:pPr>
    <w:rPr>
      <w:rFonts w:ascii="Times New Roman" w:hAnsi="Times New Roman" w:eastAsia="Times New Roman" w:cs="Times New Roman"/>
      <w:sz w:val="24"/>
      <w:szCs w:val="24"/>
      <w:lang w:val="pt-BR"/>
    </w:rPr>
  </w:style>
  <w:style w:type="numbering" w:styleId="Semlista" w:default="1">
    <w:name w:val="Sem lista"/>
    <w:uiPriority w:val="99"/>
    <w:semiHidden/>
    <w:unhideWhenUsed/>
    <w:qFormat/>
  </w:style>
  <w:style w:type="table" w:default="1" w:styleId="Tabelanormal">
    <w:name w:val="Normal Table"/>
    <w:uiPriority w:val="99"/>
    <w:semiHidden/>
    <w:unhideWhenUsed/>
    <w:tblPr>
      <w:tblCellMar>
        <w:top w:w="0" w:type="dxa"/>
        <w:left w:w="108" w:type="dxa"/>
        <w:bottom w:w="0" w:type="dxa"/>
        <w:right w:w="108" w:type="dxa"/>
      </w:tblCellMar>
    </w:tblPr>
  </w:style>
  <w:style w:type="table" w:customStyle="1" w:styleId="TableNormal">
    <w:name w:val="Table Normal"/>
    <w:tblPr>
      <w:tblCellMar>
        <w:top w:w="0" w:type="dxa"/>
        <w:left w:w="0" w:type="dxa"/>
        <w:bottom w:w="0" w:type="dxa"/>
        <w:right w:w="0" w:type="dxa"/>
      </w:tblCellMar>
    </w:tblPr>
  </w:style>
  <w:style w:type="table" w:styleId="Tabelacomgrade">
    <w:name w:val="Table Grid"/>
    <w:basedOn w:val="Tabelanormal"/>
    <w:uiPriority w:val="39"/>
    <w:rsid w:val="009c25e2"/>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Relationship Id="rId15"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name="Tema do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roundtripDataSignature="AMtx7mjJUug/8DgNWFAanP1byHWk/o2OSg==">AMUW2mWLF5GAJ5P7RnxVVl7jpEoI2jfmiQ6KcLSVmLb3O3JhsMSMc8/DwkswLgP5QA2fbibIpPRF9WPJFvUwGUCRhiAPVdivKqY65UIEqmJDAK9eNu11owY=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4465</TotalTime>
  <Application>LibreOffice/26.2.5.2$Windows_X86_64 LibreOffice_project/cd7284b4cbbfeb507e630c1aac019f4157393acb</Application>
  <AppVersion>15.0000</AppVersion>
  <Pages>42</Pages>
  <Words>7524</Words>
  <Characters>43590</Characters>
  <CharactersWithSpaces>50748</CharactersWithSpaces>
  <Paragraphs>339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2021-06-27T17:09:00Z</dcterms:created>
  <dc:creator>Administrador</dc:creator>
  <dc:description/>
  <dc:language>pt-BR</dc:language>
  <cp:lastModifiedBy/>
  <dcterms:modified xsi:type="dcterms:W3CDTF">2026-09-06T15:20:48Z</dcterms:modified>
  <cp:revision>12</cp:revision>
  <dc:subject/>
  <dc:title/>
</cp:coreProperties>
</file>

<file path=docProps/custom.xml><?xml version="1.0" encoding="utf-8"?>
<Properties xmlns="http://schemas.openxmlformats.org/officeDocument/2006/custom-properties" xmlns:vt="http://schemas.openxmlformats.org/officeDocument/2006/docPropsVTypes"/>
</file>