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both"/>
        <w:rPr>
          <w:rFonts w:ascii="Calibri" w:hAnsi="Calibri"/>
          <w:sz w:val="24"/>
          <w:szCs w:val="24"/>
        </w:rPr>
      </w:pPr>
      <w:r>
        <w:rPr>
          <w:b/>
          <w:color w:val="000000"/>
          <w:kern w:val="0"/>
          <w:sz w:val="24"/>
          <w:szCs w:val="24"/>
          <w:lang w:val="en-US" w:eastAsia="pt-BR" w:bidi="ar-SA"/>
        </w:rPr>
        <w:t>Hysteresis in the Solar-Cycle Modulation of Martian Surface Radiation: 13.5 Years of MSL/RAD Observations Across a Full Cycle Reversal</w:t>
      </w:r>
    </w:p>
    <w:p>
      <w:pPr>
        <w:pStyle w:val="Normal"/>
        <w:spacing w:lineRule="auto" w:line="480"/>
        <w:jc w:val="both"/>
        <w:rPr>
          <w:rFonts w:ascii="Calibri" w:hAnsi="Calibri"/>
          <w:sz w:val="24"/>
          <w:szCs w:val="24"/>
        </w:rPr>
      </w:pPr>
      <w:r>
        <w:rPr/>
        <w:t>Cesar Amaral</w:t>
      </w:r>
      <w:r>
        <w:rPr>
          <w:vertAlign w:val="superscript"/>
        </w:rPr>
        <w:t>1,*</w:t>
      </w:r>
      <w:r>
        <w:rPr/>
        <w:t>, Dafne Adriana Abreu dos Anjos</w:t>
      </w:r>
      <w:r>
        <w:rPr>
          <w:vertAlign w:val="superscript"/>
        </w:rPr>
        <w:t>1</w:t>
      </w:r>
      <w:r>
        <w:rPr/>
        <w:t>, Anna Luisa dos Santos Donato</w:t>
      </w:r>
      <w:r>
        <w:rPr>
          <w:vertAlign w:val="superscript"/>
        </w:rPr>
        <w:t>1</w:t>
      </w:r>
      <w:r>
        <w:rPr/>
        <w:t>, and Leticia Bastos Eller</w:t>
      </w:r>
      <w:r>
        <w:rPr>
          <w:vertAlign w:val="superscript"/>
        </w:rPr>
        <w:t>1</w:t>
      </w:r>
    </w:p>
    <w:p>
      <w:pPr>
        <w:pStyle w:val="Normal"/>
        <w:spacing w:lineRule="auto" w:line="480"/>
        <w:jc w:val="both"/>
        <w:rPr>
          <w:rFonts w:ascii="Calibri" w:hAnsi="Calibri"/>
          <w:sz w:val="24"/>
          <w:szCs w:val="24"/>
        </w:rPr>
      </w:pPr>
      <w:r>
        <w:rPr>
          <w:vertAlign w:val="superscript"/>
        </w:rPr>
        <w:t>1</w:t>
      </w:r>
      <w:r>
        <w:rPr/>
        <w:t>Núcleo de Genética Molecular Ambiental e Astrobiologia, Departamento de Biofísica e Biometria, Instituto de Biologia Roberto Alcantara Gomes, Universidade do Estado do Rio de Janeiro (UERJ), Avenida São Francisco Xavier, 524, Maracanã, Pavilhão Haroldo Lisboa da Cunha, CEP 20550-900, Rio de Janeiro, RJ, Brazil</w:t>
      </w:r>
    </w:p>
    <w:p>
      <w:pPr>
        <w:pStyle w:val="Normal"/>
        <w:spacing w:lineRule="auto" w:line="480"/>
        <w:rPr/>
      </w:pPr>
      <w:r>
        <w:rPr>
          <w:vertAlign w:val="superscript"/>
        </w:rPr>
        <w:t>*</w:t>
      </w:r>
      <w:r>
        <w:rPr/>
        <w:t>Corresponding author: Cesar Amaral (cesar.amaral@uerj.br)</w:t>
      </w:r>
    </w:p>
    <w:p>
      <w:pPr>
        <w:pStyle w:val="Normal"/>
        <w:spacing w:lineRule="auto" w:line="480"/>
        <w:jc w:val="both"/>
        <w:rPr>
          <w:rFonts w:ascii="Calibri" w:hAnsi="Calibri"/>
          <w:color w:val="000000"/>
          <w:sz w:val="24"/>
          <w:szCs w:val="24"/>
          <w:lang w:val="pt-BR"/>
        </w:rPr>
      </w:pPr>
      <w:r>
        <w:rPr>
          <w:color w:val="000000"/>
          <w:sz w:val="24"/>
          <w:szCs w:val="24"/>
          <w:lang w:val="pt-BR"/>
        </w:rPr>
      </w:r>
    </w:p>
    <w:p>
      <w:pPr>
        <w:pStyle w:val="Normal"/>
        <w:spacing w:lineRule="auto" w:line="480"/>
        <w:rPr/>
      </w:pPr>
      <w:r>
        <w:rPr>
          <w:b/>
        </w:rPr>
        <w:t>Key Points:</w:t>
      </w:r>
    </w:p>
    <w:p>
      <w:pPr>
        <w:pStyle w:val="Normal"/>
        <w:spacing w:lineRule="auto" w:line="480"/>
        <w:rPr/>
      </w:pPr>
      <w:r>
        <w:rPr/>
        <w:t xml:space="preserve">• </w:t>
      </w:r>
      <w:r>
        <w:rPr/>
        <w:t>A 13.5-year MSL/RAD record reveals significant solar-cycle hysteresis in Martian surface radiation dose rate.</w:t>
      </w:r>
    </w:p>
    <w:p>
      <w:pPr>
        <w:pStyle w:val="Normal"/>
        <w:spacing w:lineRule="auto" w:line="480"/>
        <w:rPr/>
      </w:pPr>
      <w:r>
        <w:rPr/>
        <w:t xml:space="preserve">• </w:t>
      </w:r>
      <w:r>
        <w:rPr/>
        <w:t>Three independent methods find no seasonal radiation cycle on Mars, confirmed by a positive control using real pressure data.</w:t>
      </w:r>
    </w:p>
    <w:p>
      <w:pPr>
        <w:pStyle w:val="Normal"/>
        <w:spacing w:lineRule="auto" w:line="480"/>
        <w:rPr/>
      </w:pPr>
      <w:r>
        <w:rPr/>
        <w:t xml:space="preserve">• </w:t>
      </w:r>
      <w:r>
        <w:rPr/>
        <w:t>Measured surface dose implies mission doses of 890-1130 mSv, exceeding NASA's 600 mSv career limit before any solar particle event.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Abstract</w:t>
      </w:r>
    </w:p>
    <w:p>
      <w:pPr>
        <w:pStyle w:val="Normal"/>
        <w:spacing w:lineRule="auto" w:line="480"/>
        <w:jc w:val="both"/>
        <w:rPr>
          <w:rFonts w:ascii="Calibri" w:hAnsi="Calibri"/>
          <w:sz w:val="24"/>
          <w:szCs w:val="24"/>
        </w:rPr>
      </w:pPr>
      <w:r>
        <w:rPr/>
        <w:t>The Radiation Assessment Detector (RAD) aboard the Mars Science Laboratory rover Curiosity has measured the surface radiation environment at Gale Crater since August 2012. We analyze the RAD detector B (silicon) and E (plastic) dose-rate record through SOL 04843 (about 13.5 Earth years), the first published analysis spanning a complete solar-cycle reversal: the decline of cycle 24 into the 2019-2020 minimum and the rise of cycle 25. Dose rate anti-correlates with atmospheric pressure diurnally, as previously reported. Regressed against the Oulu neutron monitor count rate, a direct physical proxy for heliospheric modulation, dose rate explains 95-96% of its variance, essentially instantaneously, but with a statistically significant hysteresis: the response is about 20% steeper during the rise of cycle 25 than during the decline of cycle 24. Three independent methods, classical decomposition, wavelet transform, and a Lomb-Scargle periodogram, find no annual periodicity; a positive-control test on real atmospheric pressure, with a genuine seasonal cycle, shows 26 to 31 times more seasonal structure than the dose-rate residual, confirming this negative result is real, not a method limitation. The long-term dose-rate variation is therefore a smooth, hysteretic response to solar-cycle modulation, not a resolved seasonal cycle. Combined with the instrument's own quality factor and cruise dose, the surface dose rate implies a round-trip 500-day surface mission would accumulate 890 to 1,130 mSv depending on solar-cycle phase, 1.5 to 1.9 times the current NASA career limit, before any particle event or prior exposure. These results refine radiation-dose planning for future human Mars missions.</w:t>
      </w:r>
    </w:p>
    <w:p>
      <w:pPr>
        <w:pStyle w:val="Normal"/>
        <w:spacing w:lineRule="auto" w:line="480"/>
        <w:rPr/>
      </w:pPr>
      <w:r>
        <w:rPr/>
        <w:t>Plain Language Summary</w:t>
      </w:r>
    </w:p>
    <w:p>
      <w:pPr>
        <w:pStyle w:val="Normal"/>
        <w:spacing w:lineRule="auto" w:line="480"/>
        <w:rPr/>
      </w:pPr>
      <w:r>
        <w:rPr/>
        <w:t>The Curiosity rover on Mars carries an instrument that has measured surface radiation since 2012. We analyzed over 13 years of data, the longest stretch studied so far, covering a complete rise-and-fall of the Sun's 11-year activity cycle. Radiation on Mars surface comes mostly from particles from outside the solar system, and the Sun's activity partly shields against these particles: when the Sun is more active, less radiation reaches Mars. We found that Mars surface radiation responds to solar activity almost immediately, but not the same way going up as going down: the response is about a fifth stronger while activity climbs back up than while it was declining. This asymmetry had never been shown before, because no previous study covered both a decline and a rise. We also tested whether Mars has a radiation cycle tied to its own seasons, and found none, confirmed using real Martian air-pressure data as a check that our method would have found such a cycle if it existed. Using the instrument's own calibration, a round-trip astronaut mission to the Martian surface would receive more radiation than the current lifetime safety limit for astronauts, regardless of when in the solar cycle the mission occurs.</w:t>
      </w:r>
    </w:p>
    <w:p>
      <w:pPr>
        <w:pStyle w:val="Normal"/>
        <w:spacing w:lineRule="auto" w:line="480"/>
        <w:rPr/>
      </w:pPr>
      <w:r>
        <w:rPr/>
      </w:r>
    </w:p>
    <w:p>
      <w:pPr>
        <w:pStyle w:val="Normal"/>
        <w:spacing w:lineRule="auto" w:line="480"/>
        <w:rPr/>
      </w:pPr>
      <w:r>
        <w:rPr/>
        <w:t>Keywords: Mars, galactic cosmic rays, solar cycle, radiation dose, hysteresis, human spaceflight</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1. Introduction</w:t>
      </w:r>
    </w:p>
    <w:p>
      <w:pPr>
        <w:pStyle w:val="Normal"/>
        <w:spacing w:lineRule="auto" w:line="480"/>
        <w:jc w:val="both"/>
        <w:rPr>
          <w:rFonts w:ascii="Calibri" w:hAnsi="Calibri"/>
          <w:sz w:val="24"/>
          <w:szCs w:val="24"/>
        </w:rPr>
      </w:pPr>
      <w:r>
        <w:rPr/>
        <w:t>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480"/>
        <w:jc w:val="both"/>
        <w:rPr>
          <w:rFonts w:ascii="Calibri" w:hAnsi="Calibri"/>
          <w:sz w:val="24"/>
          <w:szCs w:val="24"/>
        </w:rPr>
      </w:pPr>
      <w:r>
        <w:rPr>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480"/>
        <w:jc w:val="both"/>
        <w:rPr>
          <w:rFonts w:ascii="Calibri" w:hAnsi="Calibri"/>
          <w:sz w:val="24"/>
          <w:szCs w:val="24"/>
        </w:rPr>
      </w:pPr>
      <w:r>
        <w:rPr>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480"/>
        <w:jc w:val="both"/>
        <w:rPr>
          <w:rFonts w:ascii="Calibri" w:hAnsi="Calibri"/>
          <w:sz w:val="24"/>
          <w:szCs w:val="24"/>
        </w:rPr>
      </w:pPr>
      <w:r>
        <w:rPr>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480"/>
        <w:jc w:val="both"/>
        <w:rPr>
          <w:rFonts w:ascii="Calibri" w:hAnsi="Calibri"/>
          <w:sz w:val="24"/>
          <w:szCs w:val="24"/>
        </w:rPr>
      </w:pPr>
      <w:r>
        <w:rPr>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spacing w:lineRule="auto" w:line="480"/>
        <w:rPr>
          <w:rFonts w:ascii="Calibri" w:hAnsi="Calibri"/>
          <w:sz w:val="24"/>
          <w:szCs w:val="24"/>
        </w:rPr>
      </w:pPr>
      <w:r>
        <w:rP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 Materials and Methods</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2.1 RAD Instrument</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480"/>
        <w:jc w:val="both"/>
        <w:rPr>
          <w:rFonts w:ascii="Calibri" w:hAnsi="Calibri"/>
          <w:sz w:val="24"/>
          <w:szCs w:val="24"/>
        </w:rPr>
      </w:pPr>
      <w:r>
        <w:rPr>
          <w:b/>
          <w:sz w:val="24"/>
          <w:szCs w:val="24"/>
        </w:rPr>
        <w:t>2.2 Dose Rate Calculation</w:t>
      </w:r>
    </w:p>
    <w:p>
      <w:pPr>
        <w:pStyle w:val="Normal"/>
        <w:spacing w:lineRule="auto" w:line="480"/>
        <w:jc w:val="both"/>
        <w:rPr>
          <w:rFonts w:ascii="Calibri" w:hAnsi="Calibri"/>
          <w:sz w:val="24"/>
          <w:szCs w:val="24"/>
        </w:rPr>
      </w:pPr>
      <w:r>
        <w:rPr>
          <w:sz w:val="24"/>
          <w:szCs w:val="24"/>
        </w:rPr>
        <w:t xml:space="preserve">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Equation </w:t>
      </w:r>
      <w:r>
        <w:rPr>
          <w:sz w:val="24"/>
          <w:szCs w:val="24"/>
        </w:rPr>
        <w:t>1</w:t>
      </w:r>
      <w:r>
        <w:rPr>
          <w:sz w:val="24"/>
          <w:szCs w:val="24"/>
        </w:rPr>
        <w:t>:</w:t>
      </w:r>
    </w:p>
    <w:p>
      <w:pPr>
        <w:pStyle w:val="Normal"/>
        <w:spacing w:lineRule="auto" w:line="480"/>
        <w:jc w:val="both"/>
        <w:rPr>
          <w:rFonts w:ascii="Calibri" w:hAnsi="Calibri"/>
          <w:color w:val="000000"/>
          <w:sz w:val="24"/>
          <w:szCs w:val="24"/>
        </w:rPr>
      </w:pPr>
      <w:r>
        <w:rPr>
          <w:color w:val="000000"/>
          <w:sz w:val="24"/>
          <w:szCs w:val="24"/>
        </w:rPr>
      </w:r>
    </w:p>
    <w:p>
      <w:pPr>
        <w:pStyle w:val="Normal"/>
        <w:tabs>
          <w:tab w:val="center" w:pos="4252"/>
          <w:tab w:val="right" w:pos="8504"/>
        </w:tabs>
        <w:spacing w:lineRule="auto" w:line="480"/>
        <w:jc w:val="both"/>
        <w:rPr>
          <w:rFonts w:ascii="Calibri" w:hAnsi="Calibri"/>
          <w:color w:val="000000"/>
          <w:sz w:val="24"/>
          <w:szCs w:val="24"/>
        </w:rPr>
      </w:pPr>
      <w:r>
        <w:tab/>
      </w:r>
      <m:oMath xmlns:m="http://schemas.openxmlformats.org/officeDocument/2006/math">
        <m:r>
          <m:t>D</m:t>
        </m:r>
        <m:d>
          <m:dPr>
            <m:begChr m:val="("/>
            <m:endChr m:val=")"/>
          </m:dPr>
          <m:e>
            <m:r>
              <m:t>Φ,P</m:t>
            </m:r>
          </m:e>
        </m:d>
        <m:r>
          <m:t>=</m:t>
        </m:r>
        <m:nary>
          <m:naryPr>
            <m:chr m:val="∑"/>
            <m:limLoc m:val="undOvr"/>
            <m:supHide m:val="1"/>
          </m:naryPr>
          <m:sub>
            <m:r>
              <m:t>j</m:t>
            </m:r>
          </m:sub>
          <m:sup/>
          <m:e>
            <m:nary>
              <m:naryPr>
                <m:chr m:val="∑"/>
                <m:limLoc m:val="undOvr"/>
                <m:supHide m:val="1"/>
              </m:naryPr>
              <m:sub>
                <m:r>
                  <m:rPr>
                    <m:sty m:val="p"/>
                  </m:rPr>
                  <m:t>area</m:t>
                </m:r>
              </m:sub>
              <m:sup/>
              <m:e>
                <m:nary>
                  <m:naryPr>
                    <m:chr m:val="∫"/>
                    <m:limLoc m:val="subSup"/>
                  </m:naryPr>
                  <m:sub>
                    <m:r>
                      <m:t>ε</m:t>
                    </m:r>
                    <m:r>
                      <m:rPr>
                        <m:sty m:val="p"/>
                      </m:rPr>
                      <m:t>min</m:t>
                    </m:r>
                  </m:sub>
                  <m:sup>
                    <m:r>
                      <m:t>ε</m:t>
                    </m:r>
                    <m:r>
                      <m:rPr>
                        <m:sty m:val="p"/>
                      </m:rPr>
                      <m:t>max</m:t>
                    </m:r>
                  </m:sup>
                  <m:e>
                    <m:nary>
                      <m:naryPr>
                        <m:chr m:val="∫"/>
                        <m:limLoc m:val="subSup"/>
                      </m:naryPr>
                      <m:sub>
                        <m:r>
                          <m:t>0</m:t>
                        </m:r>
                      </m:sub>
                      <m:sup>
                        <m:r>
                          <m:t>∞</m:t>
                        </m:r>
                      </m:sup>
                      <m:e>
                        <m:sSub>
                          <m:e>
                            <m:r>
                              <m:t>λ</m:t>
                            </m:r>
                          </m:e>
                          <m:sub>
                            <m:r>
                              <m:t>j</m:t>
                            </m:r>
                          </m:sub>
                        </m:sSub>
                        <m:d>
                          <m:dPr>
                            <m:begChr m:val="("/>
                            <m:endChr m:val=")"/>
                          </m:dPr>
                          <m:e>
                            <m:r>
                              <m:t>E,ε</m:t>
                            </m:r>
                          </m:e>
                        </m:d>
                        <m:sSub>
                          <m:e>
                            <m:r>
                              <m:t>F</m:t>
                            </m:r>
                          </m:e>
                          <m:sub>
                            <m:r>
                              <m:t>j</m:t>
                            </m:r>
                          </m:sub>
                        </m:sSub>
                        <m:d>
                          <m:dPr>
                            <m:begChr m:val="("/>
                            <m:endChr m:val=")"/>
                          </m:dPr>
                          <m:e>
                            <m:r>
                              <m:t>Φ,P,E</m:t>
                            </m:r>
                          </m:e>
                        </m:d>
                        <m:r>
                          <m:rPr>
                            <m:sty m:val="p"/>
                          </m:rPr>
                          <m:t>d</m:t>
                        </m:r>
                        <m:r>
                          <m:t>E</m:t>
                        </m:r>
                        <m:r>
                          <m:rPr>
                            <m:sty m:val="p"/>
                          </m:rPr>
                          <m:t>d</m:t>
                        </m:r>
                        <m:r>
                          <m:t>ε</m:t>
                        </m:r>
                        <m:r>
                          <m:t>/m</m:t>
                        </m:r>
                      </m:e>
                    </m:nary>
                  </m:e>
                </m:nary>
              </m:e>
            </m:nary>
          </m:e>
        </m:nary>
      </m:oMath>
      <w:r>
        <w:rPr>
          <w:color w:val="000000"/>
          <w:sz w:val="24"/>
          <w:szCs w:val="24"/>
        </w:rPr>
        <w:tab/>
        <w:t>Equation 1.</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48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2.3 Statistical Analysis</w:t>
      </w:r>
    </w:p>
    <w:p>
      <w:pPr>
        <w:pStyle w:val="Normal"/>
        <w:spacing w:lineRule="auto" w:line="480"/>
        <w:rPr/>
      </w:pPr>
      <w:r>
        <w:rPr/>
        <w:t>For each ~90-SOL window (22 windows spanning SOL 00000-02482) the dose-rate time series of detectors B and E were summarized as window means and standard deviations (Table 1).</w:t>
      </w:r>
    </w:p>
    <w:p>
      <w:pPr>
        <w:pStyle w:val="Normal"/>
        <w:spacing w:lineRule="auto" w:line="480"/>
        <w:rPr/>
      </w:pPr>
      <w:r>
        <w:rP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pStyle w:val="Normal"/>
        <w:spacing w:lineRule="auto" w:line="480"/>
        <w:rPr/>
      </w:pPr>
      <w:r>
        <w:rP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pStyle w:val="Normal"/>
        <w:spacing w:lineRule="auto" w:line="480"/>
        <w:rPr/>
      </w:pPr>
      <w:r>
        <w:rP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pStyle w:val="Normal"/>
        <w:spacing w:lineRule="auto" w:line="480"/>
        <w:rPr/>
      </w:pPr>
      <w:r>
        <w:rP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pStyle w:val="Normal"/>
        <w:spacing w:lineRule="auto" w:line="480"/>
        <w:rPr/>
      </w:pPr>
      <w:r>
        <w:rP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pStyle w:val="Normal"/>
        <w:spacing w:lineRule="auto" w:line="480"/>
        <w:rPr/>
      </w:pPr>
      <w:r>
        <w:rP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pStyle w:val="Normal"/>
        <w:spacing w:lineRule="auto" w:line="480"/>
        <w:rPr/>
      </w:pPr>
      <w:r>
        <w:rP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pStyle w:val="Normal"/>
        <w:spacing w:lineRule="auto" w:line="480"/>
        <w:rPr/>
      </w:pPr>
      <w:r>
        <w:rP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pStyle w:val="Normal"/>
        <w:spacing w:lineRule="auto" w:line="480"/>
        <w:rPr/>
      </w:pPr>
      <w:r>
        <w:rP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pStyle w:val="Normal"/>
        <w:spacing w:lineRule="auto" w:line="480"/>
        <w:rPr/>
      </w:pPr>
      <w:r>
        <w:rP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480"/>
        <w:jc w:val="both"/>
        <w:rPr>
          <w:rFonts w:ascii="Calibri" w:hAnsi="Calibri"/>
          <w:sz w:val="24"/>
          <w:szCs w:val="24"/>
        </w:rPr>
      </w:pPr>
      <w:r>
        <w:rPr>
          <w:b/>
          <w:sz w:val="24"/>
          <w:szCs w:val="24"/>
        </w:rPr>
        <w:t>3. Results</w:t>
      </w:r>
    </w:p>
    <w:p>
      <w:pPr>
        <w:pStyle w:val="Normal"/>
        <w:spacing w:lineRule="auto" w:line="480"/>
        <w:jc w:val="both"/>
        <w:rPr>
          <w:rFonts w:ascii="Calibri" w:hAnsi="Calibri"/>
          <w:sz w:val="24"/>
          <w:szCs w:val="24"/>
        </w:rPr>
      </w:pPr>
      <w:r>
        <w:rPr>
          <w:b/>
          <w:sz w:val="24"/>
          <w:szCs w:val="24"/>
        </w:rPr>
        <w:t>3.1 Diurnal Variation</w:t>
      </w:r>
    </w:p>
    <w:p>
      <w:pPr>
        <w:pStyle w:val="Normal"/>
        <w:spacing w:lineRule="auto" w:line="480"/>
        <w:jc w:val="both"/>
        <w:rPr>
          <w:rFonts w:ascii="Calibri" w:hAnsi="Calibri"/>
          <w:sz w:val="24"/>
          <w:szCs w:val="24"/>
        </w:rPr>
      </w:pPr>
      <w:r>
        <w:rPr>
          <w:sz w:val="24"/>
          <w:szCs w:val="24"/>
        </w:rPr>
        <w:t>The total dose rate (measured by detector E) decreases as atmospheric pressure increases (Figure 1).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jc w:val="both"/>
        <w:rPr>
          <w:rFonts w:ascii="Calibri" w:hAnsi="Calibri"/>
          <w:sz w:val="24"/>
          <w:szCs w:val="24"/>
        </w:rPr>
      </w:pPr>
      <w:r>
        <w:rPr>
          <w:b/>
          <w:sz w:val="24"/>
          <w:szCs w:val="24"/>
        </w:rPr>
        <w:t>3.2 Long-Term and Periodic Variations</w:t>
      </w:r>
    </w:p>
    <w:p>
      <w:pPr>
        <w:pStyle w:val="Normal"/>
        <w:spacing w:lineRule="auto" w:line="480"/>
        <w:jc w:val="both"/>
        <w:rPr>
          <w:rFonts w:ascii="Calibri" w:hAnsi="Calibri" w:eastAsia="Open Sans" w:cs="Open Sans"/>
          <w:color w:val="000000"/>
          <w:sz w:val="24"/>
          <w:szCs w:val="24"/>
        </w:rPr>
      </w:pPr>
      <w:r>
        <w:rPr/>
        <w:t>For each of these ~90-sol windows, a continuous wavelet transform of the detector-E dose-rate time series was also computed (Section 2.3), shown in Figure 2 (SOL 00000-00804), Figure 3 (SOL 00805-01772), and Figure 4 (SOL 01773-02358). No window shows a stable, narrowband periodicity at the ~669-sol Martian-year timescale, consistent with the absence of a resolved seasonal cycle established directly in Section 3.3. The one notable feature is transient rather than periodic: panel A of Figure 4 (SOL 01773-01869) captures the September 2017 solar energetic particle event as a short-lived, broadband power excursion rather than a recurring seasonal signal.</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rPr/>
      </w:pPr>
      <w:r>
        <w:rPr/>
        <w:t>Table 1 reports the corresponding window-level dose-rate means and standard deviations; their relationship to solar activity is analyzed directly, over the full mission record, in Section 3.4.</w:t>
      </w:r>
    </w:p>
    <w:p>
      <w:pPr>
        <w:pStyle w:val="Normal"/>
        <w:spacing w:lineRule="auto" w:line="480"/>
        <w:jc w:val="both"/>
        <w:rPr>
          <w:rFonts w:ascii="Calibri" w:hAnsi="Calibri" w:eastAsia="Open Sans" w:cs="Open Sans"/>
          <w:color w:val="000000"/>
          <w:sz w:val="24"/>
          <w:szCs w:val="24"/>
        </w:rPr>
      </w:pPr>
      <w:r>
        <w:rPr>
          <w:rFonts w:eastAsia="Open Sans" w:cs="Open Sans"/>
          <w:color w:val="000000"/>
          <w:sz w:val="24"/>
          <w:szCs w:val="24"/>
        </w:rPr>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jc w:val="both"/>
        <w:rPr>
          <w:rFonts w:ascii="Calibri" w:hAnsi="Calibri"/>
          <w:sz w:val="24"/>
          <w:szCs w:val="24"/>
        </w:rPr>
      </w:pPr>
      <w:r>
        <w:rPr>
          <w:b/>
          <w:sz w:val="24"/>
          <w:szCs w:val="24"/>
        </w:rPr>
        <w:t>3.3 Total Mission Series Overview</w:t>
      </w:r>
    </w:p>
    <w:p>
      <w:pPr>
        <w:pStyle w:val="Normal"/>
        <w:spacing w:lineRule="auto" w:line="480" w:before="0" w:after="0"/>
        <w:jc w:val="both"/>
        <w:rPr>
          <w:rFonts w:ascii="Calibri" w:hAnsi="Calibri"/>
          <w:sz w:val="24"/>
          <w:szCs w:val="24"/>
        </w:rPr>
      </w:pPr>
      <w:r>
        <w:rPr>
          <w:color w:val="000000"/>
          <w:sz w:val="24"/>
          <w:szCs w:val="24"/>
          <w:lang w:val="pt-BR"/>
        </w:rPr>
        <w:t>The combined dataset analyzed in this section spans SOL 00001-04843 (Aug 2012 - Mar 2026), approximately 13.5 Earth years (7.24 Martian years).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rPr>
          <w:rFonts w:ascii="Calibri" w:hAnsi="Calibri"/>
          <w:sz w:val="24"/>
          <w:szCs w:val="24"/>
        </w:rPr>
      </w:pPr>
      <w:r>
        <w:rP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rPr/>
      </w:pPr>
      <w:r>
        <w:rPr/>
      </w:r>
    </w:p>
    <w:p>
      <w:pPr>
        <w:pStyle w:val="Normal"/>
        <w:spacing w:lineRule="auto" w:line="480"/>
        <w:rPr/>
      </w:pPr>
      <w:r>
        <w:rPr/>
        <w:t>3.4 Solar Activity and Atmospheric Pressure Regression</w:t>
      </w:r>
    </w:p>
    <w:p>
      <w:pPr>
        <w:pStyle w:val="Normal"/>
        <w:spacing w:lineRule="auto" w:line="480"/>
        <w:rPr/>
      </w:pPr>
      <w:r>
        <w:rPr/>
      </w:r>
    </w:p>
    <w:p>
      <w:pPr>
        <w:pStyle w:val="Normal"/>
        <w:spacing w:lineRule="auto" w:line="480"/>
        <w:rPr/>
      </w:pPr>
      <w:r>
        <w:rP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Pr>
        <w:pStyle w:val="Normal"/>
        <w:spacing w:lineRule="auto" w:line="480"/>
        <w:rPr/>
      </w:pPr>
      <w:r>
        <w:rPr/>
      </w:r>
    </w:p>
    <w:p>
      <w:pPr>
        <w:pStyle w:val="Normal"/>
        <w:spacing w:lineRule="auto" w:line="480"/>
        <w:rPr/>
      </w:pPr>
      <w:r>
        <w:rP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Pr>
        <w:pStyle w:val="Normal"/>
        <w:spacing w:lineRule="auto" w:line="480"/>
        <w:rPr/>
      </w:pPr>
      <w:r>
        <w:rPr/>
      </w:r>
    </w:p>
    <w:p>
      <w:pPr>
        <w:pStyle w:val="Normal"/>
        <w:spacing w:lineRule="auto" w:line="480"/>
        <w:rPr/>
      </w:pPr>
      <w:r>
        <w:rP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Pr>
        <w:pStyle w:val="Normal"/>
        <w:spacing w:lineRule="auto" w:line="480"/>
        <w:rPr/>
      </w:pPr>
      <w:r>
        <w:rPr/>
      </w:r>
    </w:p>
    <w:p>
      <w:pPr>
        <w:pStyle w:val="Normal"/>
        <w:spacing w:lineRule="auto" w:line="480"/>
        <w:rPr/>
      </w:pPr>
      <w:r>
        <w:rP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3.5 Physical GCR Proxy, Lag, and Hysteresis</w:t>
      </w:r>
    </w:p>
    <w:p>
      <w:pPr>
        <w:pStyle w:val="Normal"/>
        <w:spacing w:lineRule="auto" w:line="480"/>
        <w:rPr/>
      </w:pPr>
      <w:r>
        <w:rPr/>
      </w:r>
    </w:p>
    <w:p>
      <w:pPr>
        <w:pStyle w:val="Normal"/>
        <w:spacing w:lineRule="auto" w:line="480"/>
        <w:rPr/>
      </w:pPr>
      <w:r>
        <w:rP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Pr>
        <w:pStyle w:val="Normal"/>
        <w:spacing w:lineRule="auto" w:line="480"/>
        <w:rPr/>
      </w:pPr>
      <w:r>
        <w:rPr/>
      </w:r>
    </w:p>
    <w:p>
      <w:pPr>
        <w:pStyle w:val="Normal"/>
        <w:spacing w:lineRule="auto" w:line="480"/>
        <w:rPr/>
      </w:pPr>
      <w:r>
        <w:rP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Pr>
        <w:pStyle w:val="Normal"/>
        <w:spacing w:lineRule="auto" w:line="480"/>
        <w:rPr/>
      </w:pPr>
      <w:r>
        <w:rPr/>
      </w:r>
    </w:p>
    <w:p>
      <w:pPr>
        <w:pStyle w:val="Normal"/>
        <w:spacing w:lineRule="auto" w:line="480"/>
        <w:rPr/>
      </w:pPr>
      <w:r>
        <w:rP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t>3.6 Independent Periodicity Test (Lomb-Scargle)</w:t>
      </w:r>
    </w:p>
    <w:p>
      <w:pPr>
        <w:pStyle w:val="Normal"/>
        <w:spacing w:lineRule="auto" w:line="480"/>
        <w:rPr/>
      </w:pPr>
      <w:r>
        <w:rPr/>
      </w:r>
    </w:p>
    <w:p>
      <w:pPr>
        <w:pStyle w:val="Normal"/>
        <w:spacing w:lineRule="auto" w:line="480"/>
        <w:rPr/>
      </w:pPr>
      <w:r>
        <w:rP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Pr>
        <w:pStyle w:val="Normal"/>
        <w:spacing w:lineRule="auto" w:line="480"/>
        <w:rPr/>
      </w:pPr>
      <w:r>
        <w:rPr/>
      </w:r>
    </w:p>
    <w:p>
      <w:pPr>
        <w:pStyle w:val="Normal"/>
        <w:spacing w:lineRule="auto" w:line="480"/>
        <w:rPr/>
      </w:pPr>
      <w:r>
        <w:rPr/>
      </w:r>
    </w:p>
    <w:p>
      <w:pPr>
        <w:pStyle w:val="Normal"/>
        <w:spacing w:lineRule="auto" w:line="480"/>
        <w:rPr/>
      </w:pPr>
      <w:r>
        <w:rPr/>
        <w:t>3.7 Implications for Human Mission Radiation Exposure</w:t>
      </w:r>
    </w:p>
    <w:p>
      <w:pPr>
        <w:pStyle w:val="Normal"/>
        <w:spacing w:lineRule="auto" w:line="480"/>
        <w:rPr/>
      </w:pPr>
      <w:r>
        <w:rPr/>
      </w:r>
    </w:p>
    <w:p>
      <w:pPr>
        <w:pStyle w:val="Normal"/>
        <w:spacing w:lineRule="auto" w:line="480"/>
        <w:rPr/>
      </w:pPr>
      <w:r>
        <w:rP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Pr>
        <w:pStyle w:val="Normal"/>
        <w:spacing w:lineRule="auto" w:line="480"/>
        <w:rPr/>
      </w:pPr>
      <w:r>
        <w:rPr/>
      </w:r>
    </w:p>
    <w:p>
      <w:pPr>
        <w:pStyle w:val="Normal"/>
        <w:spacing w:lineRule="auto" w:line="480"/>
        <w:rPr/>
      </w:pPr>
      <w:r>
        <w:rP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Pr>
        <w:pStyle w:val="Normal"/>
        <w:spacing w:lineRule="auto" w:line="480"/>
        <w:rPr/>
      </w:pPr>
      <w:r>
        <w:rPr/>
      </w:r>
    </w:p>
    <w:p>
      <w:pPr>
        <w:pStyle w:val="Normal"/>
        <w:spacing w:lineRule="auto" w:line="480"/>
        <w:rPr/>
      </w:pPr>
      <w:r>
        <w:rPr/>
      </w:r>
    </w:p>
    <w:p>
      <w:pPr>
        <w:pStyle w:val="Normal"/>
        <w:spacing w:lineRule="auto" w:line="480"/>
        <w:jc w:val="both"/>
        <w:rPr>
          <w:rFonts w:ascii="Calibri" w:hAnsi="Calibri"/>
          <w:sz w:val="24"/>
          <w:szCs w:val="24"/>
        </w:rPr>
      </w:pPr>
      <w:r>
        <w:rPr>
          <w:b/>
          <w:sz w:val="24"/>
          <w:szCs w:val="24"/>
        </w:rPr>
        <w:t>4. Discussion</w:t>
      </w:r>
    </w:p>
    <w:p>
      <w:pPr>
        <w:pStyle w:val="Normal"/>
        <w:spacing w:lineRule="auto" w:line="480" w:before="0" w:after="0"/>
        <w:jc w:val="both"/>
        <w:rPr>
          <w:rFonts w:ascii="Calibri" w:hAnsi="Calibri"/>
          <w:sz w:val="24"/>
          <w:szCs w:val="24"/>
        </w:rPr>
      </w:pPr>
      <w:r>
        <w:rPr>
          <w:color w:val="000000"/>
          <w:sz w:val="24"/>
          <w:szCs w:val="24"/>
          <w:lang w:val="pt-BR"/>
        </w:rPr>
        <w:t>The diurnal variation observed is associated with changes in atmospheric column density caused by thermal tides.</w:t>
      </w:r>
    </w:p>
    <w:p>
      <w:pPr>
        <w:pStyle w:val="Normal"/>
        <w:spacing w:lineRule="auto" w:line="480" w:before="0" w:after="0"/>
        <w:jc w:val="both"/>
        <w:rPr>
          <w:rFonts w:ascii="Calibri" w:hAnsi="Calibri"/>
          <w:color w:val="000000"/>
          <w:sz w:val="24"/>
          <w:szCs w:val="24"/>
          <w:lang w:val="pt-BR"/>
        </w:rPr>
      </w:pPr>
      <w:r>
        <w:rPr>
          <w:color w:val="000000"/>
          <w:sz w:val="24"/>
          <w:szCs w:val="24"/>
          <w:lang w:val="pt-BR"/>
        </w:rPr>
      </w:r>
    </w:p>
    <w:p>
      <w:pPr>
        <w:pStyle w:val="Normal"/>
        <w:spacing w:lineRule="auto" w:line="480" w:before="0" w:after="0"/>
        <w:jc w:val="both"/>
        <w:rPr>
          <w:rFonts w:ascii="Calibri" w:hAnsi="Calibri"/>
          <w:sz w:val="24"/>
          <w:szCs w:val="24"/>
        </w:rPr>
      </w:pPr>
      <w:r>
        <w:rPr>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480"/>
        <w:jc w:val="both"/>
        <w:rPr>
          <w:rFonts w:ascii="Calibri" w:hAnsi="Calibri"/>
          <w:sz w:val="24"/>
          <w:szCs w:val="24"/>
        </w:rPr>
      </w:pPr>
      <w:r>
        <w:rPr>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480" w:before="0" w:after="0"/>
        <w:jc w:val="both"/>
        <w:rPr>
          <w:rFonts w:ascii="Calibri" w:hAnsi="Calibri"/>
          <w:color w:val="000000"/>
          <w:sz w:val="24"/>
          <w:szCs w:val="24"/>
        </w:rPr>
      </w:pPr>
      <w:r>
        <w:rPr>
          <w:color w:val="000000"/>
          <w:sz w:val="24"/>
          <w:szCs w:val="24"/>
        </w:rPr>
      </w:r>
    </w:p>
    <w:p>
      <w:pPr>
        <w:pStyle w:val="Normal"/>
        <w:spacing w:lineRule="auto" w:line="480"/>
        <w:jc w:val="both"/>
        <w:rPr>
          <w:rFonts w:ascii="Calibri" w:hAnsi="Calibri"/>
          <w:sz w:val="24"/>
          <w:szCs w:val="24"/>
        </w:rPr>
      </w:pPr>
      <w:r>
        <w:rPr>
          <w:b/>
          <w:sz w:val="24"/>
          <w:szCs w:val="24"/>
        </w:rPr>
        <w:t>5. Conclusion</w:t>
      </w:r>
    </w:p>
    <w:p>
      <w:pPr>
        <w:pStyle w:val="Normal"/>
        <w:spacing w:lineRule="auto" w:line="480"/>
        <w:jc w:val="both"/>
        <w:rPr>
          <w:rFonts w:ascii="Calibri" w:hAnsi="Calibri"/>
          <w:sz w:val="24"/>
          <w:szCs w:val="24"/>
        </w:rPr>
      </w:pPr>
      <w:r>
        <w:rP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480"/>
        <w:jc w:val="both"/>
        <w:rPr>
          <w:rFonts w:ascii="Calibri" w:hAnsi="Calibri"/>
          <w:sz w:val="24"/>
          <w:szCs w:val="24"/>
        </w:rPr>
      </w:pPr>
      <w:r>
        <w:rPr>
          <w:sz w:val="24"/>
          <w:szCs w:val="24"/>
        </w:rPr>
      </w:r>
    </w:p>
    <w:p>
      <w:pPr>
        <w:pStyle w:val="Normal"/>
        <w:spacing w:lineRule="auto" w:line="480"/>
        <w:rPr/>
      </w:pPr>
      <w:r>
        <w:rPr/>
        <w:t>Conflict of Interest</w:t>
      </w:r>
    </w:p>
    <w:p>
      <w:pPr>
        <w:pStyle w:val="Normal"/>
        <w:spacing w:lineRule="auto" w:line="480"/>
        <w:rPr/>
      </w:pPr>
      <w:r>
        <w:rPr/>
        <w:t>The authors declare there are no conflicts of interest for this manuscript.</w:t>
      </w:r>
    </w:p>
    <w:p>
      <w:pPr>
        <w:pStyle w:val="Normal"/>
        <w:spacing w:lineRule="auto" w:line="480"/>
        <w:rPr/>
      </w:pPr>
      <w:r>
        <w:rPr/>
      </w:r>
    </w:p>
    <w:p>
      <w:pPr>
        <w:pStyle w:val="Normal"/>
        <w:spacing w:lineRule="auto" w:line="480"/>
        <w:rPr/>
      </w:pPr>
      <w:r>
        <w:rPr/>
        <w:t>Acknowledgments</w:t>
      </w:r>
    </w:p>
    <w:p>
      <w:pPr>
        <w:pStyle w:val="Normal"/>
        <w:spacing w:lineRule="auto" w:line="480"/>
        <w:rPr/>
      </w:pPr>
      <w:r>
        <w:rPr/>
        <w:t>[FUNDING INFORMATION TO BE ADDED BY THE AUTHORS: list all funding sources for this work, including grant and funder identifiers, or state that the work received no dedicated external funding.]</w:t>
      </w:r>
    </w:p>
    <w:p>
      <w:pPr>
        <w:pStyle w:val="Normal"/>
        <w:spacing w:lineRule="auto" w:line="480"/>
        <w:rPr/>
      </w:pPr>
      <w:r>
        <w:rPr/>
      </w:r>
    </w:p>
    <w:p>
      <w:pPr>
        <w:pStyle w:val="Normal"/>
        <w:spacing w:lineRule="auto" w:line="480"/>
        <w:rPr/>
      </w:pPr>
      <w:r>
        <w:rPr/>
        <w:t>Open Research</w:t>
      </w:r>
    </w:p>
    <w:p>
      <w:pPr>
        <w:pStyle w:val="Normal"/>
        <w:spacing w:lineRule="auto" w:line="480"/>
        <w:rPr/>
      </w:pPr>
      <w:r>
        <w:rPr/>
        <w:t>Raw RAD and REMS data are publicly archived at NASA's Planetary Data System (RAD: Planetary Plasma Interactions Node, 2026; REMS: Atmospheres Node, 2026). Oulu neutron monitor data are from the Neutron Monitor Database (NMDB, https://www.nmdb.eu; Mavromichalaki et al., 2011); observed sunspot numbers are from the SILSO World Data Center (2026). The extraction pipeline, derived per-sol dose and pressure series, and all analysis code used in this paper are openly available at Amaral (2026).</w:t>
      </w:r>
    </w:p>
    <w:p>
      <w:pPr>
        <w:pStyle w:val="Normal"/>
        <w:spacing w:lineRule="auto" w:line="480"/>
        <w:rPr/>
      </w:pPr>
      <w:r>
        <w:rPr/>
        <w:t>We acknowledge the NMDB database (www.nmdb.eu), founded under the European Union's FP7 programme (contract no. 213007), and the PI of the Oulu neutron monitor (Sodankylä Geophysical Observatory of the University of Oulu, Finland).</w:t>
      </w:r>
    </w:p>
    <w:p>
      <w:pPr>
        <w:pStyle w:val="Normal"/>
        <w:spacing w:lineRule="auto" w:line="480"/>
        <w:rPr/>
      </w:pPr>
      <w:r>
        <w:rPr/>
      </w:r>
    </w:p>
    <w:p>
      <w:pPr>
        <w:pStyle w:val="Normal"/>
        <w:spacing w:lineRule="auto" w:line="480"/>
        <w:jc w:val="both"/>
        <w:rPr>
          <w:rFonts w:ascii="Calibri" w:hAnsi="Calibri"/>
          <w:sz w:val="24"/>
          <w:szCs w:val="24"/>
        </w:rPr>
      </w:pPr>
      <w:r>
        <w:rPr>
          <w:b/>
          <w:sz w:val="24"/>
          <w:szCs w:val="24"/>
        </w:rPr>
        <w:t>References</w:t>
      </w:r>
    </w:p>
    <w:p>
      <w:pPr>
        <w:pStyle w:val="Normal"/>
        <w:spacing w:lineRule="auto" w:line="480"/>
        <w:rPr/>
      </w:pPr>
      <w:r>
        <w:rPr/>
        <w:t xml:space="preserve">Amaral, C. (2026). </w:t>
      </w:r>
      <w:r>
        <w:rPr>
          <w:i/>
        </w:rPr>
        <w:t>msl_2026: MSL/RAD dose-rate reanalysis code [Software]</w:t>
      </w:r>
      <w:r>
        <w:rPr/>
        <w:t>. GitHub. https://github.com/cesarrlamaral/msl_2026</w:t>
      </w:r>
    </w:p>
    <w:p>
      <w:pPr>
        <w:pStyle w:val="Normal"/>
        <w:spacing w:lineRule="auto" w:line="480"/>
        <w:rPr/>
      </w:pPr>
      <w:r>
        <w:rPr/>
        <w:t xml:space="preserve">Bazilevskaya, G. A., &amp; Svirzhevskaya, A. K. (1998). On the stratospheric measurements of cosmic rays. </w:t>
      </w:r>
      <w:r>
        <w:rPr>
          <w:i/>
        </w:rPr>
        <w:t>Space Science Reviews, 85</w:t>
      </w:r>
      <w:r>
        <w:rPr/>
        <w:t>, 431–521.</w:t>
      </w:r>
    </w:p>
    <w:p>
      <w:pPr>
        <w:pStyle w:val="Normal"/>
        <w:spacing w:lineRule="auto" w:line="480"/>
        <w:rPr/>
      </w:pPr>
      <w:r>
        <w:rPr/>
        <w:t xml:space="preserve">Boynton, W. V., Feldman, W. C., Mitrofanov, I. G., et al. (2004). The Mars Odyssey gamma-ray spectrometer instrument suite. </w:t>
      </w:r>
      <w:r>
        <w:rPr>
          <w:i/>
        </w:rPr>
        <w:t>Space Science Reviews, 110</w:t>
      </w:r>
      <w:r>
        <w:rPr/>
        <w:t>, 37–83. https://doi.org/10.1023/B:SPAC.0000021007.76126.15</w:t>
      </w:r>
    </w:p>
    <w:p>
      <w:pPr>
        <w:pStyle w:val="Normal"/>
        <w:spacing w:lineRule="auto" w:line="480"/>
        <w:rPr/>
      </w:pPr>
      <w:r>
        <w:rPr/>
        <w:t xml:space="preserve">Cucinotta, F. A., &amp; Chappell, L. J. (2011). Updates to astronaut radiation limits: Radiation risks for never-smokers. </w:t>
      </w:r>
      <w:r>
        <w:rPr>
          <w:i/>
        </w:rPr>
        <w:t>Radiation Research, 176</w:t>
      </w:r>
      <w:r>
        <w:rPr/>
        <w:t>(1), 102–114. https://doi.org/10.1667/RR2540.1</w:t>
      </w:r>
    </w:p>
    <w:p>
      <w:pPr>
        <w:pStyle w:val="Normal"/>
        <w:spacing w:lineRule="auto" w:line="480"/>
        <w:rPr/>
      </w:pPr>
      <w:r>
        <w:rPr/>
        <w:t xml:space="preserve">Ehresmann, B., Burmeister, S., Wimmer-Schweingruber, R. F., &amp; Reitz, G. (2011). Influence of higher atmospheric pressure on the Martian radiation environment: Implications for possible habitability in the Noachian epoch. </w:t>
      </w:r>
      <w:r>
        <w:rPr>
          <w:i/>
        </w:rPr>
        <w:t>Journal of Geophysical Research: Space Physics, 116</w:t>
      </w:r>
      <w:r>
        <w:rPr/>
        <w:t>, A10104. https://doi.org/10.1029/2011JA016616</w:t>
      </w:r>
    </w:p>
    <w:p>
      <w:pPr>
        <w:pStyle w:val="Normal"/>
        <w:spacing w:lineRule="auto" w:line="480"/>
        <w:rPr/>
      </w:pPr>
      <w:r>
        <w:rPr/>
        <w:t xml:space="preserve">Ehresmann, B., Zeitlin, C., Hassler, D. M., Wimmer-Schweingruber, R. F., Böhm, E., Böttcher, S., et al. (2014). Charged particle spectra obtained with the Mars Science Laboratory Radiation Assessment Detector (MSL/RAD) on the surface of Mars. </w:t>
      </w:r>
      <w:r>
        <w:rPr>
          <w:i/>
        </w:rPr>
        <w:t>Journal of Geophysical Research: Planets, 119</w:t>
      </w:r>
      <w:r>
        <w:rPr/>
        <w:t>, 468–479. https://doi.org/10.1002/2013JE004547</w:t>
      </w:r>
    </w:p>
    <w:p>
      <w:pPr>
        <w:pStyle w:val="Normal"/>
        <w:spacing w:lineRule="auto" w:line="480"/>
        <w:rPr/>
      </w:pPr>
      <w:r>
        <w:rPr/>
        <w:t xml:space="preserve">Ehresmann, B., Zeitlin, C., Hassler, D. M., Guo, J., Wimmer-Schweingruber, R. F., Berger, T., et al. (2023). The Martian surface radiation environment at solar minimum measured with MSL/RAD. </w:t>
      </w:r>
      <w:r>
        <w:rPr>
          <w:i/>
        </w:rPr>
        <w:t>Icarus, 393</w:t>
      </w:r>
      <w:r>
        <w:rPr/>
        <w:t>, 115035. https://doi.org/10.1016/j.icarus.2022.115035</w:t>
      </w:r>
    </w:p>
    <w:p>
      <w:pPr>
        <w:pStyle w:val="Normal"/>
        <w:spacing w:lineRule="auto" w:line="480"/>
        <w:rPr/>
      </w:pPr>
      <w:r>
        <w:rPr/>
        <w:t xml:space="preserve">Guo, J., Zeitlin, C., Wimmer-Schweingruber, R. F., et al. (2015). Modeling the variations of dose rate measured by RAD during the first MSL Martian year: 2012–2014. </w:t>
      </w:r>
      <w:r>
        <w:rPr>
          <w:i/>
        </w:rPr>
        <w:t>The Astrophysical Journal, 810</w:t>
      </w:r>
      <w:r>
        <w:rPr/>
        <w:t>(1), 24. https://doi.org/10.1088/0004-637X/810/1/24</w:t>
      </w:r>
    </w:p>
    <w:p>
      <w:pPr>
        <w:pStyle w:val="Normal"/>
        <w:spacing w:lineRule="auto" w:line="480"/>
        <w:rPr/>
      </w:pPr>
      <w:r>
        <w:rPr/>
        <w:t xml:space="preserve">Guo, J., Zeitlin, C., Wimmer-Schweingruber, R. F., et al. (2015a). MSL-RAD radiation environment measurements. </w:t>
      </w:r>
      <w:r>
        <w:rPr>
          <w:i/>
        </w:rPr>
        <w:t>Radiation Protection Dosimetry</w:t>
      </w:r>
      <w:r>
        <w:rPr/>
        <w:t>. https://doi.org/10.1093/rpd/ncv297</w:t>
      </w:r>
    </w:p>
    <w:p>
      <w:pPr>
        <w:pStyle w:val="Normal"/>
        <w:spacing w:lineRule="auto" w:line="480"/>
        <w:rPr/>
      </w:pPr>
      <w:r>
        <w:rPr/>
        <w:t xml:space="preserve">Guo, J., Slaba, T. C., Zeitlin, C., Wimmer-Schweingruber, R. F., et al. (2017). Dependence of the Martian radiation environment on atmospheric depth: Modelling and measurement. </w:t>
      </w:r>
      <w:r>
        <w:rPr>
          <w:i/>
        </w:rPr>
        <w:t>arXiv:1712.06987 [astro-ph.EP]</w:t>
      </w:r>
      <w:r>
        <w:rPr/>
        <w:t xml:space="preserve"> (preprint; published version not independently confirmed)</w:t>
      </w:r>
    </w:p>
    <w:p>
      <w:pPr>
        <w:pStyle w:val="Normal"/>
        <w:spacing w:lineRule="auto" w:line="480"/>
        <w:rPr/>
      </w:pPr>
      <w:r>
        <w:rPr/>
        <w:t xml:space="preserve">Guo, J., Zeitlin, C., Wimmer-Schweingruber, R. F., Hassler, D. M., Ehresmann, B., Rafkin, S., et al. (2021). Radiation environment for future human exploration on the surface of Mars: The current understanding based on MSL/RAD dose measurements. </w:t>
      </w:r>
      <w:r>
        <w:rPr>
          <w:i/>
        </w:rPr>
        <w:t>Astronomy and Astrophysics Review, 29</w:t>
      </w:r>
      <w:r>
        <w:rPr/>
        <w:t>, 8. https://doi.org/10.1007/s00159-021-00136-5</w:t>
      </w:r>
    </w:p>
    <w:p>
      <w:pPr>
        <w:pStyle w:val="Normal"/>
        <w:spacing w:lineRule="auto" w:line="480"/>
        <w:rPr/>
      </w:pPr>
      <w:r>
        <w:rPr/>
        <w:t xml:space="preserve">Harri, A.-M., Genzer, M., Kemppinen, O., et al. (2014). Pressure observations by the Curiosity rover: Initial results. </w:t>
      </w:r>
      <w:r>
        <w:rPr>
          <w:i/>
        </w:rPr>
        <w:t>Journal of Geophysical Research: Planets, 119</w:t>
      </w:r>
      <w:r>
        <w:rPr/>
        <w:t>(1), 82–92. https://doi.org/10.1002/2013JE004423</w:t>
      </w:r>
    </w:p>
    <w:p>
      <w:pPr>
        <w:pStyle w:val="Normal"/>
        <w:spacing w:lineRule="auto" w:line="480"/>
        <w:rPr/>
      </w:pPr>
      <w:r>
        <w:rPr/>
        <w:t xml:space="preserve">Hassler, D. M., Zeitlin, C., Wimmer-Schweingruber, R. F., et al. (2012). The Radiation Assessment Detector (RAD) investigation. </w:t>
      </w:r>
      <w:r>
        <w:rPr>
          <w:i/>
        </w:rPr>
        <w:t>Space Science Reviews, 170</w:t>
      </w:r>
      <w:r>
        <w:rPr/>
        <w:t>, 503–558. https://doi.org/10.1007/s11214-012-9913-1</w:t>
      </w:r>
    </w:p>
    <w:p>
      <w:pPr>
        <w:pStyle w:val="Normal"/>
        <w:spacing w:lineRule="auto" w:line="480"/>
        <w:rPr/>
      </w:pPr>
      <w:r>
        <w:rPr/>
        <w:t xml:space="preserve">Hassler, D. M., Zeitlin, C., Wimmer-Schweingruber, R. F., et al. (2014). Mars' surface radiation environment measured with the Mars Science Laboratory's Curiosity rover. </w:t>
      </w:r>
      <w:r>
        <w:rPr>
          <w:i/>
        </w:rPr>
        <w:t>Science, 343</w:t>
      </w:r>
      <w:r>
        <w:rPr/>
        <w:t>(6169), 1244797. https://doi.org/10.1126/science.1244797</w:t>
      </w:r>
    </w:p>
    <w:p>
      <w:pPr>
        <w:pStyle w:val="Normal"/>
        <w:spacing w:lineRule="auto" w:line="480"/>
        <w:rPr/>
      </w:pPr>
      <w:r>
        <w:rPr/>
        <w:t xml:space="preserve">Köhler, J., Zeitlin, C., Ehresmann, B., Wimmer-Schweingruber, R. F., Hassler, D. M., et al. (2014). Measurements of the neutron spectrum on the Martian surface with MSL/RAD. </w:t>
      </w:r>
      <w:r>
        <w:rPr>
          <w:i/>
        </w:rPr>
        <w:t>Journal of Geophysical Research: Planets, 119</w:t>
      </w:r>
      <w:r>
        <w:rPr/>
        <w:t>(3), 594–603. https://doi.org/10.1002/2013JE004539</w:t>
      </w:r>
    </w:p>
    <w:p>
      <w:pPr>
        <w:pStyle w:val="Normal"/>
        <w:spacing w:lineRule="auto" w:line="480"/>
        <w:rPr/>
      </w:pPr>
      <w:r>
        <w:rPr/>
        <w:t xml:space="preserve">Mavromichalaki, H., et al. (2011). Applications and usage of the real-time Neutron Monitor Database (NMDB). </w:t>
      </w:r>
      <w:r>
        <w:rPr>
          <w:i/>
        </w:rPr>
        <w:t>Advances in Space Research, 47</w:t>
      </w:r>
      <w:r>
        <w:rPr/>
        <w:t>(12), 2210–2222. https://doi.org/10.1016/j.asr.2010.02.019</w:t>
      </w:r>
    </w:p>
    <w:p>
      <w:pPr>
        <w:pStyle w:val="Normal"/>
        <w:spacing w:lineRule="auto" w:line="480"/>
        <w:rPr/>
      </w:pPr>
      <w:r>
        <w:rPr/>
        <w:t xml:space="preserve">NASA Planetary Data System, Atmospheres Node. (2026). </w:t>
      </w:r>
      <w:r>
        <w:rPr>
          <w:i/>
        </w:rPr>
        <w:t>MSL REMS calibrated data [Dataset]</w:t>
      </w:r>
      <w:r>
        <w:rPr/>
        <w:t>. https://atmos.nmsu.edu/PDS/data/mslrem_1001/</w:t>
      </w:r>
    </w:p>
    <w:p>
      <w:pPr>
        <w:pStyle w:val="Normal"/>
        <w:spacing w:lineRule="auto" w:line="480"/>
        <w:rPr/>
      </w:pPr>
      <w:r>
        <w:rPr/>
        <w:t xml:space="preserve">NASA Planetary Data System, Planetary Plasma Interactions Node. (2026). </w:t>
      </w:r>
      <w:r>
        <w:rPr>
          <w:i/>
        </w:rPr>
        <w:t>MSL RAD reduced data record collection [Dataset]</w:t>
      </w:r>
      <w:r>
        <w:rPr/>
        <w:t>. https://pds-ppi.igpp.ucla.edu/data/MSL-M-RAD-3-RDR-V1.0/</w:t>
      </w:r>
    </w:p>
    <w:p>
      <w:pPr>
        <w:pStyle w:val="Normal"/>
        <w:spacing w:lineRule="auto" w:line="480"/>
        <w:rPr/>
      </w:pPr>
      <w:r>
        <w:rPr/>
        <w:t xml:space="preserve">National Academies of Sciences, Engineering, and Medicine. (2021). </w:t>
      </w:r>
      <w:r>
        <w:rPr>
          <w:i/>
        </w:rPr>
        <w:t>Space radiation and astronaut health: Managing and communicating cancer risks</w:t>
      </w:r>
      <w:r>
        <w:rPr/>
        <w:t>. The National Academies Press. https://doi.org/10.17226/26155</w:t>
      </w:r>
    </w:p>
    <w:p>
      <w:pPr>
        <w:pStyle w:val="Normal"/>
        <w:spacing w:lineRule="auto" w:line="480"/>
        <w:rPr/>
      </w:pPr>
      <w:r>
        <w:rPr/>
        <w:t xml:space="preserve">Newey, W. K., &amp; West, K. D. (1987). A simple, positive semi-definite, heteroskedasticity and autocorrelation consistent covariance matrix. </w:t>
      </w:r>
      <w:r>
        <w:rPr>
          <w:i/>
        </w:rPr>
        <w:t>Econometrica, 55</w:t>
      </w:r>
      <w:r>
        <w:rPr/>
        <w:t>(3), 703–708. https://doi.org/10.2307/1913610</w:t>
      </w:r>
    </w:p>
    <w:p>
      <w:pPr>
        <w:pStyle w:val="Normal"/>
        <w:spacing w:lineRule="auto" w:line="480"/>
        <w:rPr/>
      </w:pPr>
      <w:r>
        <w:rPr/>
        <w:t xml:space="preserve">Rafkin, S. C. R., Zeitlin, C., Ehresmann, B., et al. (2014). Diurnal variations of energetic particle radiation at the surface of Mars as observed by the Mars Science Laboratory Radiation Assessment Detector. </w:t>
      </w:r>
      <w:r>
        <w:rPr>
          <w:i/>
        </w:rPr>
        <w:t>Journal of Geophysical Research: Planets, 119</w:t>
      </w:r>
      <w:r>
        <w:rPr/>
        <w:t>, 1345–1358. https://doi.org/10.1002/2013JE004525</w:t>
      </w:r>
    </w:p>
    <w:p>
      <w:pPr>
        <w:pStyle w:val="Normal"/>
        <w:spacing w:lineRule="auto" w:line="480"/>
        <w:rPr/>
      </w:pPr>
      <w:r>
        <w:rPr/>
        <w:t xml:space="preserve">Roesler, S., Heinrich, W., &amp; Schraube, H. (1998). Neutron spectra in the atmosphere from interactions of primary cosmic rays. </w:t>
      </w:r>
      <w:r>
        <w:rPr>
          <w:i/>
        </w:rPr>
        <w:t>Advances in Space Research, 21</w:t>
      </w:r>
      <w:r>
        <w:rPr/>
        <w:t>(12), 1717–1726. https://doi.org/10.1016/S0273-1177(98)00058-1</w:t>
      </w:r>
    </w:p>
    <w:p>
      <w:pPr>
        <w:pStyle w:val="Normal"/>
        <w:spacing w:lineRule="auto" w:line="480"/>
        <w:rPr/>
      </w:pPr>
      <w:r>
        <w:rPr/>
        <w:t xml:space="preserve">Saganti, P. B., Cucinotta, F. A., Wilson, J. W., &amp; Schimmerling, W. (2002). Visualization of particle flux in the human body on the surface of Mars. </w:t>
      </w:r>
      <w:r>
        <w:rPr>
          <w:i/>
        </w:rPr>
        <w:t>Journal of Radiation Research, 43</w:t>
      </w:r>
      <w:r>
        <w:rPr/>
        <w:t>(Suppl), S119–S124.</w:t>
      </w:r>
    </w:p>
    <w:p>
      <w:pPr>
        <w:pStyle w:val="Normal"/>
        <w:spacing w:lineRule="auto" w:line="480"/>
        <w:rPr/>
      </w:pPr>
      <w:r>
        <w:rPr/>
        <w:t xml:space="preserve">Scargle, J. D. (1982). Studies in astronomical time series analysis. II. Statistical aspects of spectral analysis of unevenly spaced data. </w:t>
      </w:r>
      <w:r>
        <w:rPr>
          <w:i/>
        </w:rPr>
        <w:t>The Astrophysical Journal, 263</w:t>
      </w:r>
      <w:r>
        <w:rPr/>
        <w:t>, 835–853. https://doi.org/10.1086/160554</w:t>
      </w:r>
    </w:p>
    <w:p>
      <w:pPr>
        <w:pStyle w:val="Normal"/>
        <w:spacing w:lineRule="auto" w:line="480"/>
        <w:rPr/>
      </w:pPr>
      <w:r>
        <w:rPr/>
        <w:t xml:space="preserve">SILSO World Data Center. (2026). </w:t>
      </w:r>
      <w:r>
        <w:rPr>
          <w:i/>
        </w:rPr>
        <w:t>International sunspot number monthly bulletin and online catalogue [Dataset]</w:t>
      </w:r>
      <w:r>
        <w:rPr/>
        <w:t>. Royal Observatory of Belgium. http://www.sidc.be/SILSO/</w:t>
      </w:r>
    </w:p>
    <w:p>
      <w:pPr>
        <w:pStyle w:val="Normal"/>
        <w:spacing w:lineRule="auto" w:line="480"/>
        <w:rPr/>
      </w:pPr>
      <w:r>
        <w:rPr/>
        <w:t xml:space="preserve">Torrence, C., &amp; Compo, G. P. (1998). A practical guide to wavelet analysis. </w:t>
      </w:r>
      <w:r>
        <w:rPr>
          <w:i/>
        </w:rPr>
        <w:t>Bulletin of the American Meteorological Society, 79</w:t>
      </w:r>
      <w:r>
        <w:rPr/>
        <w:t>(1), 61–78. https://doi.org/10.1175/1520-0477(1998)079&lt;0061:APGTWA&gt;2.0.CO;2</w:t>
      </w:r>
    </w:p>
    <w:p>
      <w:pPr>
        <w:pStyle w:val="Normal"/>
        <w:spacing w:lineRule="auto" w:line="480"/>
        <w:rPr/>
      </w:pPr>
      <w:r>
        <w:rPr/>
        <w:t xml:space="preserve">VanderPlas, J. T. (2018). Understanding the Lomb-Scargle periodogram. </w:t>
      </w:r>
      <w:r>
        <w:rPr>
          <w:i/>
        </w:rPr>
        <w:t>The Astrophysical Journal Supplement Series, 236</w:t>
      </w:r>
      <w:r>
        <w:rPr/>
        <w:t>(1), 16. https://doi.org/10.3847/1538-4365/aab766</w:t>
      </w:r>
    </w:p>
    <w:p>
      <w:pPr>
        <w:pStyle w:val="Normal"/>
        <w:spacing w:lineRule="auto" w:line="480"/>
        <w:rPr/>
      </w:pPr>
      <w:r>
        <w:rPr/>
        <w:t xml:space="preserve">Zeitlin, C., Hassler, D. M., Cucinotta, F. A., et al. (2013). Measurements of energetic particle radiation in transit to Mars on the Mars Science Laboratory. </w:t>
      </w:r>
      <w:r>
        <w:rPr>
          <w:i/>
        </w:rPr>
        <w:t>Science, 340</w:t>
      </w:r>
      <w:r>
        <w:rPr/>
        <w:t>(6136), 1080–1084. https://doi.org/10.1126/science.1235989</w:t>
      </w:r>
    </w:p>
    <w:p>
      <w:pPr>
        <w:pStyle w:val="Normal"/>
        <w:spacing w:lineRule="auto" w:line="480"/>
        <w:rPr/>
      </w:pPr>
      <w:r>
        <w:rPr/>
        <w:t xml:space="preserve">Zhang, C., Liu, W., Guo, J., Dobynde, M., &amp; Wimmer-Schweingruber, R. F. (2026). The constraint of crewed Mars missions based on current radiation dose measurements. </w:t>
      </w:r>
      <w:r>
        <w:rPr>
          <w:i/>
        </w:rPr>
        <w:t>Space Weather</w:t>
      </w:r>
      <w:r>
        <w:rPr/>
        <w:t>. https://doi.org/10.1029/2025SW004724</w:t>
      </w:r>
    </w:p>
    <w:p>
      <w:pPr>
        <w:pStyle w:val="Normal"/>
        <w:spacing w:lineRule="auto" w:line="480"/>
        <w:rPr/>
      </w:pPr>
      <w:r>
        <w:rPr>
          <w:b/>
        </w:rPr>
        <w:t>Tables</w:t>
      </w:r>
    </w:p>
    <w:p>
      <w:pPr>
        <w:pStyle w:val="Normal"/>
        <w:spacing w:lineRule="auto" w:line="480"/>
        <w:rPr/>
      </w:pPr>
      <w:r>
        <w:rPr/>
      </w:r>
    </w:p>
    <w:p>
      <w:pPr>
        <w:pStyle w:val="Normal"/>
        <w:spacing w:lineRule="auto" w:line="480"/>
        <w:jc w:val="both"/>
        <w:rPr>
          <w:rFonts w:ascii="Calibri" w:hAnsi="Calibri"/>
          <w:sz w:val="24"/>
          <w:szCs w:val="24"/>
        </w:rPr>
      </w:pPr>
      <w:r>
        <w:rPr>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sz w:val="24"/>
                <w:szCs w:val="24"/>
              </w:rPr>
              <w:t>1.067</w:t>
            </w:r>
          </w:p>
        </w:tc>
      </w:tr>
    </w:tbl>
    <w:p>
      <w:pPr>
        <w:pStyle w:val="Normal"/>
        <w:spacing w:lineRule="auto" w:line="480"/>
        <w:rPr/>
      </w:pPr>
      <w:r>
        <w:rPr/>
      </w:r>
    </w:p>
    <w:p>
      <w:pPr>
        <w:pStyle w:val="Normal"/>
        <w:spacing w:lineRule="auto" w:line="480"/>
        <w:rPr>
          <w:rFonts w:ascii="Calibri" w:hAnsi="Calibri"/>
          <w:sz w:val="24"/>
          <w:szCs w:val="24"/>
        </w:rPr>
      </w:pPr>
      <w:r>
        <w:rPr>
          <w:i/>
          <w:sz w:val="24"/>
          <w:szCs w:val="24"/>
        </w:rPr>
        <w:t>Table 2. Descriptive statistics of the combined 13.5-year (SOL 00001-04843) dose-rate series (uGy/hour) for detectors B and E.</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B</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8.386</w:t>
            </w:r>
          </w:p>
        </w:tc>
        <w:tc>
          <w:tcPr>
            <w:tcW w:w="1063" w:type="dxa"/>
            <w:tcBorders/>
          </w:tcPr>
          <w:p>
            <w:pPr>
              <w:pStyle w:val="Normal"/>
              <w:spacing w:before="0" w:after="160"/>
              <w:jc w:val="left"/>
              <w:rPr>
                <w:sz w:val="24"/>
              </w:rPr>
            </w:pPr>
            <w:r>
              <w:rPr>
                <w:sz w:val="24"/>
              </w:rPr>
              <w:t>10.185</w:t>
            </w:r>
          </w:p>
        </w:tc>
        <w:tc>
          <w:tcPr>
            <w:tcW w:w="1063" w:type="dxa"/>
            <w:tcBorders/>
          </w:tcPr>
          <w:p>
            <w:pPr>
              <w:pStyle w:val="Normal"/>
              <w:spacing w:before="0" w:after="160"/>
              <w:jc w:val="left"/>
              <w:rPr>
                <w:sz w:val="24"/>
              </w:rPr>
            </w:pPr>
            <w:r>
              <w:rPr>
                <w:sz w:val="24"/>
              </w:rPr>
              <w:t>9.774</w:t>
            </w:r>
          </w:p>
        </w:tc>
        <w:tc>
          <w:tcPr>
            <w:tcW w:w="1063" w:type="dxa"/>
            <w:tcBorders/>
          </w:tcPr>
          <w:p>
            <w:pPr>
              <w:pStyle w:val="Normal"/>
              <w:spacing w:before="0" w:after="160"/>
              <w:jc w:val="left"/>
              <w:rPr>
                <w:sz w:val="24"/>
              </w:rPr>
            </w:pPr>
            <w:r>
              <w:rPr>
                <w:sz w:val="24"/>
              </w:rPr>
              <w:t>11.304</w:t>
            </w:r>
          </w:p>
        </w:tc>
        <w:tc>
          <w:tcPr>
            <w:tcW w:w="1063" w:type="dxa"/>
            <w:tcBorders/>
          </w:tcPr>
          <w:p>
            <w:pPr>
              <w:pStyle w:val="Normal"/>
              <w:spacing w:before="0" w:after="160"/>
              <w:jc w:val="left"/>
              <w:rPr>
                <w:sz w:val="24"/>
              </w:rPr>
            </w:pPr>
            <w:r>
              <w:rPr>
                <w:sz w:val="24"/>
              </w:rPr>
              <w:t>308.487</w:t>
            </w:r>
          </w:p>
        </w:tc>
        <w:tc>
          <w:tcPr>
            <w:tcW w:w="1064" w:type="dxa"/>
            <w:tcBorders/>
          </w:tcPr>
          <w:p>
            <w:pPr>
              <w:pStyle w:val="Normal"/>
              <w:spacing w:before="0" w:after="160"/>
              <w:jc w:val="left"/>
              <w:rPr>
                <w:sz w:val="24"/>
              </w:rPr>
            </w:pPr>
            <w:r>
              <w:rPr>
                <w:sz w:val="24"/>
              </w:rP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sz w:val="24"/>
                <w:szCs w:val="24"/>
              </w:rPr>
              <w:t>E</w:t>
            </w:r>
          </w:p>
        </w:tc>
        <w:tc>
          <w:tcPr>
            <w:tcW w:w="1063" w:type="dxa"/>
            <w:tcBorders/>
          </w:tcPr>
          <w:p>
            <w:pPr>
              <w:pStyle w:val="Normal"/>
              <w:spacing w:before="0" w:after="160"/>
              <w:jc w:val="left"/>
              <w:rPr>
                <w:sz w:val="24"/>
              </w:rPr>
            </w:pPr>
            <w:r>
              <w:rPr>
                <w:sz w:val="24"/>
              </w:rPr>
              <w:t>0.000</w:t>
            </w:r>
          </w:p>
        </w:tc>
        <w:tc>
          <w:tcPr>
            <w:tcW w:w="1063" w:type="dxa"/>
            <w:tcBorders/>
          </w:tcPr>
          <w:p>
            <w:pPr>
              <w:pStyle w:val="Normal"/>
              <w:spacing w:before="0" w:after="160"/>
              <w:jc w:val="left"/>
              <w:rPr>
                <w:sz w:val="24"/>
              </w:rPr>
            </w:pPr>
            <w:r>
              <w:rPr>
                <w:sz w:val="24"/>
              </w:rPr>
              <w:t>8.338</w:t>
            </w:r>
          </w:p>
        </w:tc>
        <w:tc>
          <w:tcPr>
            <w:tcW w:w="1063" w:type="dxa"/>
            <w:tcBorders/>
          </w:tcPr>
          <w:p>
            <w:pPr>
              <w:pStyle w:val="Normal"/>
              <w:spacing w:before="0" w:after="160"/>
              <w:jc w:val="left"/>
              <w:rPr>
                <w:sz w:val="24"/>
              </w:rPr>
            </w:pPr>
            <w:r>
              <w:rPr>
                <w:sz w:val="24"/>
              </w:rPr>
              <w:t>10.539</w:t>
            </w:r>
          </w:p>
        </w:tc>
        <w:tc>
          <w:tcPr>
            <w:tcW w:w="1063" w:type="dxa"/>
            <w:tcBorders/>
          </w:tcPr>
          <w:p>
            <w:pPr>
              <w:pStyle w:val="Normal"/>
              <w:spacing w:before="0" w:after="160"/>
              <w:jc w:val="left"/>
              <w:rPr>
                <w:sz w:val="24"/>
              </w:rPr>
            </w:pPr>
            <w:r>
              <w:rPr>
                <w:sz w:val="24"/>
              </w:rPr>
              <w:t>10.127</w:t>
            </w:r>
          </w:p>
        </w:tc>
        <w:tc>
          <w:tcPr>
            <w:tcW w:w="1063" w:type="dxa"/>
            <w:tcBorders/>
          </w:tcPr>
          <w:p>
            <w:pPr>
              <w:pStyle w:val="Normal"/>
              <w:spacing w:before="0" w:after="160"/>
              <w:jc w:val="left"/>
              <w:rPr>
                <w:sz w:val="24"/>
              </w:rPr>
            </w:pPr>
            <w:r>
              <w:rPr>
                <w:sz w:val="24"/>
              </w:rPr>
              <w:t>12.131</w:t>
            </w:r>
          </w:p>
        </w:tc>
        <w:tc>
          <w:tcPr>
            <w:tcW w:w="1063" w:type="dxa"/>
            <w:tcBorders/>
          </w:tcPr>
          <w:p>
            <w:pPr>
              <w:pStyle w:val="Normal"/>
              <w:spacing w:before="0" w:after="160"/>
              <w:jc w:val="left"/>
              <w:rPr>
                <w:sz w:val="24"/>
              </w:rPr>
            </w:pPr>
            <w:r>
              <w:rPr>
                <w:sz w:val="24"/>
              </w:rPr>
              <w:t>351.424</w:t>
            </w:r>
          </w:p>
        </w:tc>
        <w:tc>
          <w:tcPr>
            <w:tcW w:w="1064" w:type="dxa"/>
            <w:tcBorders/>
          </w:tcPr>
          <w:p>
            <w:pPr>
              <w:pStyle w:val="Normal"/>
              <w:spacing w:before="0" w:after="160"/>
              <w:jc w:val="left"/>
              <w:rPr>
                <w:sz w:val="24"/>
              </w:rPr>
            </w:pPr>
            <w:r>
              <w:rPr>
                <w:sz w:val="24"/>
              </w:rPr>
              <w:t>3.061</w:t>
            </w:r>
          </w:p>
        </w:tc>
      </w:tr>
    </w:tbl>
    <w:p>
      <w:pPr>
        <w:pStyle w:val="Normal"/>
        <w:spacing w:lineRule="auto" w:line="480"/>
        <w:rPr/>
      </w:pPr>
      <w:r>
        <w:rPr/>
      </w:r>
    </w:p>
    <w:p>
      <w:pPr>
        <w:pStyle w:val="Normal"/>
        <w:spacing w:lineRule="auto" w:line="480"/>
        <w:rPr/>
      </w:pPr>
      <w:r>
        <w:rP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215"/>
        <w:gridCol w:w="1214"/>
        <w:gridCol w:w="1216"/>
        <w:gridCol w:w="1214"/>
        <w:gridCol w:w="1216"/>
        <w:gridCol w:w="1214"/>
        <w:gridCol w:w="1216"/>
      </w:tblGrid>
      <w:tr>
        <w:trPr/>
        <w:tc>
          <w:tcPr>
            <w:tcW w:w="1215" w:type="dxa"/>
            <w:tcBorders/>
          </w:tcPr>
          <w:p>
            <w:pPr>
              <w:pStyle w:val="Normal"/>
              <w:widowControl/>
              <w:suppressAutoHyphens w:val="true"/>
              <w:bidi w:val="0"/>
              <w:spacing w:lineRule="auto" w:line="480" w:before="0" w:after="160"/>
              <w:jc w:val="left"/>
              <w:rPr/>
            </w:pPr>
            <w:r>
              <w:rPr/>
              <w:t>Detector</w:t>
            </w:r>
          </w:p>
        </w:tc>
        <w:tc>
          <w:tcPr>
            <w:tcW w:w="1214" w:type="dxa"/>
            <w:tcBorders/>
          </w:tcPr>
          <w:p>
            <w:pPr>
              <w:pStyle w:val="Normal"/>
              <w:widowControl/>
              <w:suppressAutoHyphens w:val="true"/>
              <w:bidi w:val="0"/>
              <w:spacing w:lineRule="auto" w:line="480" w:before="0" w:after="160"/>
              <w:jc w:val="left"/>
              <w:rPr/>
            </w:pPr>
            <w:r>
              <w:rPr/>
              <w:t>OLS slope</w:t>
              <w:br/>
              <w:t>(uGy/h per SSN)</w:t>
            </w:r>
          </w:p>
        </w:tc>
        <w:tc>
          <w:tcPr>
            <w:tcW w:w="1216" w:type="dxa"/>
            <w:tcBorders/>
          </w:tcPr>
          <w:p>
            <w:pPr>
              <w:pStyle w:val="Normal"/>
              <w:widowControl/>
              <w:suppressAutoHyphens w:val="true"/>
              <w:bidi w:val="0"/>
              <w:spacing w:lineRule="auto" w:line="480" w:before="0" w:after="160"/>
              <w:jc w:val="left"/>
              <w:rPr/>
            </w:pPr>
            <w:r>
              <w:rPr/>
              <w:t>R²</w:t>
            </w:r>
          </w:p>
        </w:tc>
        <w:tc>
          <w:tcPr>
            <w:tcW w:w="1214" w:type="dxa"/>
            <w:tcBorders/>
          </w:tcPr>
          <w:p>
            <w:pPr>
              <w:pStyle w:val="Normal"/>
              <w:widowControl/>
              <w:suppressAutoHyphens w:val="true"/>
              <w:bidi w:val="0"/>
              <w:spacing w:lineRule="auto" w:line="480" w:before="0" w:after="160"/>
              <w:jc w:val="left"/>
              <w:rPr/>
            </w:pPr>
            <w:r>
              <w:rPr/>
              <w:t>HAC p-value</w:t>
            </w:r>
          </w:p>
        </w:tc>
        <w:tc>
          <w:tcPr>
            <w:tcW w:w="1216" w:type="dxa"/>
            <w:tcBorders/>
          </w:tcPr>
          <w:p>
            <w:pPr>
              <w:pStyle w:val="Normal"/>
              <w:widowControl/>
              <w:suppressAutoHyphens w:val="true"/>
              <w:bidi w:val="0"/>
              <w:spacing w:lineRule="auto" w:line="480" w:before="0" w:after="160"/>
              <w:jc w:val="left"/>
              <w:rPr/>
            </w:pPr>
            <w:r>
              <w:rPr/>
              <w:t>Pressure</w:t>
              <w:br/>
              <w:t>seasonal/residual</w:t>
            </w:r>
          </w:p>
        </w:tc>
        <w:tc>
          <w:tcPr>
            <w:tcW w:w="1214" w:type="dxa"/>
            <w:tcBorders/>
          </w:tcPr>
          <w:p>
            <w:pPr>
              <w:pStyle w:val="Normal"/>
              <w:widowControl/>
              <w:suppressAutoHyphens w:val="true"/>
              <w:bidi w:val="0"/>
              <w:spacing w:lineRule="auto" w:line="480" w:before="0" w:after="160"/>
              <w:jc w:val="left"/>
              <w:rPr/>
            </w:pPr>
            <w:r>
              <w:rPr/>
              <w:t>Dose-residual</w:t>
              <w:br/>
              <w:t>seasonal/residual</w:t>
            </w:r>
          </w:p>
        </w:tc>
        <w:tc>
          <w:tcPr>
            <w:tcW w:w="1216" w:type="dxa"/>
            <w:tcBorders/>
          </w:tcPr>
          <w:p>
            <w:pPr>
              <w:pStyle w:val="Normal"/>
              <w:widowControl/>
              <w:suppressAutoHyphens w:val="true"/>
              <w:bidi w:val="0"/>
              <w:spacing w:lineRule="auto" w:line="480" w:before="0" w:after="160"/>
              <w:jc w:val="left"/>
              <w:rPr/>
            </w:pPr>
            <w:r>
              <w:rPr/>
              <w:t>Max |cross-corr|</w:t>
              <w:br/>
              <w:t>(lag, sols)</w:t>
            </w:r>
          </w:p>
        </w:tc>
      </w:tr>
      <w:tr>
        <w:trPr/>
        <w:tc>
          <w:tcPr>
            <w:tcW w:w="1215" w:type="dxa"/>
            <w:tcBorders/>
          </w:tcPr>
          <w:p>
            <w:pPr>
              <w:pStyle w:val="Normal"/>
              <w:widowControl/>
              <w:suppressAutoHyphens w:val="true"/>
              <w:bidi w:val="0"/>
              <w:spacing w:lineRule="auto" w:line="480" w:before="0" w:after="160"/>
              <w:jc w:val="left"/>
              <w:rPr/>
            </w:pPr>
            <w:r>
              <w:rPr/>
              <w:t>B</w:t>
            </w:r>
          </w:p>
        </w:tc>
        <w:tc>
          <w:tcPr>
            <w:tcW w:w="1214" w:type="dxa"/>
            <w:tcBorders/>
          </w:tcPr>
          <w:p>
            <w:pPr>
              <w:pStyle w:val="Normal"/>
              <w:widowControl/>
              <w:suppressAutoHyphens w:val="true"/>
              <w:bidi w:val="0"/>
              <w:spacing w:lineRule="auto" w:line="480" w:before="0" w:after="160"/>
              <w:jc w:val="left"/>
              <w:rPr/>
            </w:pPr>
            <w:r>
              <w:rPr/>
              <w:t>-0.0321</w:t>
            </w:r>
          </w:p>
        </w:tc>
        <w:tc>
          <w:tcPr>
            <w:tcW w:w="1216" w:type="dxa"/>
            <w:tcBorders/>
          </w:tcPr>
          <w:p>
            <w:pPr>
              <w:pStyle w:val="Normal"/>
              <w:widowControl/>
              <w:suppressAutoHyphens w:val="true"/>
              <w:bidi w:val="0"/>
              <w:spacing w:lineRule="auto" w:line="480" w:before="0" w:after="160"/>
              <w:jc w:val="left"/>
              <w:rPr/>
            </w:pPr>
            <w:r>
              <w:rPr/>
              <w:t>0.884</w:t>
            </w:r>
          </w:p>
        </w:tc>
        <w:tc>
          <w:tcPr>
            <w:tcW w:w="1214" w:type="dxa"/>
            <w:tcBorders/>
          </w:tcPr>
          <w:p>
            <w:pPr>
              <w:pStyle w:val="Normal"/>
              <w:widowControl/>
              <w:suppressAutoHyphens w:val="true"/>
              <w:bidi w:val="0"/>
              <w:spacing w:lineRule="auto" w:line="480" w:before="0" w:after="160"/>
              <w:jc w:val="left"/>
              <w:rPr/>
            </w:pPr>
            <w:r>
              <w:rPr/>
              <w:t>1.16e-70</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0.375</w:t>
            </w:r>
          </w:p>
        </w:tc>
        <w:tc>
          <w:tcPr>
            <w:tcW w:w="1216" w:type="dxa"/>
            <w:tcBorders/>
          </w:tcPr>
          <w:p>
            <w:pPr>
              <w:pStyle w:val="Normal"/>
              <w:widowControl/>
              <w:suppressAutoHyphens w:val="true"/>
              <w:bidi w:val="0"/>
              <w:spacing w:lineRule="auto" w:line="480" w:before="0" w:after="160"/>
              <w:jc w:val="left"/>
              <w:rPr/>
            </w:pPr>
            <w:r>
              <w:rPr/>
              <w:t>0.089 (-390)</w:t>
            </w:r>
          </w:p>
        </w:tc>
      </w:tr>
      <w:tr>
        <w:trPr/>
        <w:tc>
          <w:tcPr>
            <w:tcW w:w="1215" w:type="dxa"/>
            <w:tcBorders/>
          </w:tcPr>
          <w:p>
            <w:pPr>
              <w:pStyle w:val="Normal"/>
              <w:widowControl/>
              <w:suppressAutoHyphens w:val="true"/>
              <w:bidi w:val="0"/>
              <w:spacing w:lineRule="auto" w:line="480" w:before="0" w:after="160"/>
              <w:jc w:val="left"/>
              <w:rPr/>
            </w:pPr>
            <w:r>
              <w:rPr/>
              <w:t>E</w:t>
            </w:r>
          </w:p>
        </w:tc>
        <w:tc>
          <w:tcPr>
            <w:tcW w:w="1214" w:type="dxa"/>
            <w:tcBorders/>
          </w:tcPr>
          <w:p>
            <w:pPr>
              <w:pStyle w:val="Normal"/>
              <w:widowControl/>
              <w:suppressAutoHyphens w:val="true"/>
              <w:bidi w:val="0"/>
              <w:spacing w:lineRule="auto" w:line="480" w:before="0" w:after="160"/>
              <w:jc w:val="left"/>
              <w:rPr/>
            </w:pPr>
            <w:r>
              <w:rPr/>
              <w:t>-0.0431</w:t>
            </w:r>
          </w:p>
        </w:tc>
        <w:tc>
          <w:tcPr>
            <w:tcW w:w="1216" w:type="dxa"/>
            <w:tcBorders/>
          </w:tcPr>
          <w:p>
            <w:pPr>
              <w:pStyle w:val="Normal"/>
              <w:widowControl/>
              <w:suppressAutoHyphens w:val="true"/>
              <w:bidi w:val="0"/>
              <w:spacing w:lineRule="auto" w:line="480" w:before="0" w:after="160"/>
              <w:jc w:val="left"/>
              <w:rPr/>
            </w:pPr>
            <w:r>
              <w:rPr/>
              <w:t>0.879</w:t>
            </w:r>
          </w:p>
        </w:tc>
        <w:tc>
          <w:tcPr>
            <w:tcW w:w="1214" w:type="dxa"/>
            <w:tcBorders/>
          </w:tcPr>
          <w:p>
            <w:pPr>
              <w:pStyle w:val="Normal"/>
              <w:widowControl/>
              <w:suppressAutoHyphens w:val="true"/>
              <w:bidi w:val="0"/>
              <w:spacing w:lineRule="auto" w:line="480" w:before="0" w:after="160"/>
              <w:jc w:val="left"/>
              <w:rPr/>
            </w:pPr>
            <w:r>
              <w:rPr/>
              <w:t>2.44e-66</w:t>
            </w:r>
          </w:p>
        </w:tc>
        <w:tc>
          <w:tcPr>
            <w:tcW w:w="1216" w:type="dxa"/>
            <w:tcBorders/>
          </w:tcPr>
          <w:p>
            <w:pPr>
              <w:pStyle w:val="Normal"/>
              <w:widowControl/>
              <w:suppressAutoHyphens w:val="true"/>
              <w:bidi w:val="0"/>
              <w:spacing w:lineRule="auto" w:line="480" w:before="0" w:after="160"/>
              <w:jc w:val="left"/>
              <w:rPr/>
            </w:pPr>
            <w:r>
              <w:rPr/>
              <w:t>9.69</w:t>
            </w:r>
          </w:p>
        </w:tc>
        <w:tc>
          <w:tcPr>
            <w:tcW w:w="1214" w:type="dxa"/>
            <w:tcBorders/>
          </w:tcPr>
          <w:p>
            <w:pPr>
              <w:pStyle w:val="Normal"/>
              <w:widowControl/>
              <w:suppressAutoHyphens w:val="true"/>
              <w:bidi w:val="0"/>
              <w:spacing w:lineRule="auto" w:line="480" w:before="0" w:after="160"/>
              <w:jc w:val="left"/>
              <w:rPr/>
            </w:pPr>
            <w:r>
              <w:rPr/>
              <w:t>0.317</w:t>
            </w:r>
          </w:p>
        </w:tc>
        <w:tc>
          <w:tcPr>
            <w:tcW w:w="1216" w:type="dxa"/>
            <w:tcBorders/>
          </w:tcPr>
          <w:p>
            <w:pPr>
              <w:pStyle w:val="Normal"/>
              <w:widowControl/>
              <w:suppressAutoHyphens w:val="true"/>
              <w:bidi w:val="0"/>
              <w:spacing w:lineRule="auto" w:line="480" w:before="0" w:after="160"/>
              <w:jc w:val="left"/>
              <w:rPr/>
            </w:pPr>
            <w:r>
              <w:rPr/>
              <w:t>0.146 (-366)</w:t>
            </w:r>
          </w:p>
        </w:tc>
      </w:tr>
    </w:tbl>
    <w:p>
      <w:pPr>
        <w:pStyle w:val="Normal"/>
        <w:spacing w:lineRule="auto" w:line="480"/>
        <w:rPr/>
      </w:pPr>
      <w:r>
        <w:rPr/>
      </w:r>
    </w:p>
    <w:p>
      <w:pPr>
        <w:pStyle w:val="Normal"/>
        <w:spacing w:lineRule="auto" w:line="480"/>
        <w:rPr/>
      </w:pPr>
      <w:r>
        <w:rP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w="8505"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widowControl/>
              <w:suppressAutoHyphens w:val="true"/>
              <w:bidi w:val="0"/>
              <w:spacing w:lineRule="auto" w:line="480" w:before="0" w:after="160"/>
              <w:jc w:val="left"/>
              <w:rPr/>
            </w:pPr>
            <w:r>
              <w:rPr/>
              <w:t>Detector</w:t>
            </w:r>
          </w:p>
        </w:tc>
        <w:tc>
          <w:tcPr>
            <w:tcW w:w="1063" w:type="dxa"/>
            <w:tcBorders/>
          </w:tcPr>
          <w:p>
            <w:pPr>
              <w:pStyle w:val="Normal"/>
              <w:widowControl/>
              <w:suppressAutoHyphens w:val="true"/>
              <w:bidi w:val="0"/>
              <w:spacing w:lineRule="auto" w:line="480" w:before="0" w:after="160"/>
              <w:jc w:val="left"/>
              <w:rPr/>
            </w:pPr>
            <w:r>
              <w:rPr/>
              <w:t>Slope</w:t>
              <w:br/>
              <w:t>(lag=0)</w:t>
            </w:r>
          </w:p>
        </w:tc>
        <w:tc>
          <w:tcPr>
            <w:tcW w:w="1063" w:type="dxa"/>
            <w:tcBorders/>
          </w:tcPr>
          <w:p>
            <w:pPr>
              <w:pStyle w:val="Normal"/>
              <w:widowControl/>
              <w:suppressAutoHyphens w:val="true"/>
              <w:bidi w:val="0"/>
              <w:spacing w:lineRule="auto" w:line="480" w:before="0" w:after="160"/>
              <w:jc w:val="left"/>
              <w:rPr/>
            </w:pPr>
            <w:r>
              <w:rPr/>
              <w:t>R²</w:t>
              <w:br/>
              <w:t>(lag=0)</w:t>
            </w:r>
          </w:p>
        </w:tc>
        <w:tc>
          <w:tcPr>
            <w:tcW w:w="1063" w:type="dxa"/>
            <w:tcBorders/>
          </w:tcPr>
          <w:p>
            <w:pPr>
              <w:pStyle w:val="Normal"/>
              <w:widowControl/>
              <w:suppressAutoHyphens w:val="true"/>
              <w:bidi w:val="0"/>
              <w:spacing w:lineRule="auto" w:line="480" w:before="0" w:after="160"/>
              <w:jc w:val="left"/>
              <w:rPr/>
            </w:pPr>
            <w:r>
              <w:rPr/>
              <w:t>HAC p</w:t>
              <w:br/>
              <w:t>(lag=0)</w:t>
            </w:r>
          </w:p>
        </w:tc>
        <w:tc>
          <w:tcPr>
            <w:tcW w:w="1063" w:type="dxa"/>
            <w:tcBorders/>
          </w:tcPr>
          <w:p>
            <w:pPr>
              <w:pStyle w:val="Normal"/>
              <w:widowControl/>
              <w:suppressAutoHyphens w:val="true"/>
              <w:bidi w:val="0"/>
              <w:spacing w:lineRule="auto" w:line="480" w:before="0" w:after="160"/>
              <w:jc w:val="left"/>
              <w:rPr/>
            </w:pPr>
            <w:r>
              <w:rPr/>
              <w:t>Best lag</w:t>
              <w:br/>
              <w:t>(sols)</w:t>
            </w:r>
          </w:p>
        </w:tc>
        <w:tc>
          <w:tcPr>
            <w:tcW w:w="1063" w:type="dxa"/>
            <w:tcBorders/>
          </w:tcPr>
          <w:p>
            <w:pPr>
              <w:pStyle w:val="Normal"/>
              <w:widowControl/>
              <w:suppressAutoHyphens w:val="true"/>
              <w:bidi w:val="0"/>
              <w:spacing w:lineRule="auto" w:line="480" w:before="0" w:after="160"/>
              <w:jc w:val="left"/>
              <w:rPr/>
            </w:pPr>
            <w:r>
              <w:rPr/>
              <w:t>Declining-phase</w:t>
              <w:br/>
              <w:t>slope</w:t>
            </w:r>
          </w:p>
        </w:tc>
        <w:tc>
          <w:tcPr>
            <w:tcW w:w="1063" w:type="dxa"/>
            <w:tcBorders/>
          </w:tcPr>
          <w:p>
            <w:pPr>
              <w:pStyle w:val="Normal"/>
              <w:widowControl/>
              <w:suppressAutoHyphens w:val="true"/>
              <w:bidi w:val="0"/>
              <w:spacing w:lineRule="auto" w:line="480" w:before="0" w:after="160"/>
              <w:jc w:val="left"/>
              <w:rPr/>
            </w:pPr>
            <w:r>
              <w:rPr/>
              <w:t>Rising-phase</w:t>
              <w:br/>
              <w:t>slope</w:t>
            </w:r>
          </w:p>
        </w:tc>
        <w:tc>
          <w:tcPr>
            <w:tcW w:w="1064" w:type="dxa"/>
            <w:tcBorders/>
          </w:tcPr>
          <w:p>
            <w:pPr>
              <w:pStyle w:val="Normal"/>
              <w:widowControl/>
              <w:suppressAutoHyphens w:val="true"/>
              <w:bidi w:val="0"/>
              <w:spacing w:lineRule="auto" w:line="480" w:before="0" w:after="160"/>
              <w:jc w:val="left"/>
              <w:rPr/>
            </w:pPr>
            <w:r>
              <w:rPr/>
              <w:t>Slope diff.</w:t>
              <w:br/>
              <w:t>HAC p</w:t>
            </w:r>
          </w:p>
        </w:tc>
      </w:tr>
      <w:tr>
        <w:trPr/>
        <w:tc>
          <w:tcPr>
            <w:tcW w:w="1063" w:type="dxa"/>
            <w:tcBorders/>
          </w:tcPr>
          <w:p>
            <w:pPr>
              <w:pStyle w:val="Normal"/>
              <w:widowControl/>
              <w:suppressAutoHyphens w:val="true"/>
              <w:bidi w:val="0"/>
              <w:spacing w:lineRule="auto" w:line="480" w:before="0" w:after="160"/>
              <w:jc w:val="left"/>
              <w:rPr/>
            </w:pPr>
            <w:r>
              <w:rPr/>
              <w:t>B</w:t>
            </w:r>
          </w:p>
        </w:tc>
        <w:tc>
          <w:tcPr>
            <w:tcW w:w="1063" w:type="dxa"/>
            <w:tcBorders/>
          </w:tcPr>
          <w:p>
            <w:pPr>
              <w:pStyle w:val="Normal"/>
              <w:widowControl/>
              <w:suppressAutoHyphens w:val="true"/>
              <w:bidi w:val="0"/>
              <w:spacing w:lineRule="auto" w:line="480" w:before="0" w:after="160"/>
              <w:jc w:val="left"/>
              <w:rPr/>
            </w:pPr>
            <w:r>
              <w:rPr/>
              <w:t>0.354</w:t>
            </w:r>
          </w:p>
        </w:tc>
        <w:tc>
          <w:tcPr>
            <w:tcW w:w="1063" w:type="dxa"/>
            <w:tcBorders/>
          </w:tcPr>
          <w:p>
            <w:pPr>
              <w:pStyle w:val="Normal"/>
              <w:widowControl/>
              <w:suppressAutoHyphens w:val="true"/>
              <w:bidi w:val="0"/>
              <w:spacing w:lineRule="auto" w:line="480" w:before="0" w:after="160"/>
              <w:jc w:val="left"/>
              <w:rPr/>
            </w:pPr>
            <w:r>
              <w:rPr/>
              <w:t>0.946</w:t>
            </w:r>
          </w:p>
        </w:tc>
        <w:tc>
          <w:tcPr>
            <w:tcW w:w="1063" w:type="dxa"/>
            <w:tcBorders/>
          </w:tcPr>
          <w:p>
            <w:pPr>
              <w:pStyle w:val="Normal"/>
              <w:widowControl/>
              <w:suppressAutoHyphens w:val="true"/>
              <w:bidi w:val="0"/>
              <w:spacing w:lineRule="auto" w:line="480" w:before="0" w:after="160"/>
              <w:jc w:val="left"/>
              <w:rPr/>
            </w:pPr>
            <w:r>
              <w:rPr/>
              <w:t>1.69e-91</w:t>
            </w:r>
          </w:p>
        </w:tc>
        <w:tc>
          <w:tcPr>
            <w:tcW w:w="1063" w:type="dxa"/>
            <w:tcBorders/>
          </w:tcPr>
          <w:p>
            <w:pPr>
              <w:pStyle w:val="Normal"/>
              <w:widowControl/>
              <w:suppressAutoHyphens w:val="true"/>
              <w:bidi w:val="0"/>
              <w:spacing w:lineRule="auto" w:line="480" w:before="0" w:after="160"/>
              <w:jc w:val="left"/>
              <w:rPr/>
            </w:pPr>
            <w:r>
              <w:rPr/>
              <w:t>+5</w:t>
            </w:r>
          </w:p>
        </w:tc>
        <w:tc>
          <w:tcPr>
            <w:tcW w:w="1063" w:type="dxa"/>
            <w:tcBorders/>
          </w:tcPr>
          <w:p>
            <w:pPr>
              <w:pStyle w:val="Normal"/>
              <w:widowControl/>
              <w:suppressAutoHyphens w:val="true"/>
              <w:bidi w:val="0"/>
              <w:spacing w:lineRule="auto" w:line="480" w:before="0" w:after="160"/>
              <w:jc w:val="left"/>
              <w:rPr/>
            </w:pPr>
            <w:r>
              <w:rPr/>
              <w:t>0.306</w:t>
            </w:r>
          </w:p>
        </w:tc>
        <w:tc>
          <w:tcPr>
            <w:tcW w:w="1063" w:type="dxa"/>
            <w:tcBorders/>
          </w:tcPr>
          <w:p>
            <w:pPr>
              <w:pStyle w:val="Normal"/>
              <w:widowControl/>
              <w:suppressAutoHyphens w:val="true"/>
              <w:bidi w:val="0"/>
              <w:spacing w:lineRule="auto" w:line="480" w:before="0" w:after="160"/>
              <w:jc w:val="left"/>
              <w:rPr/>
            </w:pPr>
            <w:r>
              <w:rPr/>
              <w:t>0.372</w:t>
            </w:r>
          </w:p>
        </w:tc>
        <w:tc>
          <w:tcPr>
            <w:tcW w:w="1064" w:type="dxa"/>
            <w:tcBorders/>
          </w:tcPr>
          <w:p>
            <w:pPr>
              <w:pStyle w:val="Normal"/>
              <w:widowControl/>
              <w:suppressAutoHyphens w:val="true"/>
              <w:bidi w:val="0"/>
              <w:spacing w:lineRule="auto" w:line="480" w:before="0" w:after="160"/>
              <w:jc w:val="left"/>
              <w:rPr/>
            </w:pPr>
            <w:r>
              <w:rPr/>
              <w:t>3.9e-7</w:t>
            </w:r>
          </w:p>
        </w:tc>
      </w:tr>
      <w:tr>
        <w:trPr/>
        <w:tc>
          <w:tcPr>
            <w:tcW w:w="1063" w:type="dxa"/>
            <w:tcBorders/>
          </w:tcPr>
          <w:p>
            <w:pPr>
              <w:pStyle w:val="Normal"/>
              <w:widowControl/>
              <w:suppressAutoHyphens w:val="true"/>
              <w:bidi w:val="0"/>
              <w:spacing w:lineRule="auto" w:line="480" w:before="0" w:after="160"/>
              <w:jc w:val="left"/>
              <w:rPr/>
            </w:pPr>
            <w:r>
              <w:rPr/>
              <w:t>E</w:t>
            </w:r>
          </w:p>
        </w:tc>
        <w:tc>
          <w:tcPr>
            <w:tcW w:w="1063" w:type="dxa"/>
            <w:tcBorders/>
          </w:tcPr>
          <w:p>
            <w:pPr>
              <w:pStyle w:val="Normal"/>
              <w:widowControl/>
              <w:suppressAutoHyphens w:val="true"/>
              <w:bidi w:val="0"/>
              <w:spacing w:lineRule="auto" w:line="480" w:before="0" w:after="160"/>
              <w:jc w:val="left"/>
              <w:rPr/>
            </w:pPr>
            <w:r>
              <w:rPr/>
              <w:t>0.480</w:t>
            </w:r>
          </w:p>
        </w:tc>
        <w:tc>
          <w:tcPr>
            <w:tcW w:w="1063" w:type="dxa"/>
            <w:tcBorders/>
          </w:tcPr>
          <w:p>
            <w:pPr>
              <w:pStyle w:val="Normal"/>
              <w:widowControl/>
              <w:suppressAutoHyphens w:val="true"/>
              <w:bidi w:val="0"/>
              <w:spacing w:lineRule="auto" w:line="480" w:before="0" w:after="160"/>
              <w:jc w:val="left"/>
              <w:rPr/>
            </w:pPr>
            <w:r>
              <w:rPr/>
              <w:t>0.958</w:t>
            </w:r>
          </w:p>
        </w:tc>
        <w:tc>
          <w:tcPr>
            <w:tcW w:w="1063" w:type="dxa"/>
            <w:tcBorders/>
          </w:tcPr>
          <w:p>
            <w:pPr>
              <w:pStyle w:val="Normal"/>
              <w:widowControl/>
              <w:suppressAutoHyphens w:val="true"/>
              <w:bidi w:val="0"/>
              <w:spacing w:lineRule="auto" w:line="480" w:before="0" w:after="160"/>
              <w:jc w:val="left"/>
              <w:rPr/>
            </w:pPr>
            <w:r>
              <w:rPr/>
              <w:t>5.56e-161</w:t>
            </w:r>
          </w:p>
        </w:tc>
        <w:tc>
          <w:tcPr>
            <w:tcW w:w="1063" w:type="dxa"/>
            <w:tcBorders/>
          </w:tcPr>
          <w:p>
            <w:pPr>
              <w:pStyle w:val="Normal"/>
              <w:widowControl/>
              <w:suppressAutoHyphens w:val="true"/>
              <w:bidi w:val="0"/>
              <w:spacing w:lineRule="auto" w:line="480" w:before="0" w:after="160"/>
              <w:jc w:val="left"/>
              <w:rPr/>
            </w:pPr>
            <w:r>
              <w:rPr/>
              <w:t>+10</w:t>
            </w:r>
          </w:p>
        </w:tc>
        <w:tc>
          <w:tcPr>
            <w:tcW w:w="1063" w:type="dxa"/>
            <w:tcBorders/>
          </w:tcPr>
          <w:p>
            <w:pPr>
              <w:pStyle w:val="Normal"/>
              <w:widowControl/>
              <w:suppressAutoHyphens w:val="true"/>
              <w:bidi w:val="0"/>
              <w:spacing w:lineRule="auto" w:line="480" w:before="0" w:after="160"/>
              <w:jc w:val="left"/>
              <w:rPr/>
            </w:pPr>
            <w:r>
              <w:rPr/>
              <w:t>0.435</w:t>
            </w:r>
          </w:p>
        </w:tc>
        <w:tc>
          <w:tcPr>
            <w:tcW w:w="1063" w:type="dxa"/>
            <w:tcBorders/>
          </w:tcPr>
          <w:p>
            <w:pPr>
              <w:pStyle w:val="Normal"/>
              <w:widowControl/>
              <w:suppressAutoHyphens w:val="true"/>
              <w:bidi w:val="0"/>
              <w:spacing w:lineRule="auto" w:line="480" w:before="0" w:after="160"/>
              <w:jc w:val="left"/>
              <w:rPr/>
            </w:pPr>
            <w:r>
              <w:rPr/>
              <w:t>0.500</w:t>
            </w:r>
          </w:p>
        </w:tc>
        <w:tc>
          <w:tcPr>
            <w:tcW w:w="1064" w:type="dxa"/>
            <w:tcBorders/>
          </w:tcPr>
          <w:p>
            <w:pPr>
              <w:pStyle w:val="Normal"/>
              <w:widowControl/>
              <w:suppressAutoHyphens w:val="true"/>
              <w:bidi w:val="0"/>
              <w:spacing w:lineRule="auto" w:line="480" w:before="0" w:after="160"/>
              <w:jc w:val="left"/>
              <w:rPr/>
            </w:pPr>
            <w:r>
              <w:rPr/>
              <w:t>1.7e-3</w:t>
            </w:r>
          </w:p>
        </w:tc>
      </w:tr>
    </w:tbl>
    <w:p>
      <w:pPr>
        <w:pStyle w:val="Normal"/>
        <w:spacing w:lineRule="auto" w:line="480"/>
        <w:rPr/>
      </w:pPr>
      <w:r>
        <w:rPr/>
      </w:r>
    </w:p>
    <w:p>
      <w:pPr>
        <w:pStyle w:val="Normal"/>
        <w:spacing w:lineRule="auto" w:line="480"/>
        <w:rPr/>
      </w:pPr>
      <w:r>
        <w:rP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w="8502" w:type="dxa"/>
        <w:jc w:val="left"/>
        <w:tblInd w:w="108" w:type="dxa"/>
        <w:tblLayout w:type="fixed"/>
        <w:tblCellMar>
          <w:top w:w="0" w:type="dxa"/>
          <w:left w:w="108" w:type="dxa"/>
          <w:bottom w:w="0" w:type="dxa"/>
          <w:right w:w="108" w:type="dxa"/>
        </w:tblCellMar>
        <w:tblLook w:val="04a0" w:firstRow="1" w:noVBand="1" w:lastRow="0" w:firstColumn="1" w:lastColumn="0" w:noHBand="0"/>
      </w:tblPr>
      <w:tblGrid>
        <w:gridCol w:w="1417"/>
        <w:gridCol w:w="1416"/>
        <w:gridCol w:w="1418"/>
        <w:gridCol w:w="1417"/>
        <w:gridCol w:w="1416"/>
        <w:gridCol w:w="1418"/>
      </w:tblGrid>
      <w:tr>
        <w:trPr/>
        <w:tc>
          <w:tcPr>
            <w:tcW w:w="1417" w:type="dxa"/>
            <w:tcBorders/>
          </w:tcPr>
          <w:p>
            <w:pPr>
              <w:pStyle w:val="Normal"/>
              <w:widowControl/>
              <w:suppressAutoHyphens w:val="true"/>
              <w:bidi w:val="0"/>
              <w:spacing w:lineRule="auto" w:line="480" w:before="0" w:after="160"/>
              <w:jc w:val="left"/>
              <w:rPr/>
            </w:pPr>
            <w:r>
              <w:rPr/>
              <w:t>Scenario</w:t>
            </w:r>
          </w:p>
        </w:tc>
        <w:tc>
          <w:tcPr>
            <w:tcW w:w="1416" w:type="dxa"/>
            <w:tcBorders/>
          </w:tcPr>
          <w:p>
            <w:pPr>
              <w:pStyle w:val="Normal"/>
              <w:widowControl/>
              <w:suppressAutoHyphens w:val="true"/>
              <w:bidi w:val="0"/>
              <w:spacing w:lineRule="auto" w:line="480" w:before="0" w:after="160"/>
              <w:jc w:val="left"/>
              <w:rPr/>
            </w:pPr>
            <w:r>
              <w:rPr/>
              <w:t>Dose rate,</w:t>
              <w:br/>
              <w:t>detector E</w:t>
              <w:br/>
              <w:t>(uGy/hour)</w:t>
            </w:r>
          </w:p>
        </w:tc>
        <w:tc>
          <w:tcPr>
            <w:tcW w:w="1418" w:type="dxa"/>
            <w:tcBorders/>
          </w:tcPr>
          <w:p>
            <w:pPr>
              <w:pStyle w:val="Normal"/>
              <w:widowControl/>
              <w:suppressAutoHyphens w:val="true"/>
              <w:bidi w:val="0"/>
              <w:spacing w:lineRule="auto" w:line="480" w:before="0" w:after="160"/>
              <w:jc w:val="left"/>
              <w:rPr/>
            </w:pPr>
            <w:r>
              <w:rPr/>
              <w:t>Dose equiv. rate</w:t>
              <w:br/>
              <w:t>(mSv/day)</w:t>
            </w:r>
          </w:p>
        </w:tc>
        <w:tc>
          <w:tcPr>
            <w:tcW w:w="1417" w:type="dxa"/>
            <w:tcBorders/>
          </w:tcPr>
          <w:p>
            <w:pPr>
              <w:pStyle w:val="Normal"/>
              <w:widowControl/>
              <w:suppressAutoHyphens w:val="true"/>
              <w:bidi w:val="0"/>
              <w:spacing w:lineRule="auto" w:line="480" w:before="0" w:after="160"/>
              <w:jc w:val="left"/>
              <w:rPr/>
            </w:pPr>
            <w:r>
              <w:rPr/>
              <w:t>Surface dose,</w:t>
              <w:br/>
              <w:t>500 days (mSv)</w:t>
            </w:r>
          </w:p>
        </w:tc>
        <w:tc>
          <w:tcPr>
            <w:tcW w:w="1416" w:type="dxa"/>
            <w:tcBorders/>
          </w:tcPr>
          <w:p>
            <w:pPr>
              <w:pStyle w:val="Normal"/>
              <w:widowControl/>
              <w:suppressAutoHyphens w:val="true"/>
              <w:bidi w:val="0"/>
              <w:spacing w:lineRule="auto" w:line="480" w:before="0" w:after="160"/>
              <w:jc w:val="left"/>
              <w:rPr/>
            </w:pPr>
            <w:r>
              <w:rPr/>
              <w:t>Total mission</w:t>
              <w:br/>
              <w:t>dose (mSv)</w:t>
            </w:r>
          </w:p>
        </w:tc>
        <w:tc>
          <w:tcPr>
            <w:tcW w:w="1418" w:type="dxa"/>
            <w:tcBorders/>
          </w:tcPr>
          <w:p>
            <w:pPr>
              <w:pStyle w:val="Normal"/>
              <w:widowControl/>
              <w:suppressAutoHyphens w:val="true"/>
              <w:bidi w:val="0"/>
              <w:spacing w:lineRule="auto" w:line="480" w:before="0" w:after="160"/>
              <w:jc w:val="left"/>
              <w:rPr/>
            </w:pPr>
            <w:r>
              <w:rPr/>
              <w:t>% of NASA</w:t>
              <w:br/>
              <w:t>600 mSv limit</w:t>
            </w:r>
          </w:p>
        </w:tc>
      </w:tr>
      <w:tr>
        <w:trPr/>
        <w:tc>
          <w:tcPr>
            <w:tcW w:w="1417" w:type="dxa"/>
            <w:tcBorders/>
          </w:tcPr>
          <w:p>
            <w:pPr>
              <w:pStyle w:val="Normal"/>
              <w:widowControl/>
              <w:suppressAutoHyphens w:val="true"/>
              <w:bidi w:val="0"/>
              <w:spacing w:lineRule="auto" w:line="480" w:before="0" w:after="160"/>
              <w:jc w:val="left"/>
              <w:rPr/>
            </w:pPr>
            <w:r>
              <w:rPr/>
              <w:t>Near solar maximum</w:t>
              <w:br/>
              <w:t>(SOL ~50, 2012-13)</w:t>
            </w:r>
          </w:p>
        </w:tc>
        <w:tc>
          <w:tcPr>
            <w:tcW w:w="1416" w:type="dxa"/>
            <w:tcBorders/>
          </w:tcPr>
          <w:p>
            <w:pPr>
              <w:pStyle w:val="Normal"/>
              <w:widowControl/>
              <w:suppressAutoHyphens w:val="true"/>
              <w:bidi w:val="0"/>
              <w:spacing w:lineRule="auto" w:line="480" w:before="0" w:after="160"/>
              <w:jc w:val="left"/>
              <w:rPr/>
            </w:pPr>
            <w:r>
              <w:rPr/>
              <w:t>8.78</w:t>
            </w:r>
          </w:p>
        </w:tc>
        <w:tc>
          <w:tcPr>
            <w:tcW w:w="1418" w:type="dxa"/>
            <w:tcBorders/>
          </w:tcPr>
          <w:p>
            <w:pPr>
              <w:pStyle w:val="Normal"/>
              <w:widowControl/>
              <w:suppressAutoHyphens w:val="true"/>
              <w:bidi w:val="0"/>
              <w:spacing w:lineRule="auto" w:line="480" w:before="0" w:after="160"/>
              <w:jc w:val="left"/>
              <w:rPr/>
            </w:pPr>
            <w:r>
              <w:rPr/>
              <w:t>0.643</w:t>
            </w:r>
          </w:p>
        </w:tc>
        <w:tc>
          <w:tcPr>
            <w:tcW w:w="1417" w:type="dxa"/>
            <w:tcBorders/>
          </w:tcPr>
          <w:p>
            <w:pPr>
              <w:pStyle w:val="Normal"/>
              <w:widowControl/>
              <w:suppressAutoHyphens w:val="true"/>
              <w:bidi w:val="0"/>
              <w:spacing w:lineRule="auto" w:line="480" w:before="0" w:after="160"/>
              <w:jc w:val="left"/>
              <w:rPr/>
            </w:pPr>
            <w:r>
              <w:rPr/>
              <w:t>321</w:t>
            </w:r>
          </w:p>
        </w:tc>
        <w:tc>
          <w:tcPr>
            <w:tcW w:w="1416" w:type="dxa"/>
            <w:tcBorders/>
          </w:tcPr>
          <w:p>
            <w:pPr>
              <w:pStyle w:val="Normal"/>
              <w:widowControl/>
              <w:suppressAutoHyphens w:val="true"/>
              <w:bidi w:val="0"/>
              <w:spacing w:lineRule="auto" w:line="480" w:before="0" w:after="160"/>
              <w:jc w:val="left"/>
              <w:rPr/>
            </w:pPr>
            <w:r>
              <w:rPr/>
              <w:t>983</w:t>
            </w:r>
          </w:p>
        </w:tc>
        <w:tc>
          <w:tcPr>
            <w:tcW w:w="1418" w:type="dxa"/>
            <w:tcBorders/>
          </w:tcPr>
          <w:p>
            <w:pPr>
              <w:pStyle w:val="Normal"/>
              <w:widowControl/>
              <w:suppressAutoHyphens w:val="true"/>
              <w:bidi w:val="0"/>
              <w:spacing w:lineRule="auto" w:line="480" w:before="0" w:after="160"/>
              <w:jc w:val="left"/>
              <w:rPr/>
            </w:pPr>
            <w:r>
              <w:rPr/>
              <w:t>164%</w:t>
            </w:r>
          </w:p>
        </w:tc>
      </w:tr>
      <w:tr>
        <w:trPr/>
        <w:tc>
          <w:tcPr>
            <w:tcW w:w="1417" w:type="dxa"/>
            <w:tcBorders/>
          </w:tcPr>
          <w:p>
            <w:pPr>
              <w:pStyle w:val="Normal"/>
              <w:widowControl/>
              <w:suppressAutoHyphens w:val="true"/>
              <w:bidi w:val="0"/>
              <w:spacing w:lineRule="auto" w:line="480" w:before="0" w:after="160"/>
              <w:jc w:val="left"/>
              <w:rPr/>
            </w:pPr>
            <w:r>
              <w:rPr/>
              <w:t>Deep solar minimum</w:t>
              <w:br/>
              <w:t>(SOL ~2779, 2019-2020)</w:t>
            </w:r>
          </w:p>
        </w:tc>
        <w:tc>
          <w:tcPr>
            <w:tcW w:w="1416" w:type="dxa"/>
            <w:tcBorders/>
          </w:tcPr>
          <w:p>
            <w:pPr>
              <w:pStyle w:val="Normal"/>
              <w:widowControl/>
              <w:suppressAutoHyphens w:val="true"/>
              <w:bidi w:val="0"/>
              <w:spacing w:lineRule="auto" w:line="480" w:before="0" w:after="160"/>
              <w:jc w:val="left"/>
              <w:rPr/>
            </w:pPr>
            <w:r>
              <w:rPr/>
              <w:t>12.90</w:t>
            </w:r>
          </w:p>
        </w:tc>
        <w:tc>
          <w:tcPr>
            <w:tcW w:w="1418" w:type="dxa"/>
            <w:tcBorders/>
          </w:tcPr>
          <w:p>
            <w:pPr>
              <w:pStyle w:val="Normal"/>
              <w:widowControl/>
              <w:suppressAutoHyphens w:val="true"/>
              <w:bidi w:val="0"/>
              <w:spacing w:lineRule="auto" w:line="480" w:before="0" w:after="160"/>
              <w:jc w:val="left"/>
              <w:rPr/>
            </w:pPr>
            <w:r>
              <w:rPr/>
              <w:t>0.944</w:t>
            </w:r>
          </w:p>
        </w:tc>
        <w:tc>
          <w:tcPr>
            <w:tcW w:w="1417" w:type="dxa"/>
            <w:tcBorders/>
          </w:tcPr>
          <w:p>
            <w:pPr>
              <w:pStyle w:val="Normal"/>
              <w:widowControl/>
              <w:suppressAutoHyphens w:val="true"/>
              <w:bidi w:val="0"/>
              <w:spacing w:lineRule="auto" w:line="480" w:before="0" w:after="160"/>
              <w:jc w:val="left"/>
              <w:rPr/>
            </w:pPr>
            <w:r>
              <w:rPr/>
              <w:t>472</w:t>
            </w:r>
          </w:p>
        </w:tc>
        <w:tc>
          <w:tcPr>
            <w:tcW w:w="1416" w:type="dxa"/>
            <w:tcBorders/>
          </w:tcPr>
          <w:p>
            <w:pPr>
              <w:pStyle w:val="Normal"/>
              <w:widowControl/>
              <w:suppressAutoHyphens w:val="true"/>
              <w:bidi w:val="0"/>
              <w:spacing w:lineRule="auto" w:line="480" w:before="0" w:after="160"/>
              <w:jc w:val="left"/>
              <w:rPr/>
            </w:pPr>
            <w:r>
              <w:rPr/>
              <w:t>1134</w:t>
            </w:r>
          </w:p>
        </w:tc>
        <w:tc>
          <w:tcPr>
            <w:tcW w:w="1418" w:type="dxa"/>
            <w:tcBorders/>
          </w:tcPr>
          <w:p>
            <w:pPr>
              <w:pStyle w:val="Normal"/>
              <w:widowControl/>
              <w:suppressAutoHyphens w:val="true"/>
              <w:bidi w:val="0"/>
              <w:spacing w:lineRule="auto" w:line="480" w:before="0" w:after="160"/>
              <w:jc w:val="left"/>
              <w:rPr/>
            </w:pPr>
            <w:r>
              <w:rPr/>
              <w:t>189%</w:t>
            </w:r>
          </w:p>
        </w:tc>
      </w:tr>
      <w:tr>
        <w:trPr/>
        <w:tc>
          <w:tcPr>
            <w:tcW w:w="1417" w:type="dxa"/>
            <w:tcBorders/>
          </w:tcPr>
          <w:p>
            <w:pPr>
              <w:pStyle w:val="Normal"/>
              <w:widowControl/>
              <w:suppressAutoHyphens w:val="true"/>
              <w:bidi w:val="0"/>
              <w:spacing w:lineRule="auto" w:line="480" w:before="0" w:after="160"/>
              <w:jc w:val="left"/>
              <w:rPr/>
            </w:pPr>
            <w:r>
              <w:rPr/>
              <w:t>Recent, solar cycle 25 maximum</w:t>
              <w:br/>
              <w:t>(SOL ~4832, 2025-26)</w:t>
            </w:r>
          </w:p>
        </w:tc>
        <w:tc>
          <w:tcPr>
            <w:tcW w:w="1416" w:type="dxa"/>
            <w:tcBorders/>
          </w:tcPr>
          <w:p>
            <w:pPr>
              <w:pStyle w:val="Normal"/>
              <w:widowControl/>
              <w:suppressAutoHyphens w:val="true"/>
              <w:bidi w:val="0"/>
              <w:spacing w:lineRule="auto" w:line="480" w:before="0" w:after="160"/>
              <w:jc w:val="left"/>
              <w:rPr/>
            </w:pPr>
            <w:r>
              <w:rPr/>
              <w:t>6.32</w:t>
            </w:r>
          </w:p>
        </w:tc>
        <w:tc>
          <w:tcPr>
            <w:tcW w:w="1418" w:type="dxa"/>
            <w:tcBorders/>
          </w:tcPr>
          <w:p>
            <w:pPr>
              <w:pStyle w:val="Normal"/>
              <w:widowControl/>
              <w:suppressAutoHyphens w:val="true"/>
              <w:bidi w:val="0"/>
              <w:spacing w:lineRule="auto" w:line="480" w:before="0" w:after="160"/>
              <w:jc w:val="left"/>
              <w:rPr/>
            </w:pPr>
            <w:r>
              <w:rPr/>
              <w:t>0.463</w:t>
            </w:r>
          </w:p>
        </w:tc>
        <w:tc>
          <w:tcPr>
            <w:tcW w:w="1417" w:type="dxa"/>
            <w:tcBorders/>
          </w:tcPr>
          <w:p>
            <w:pPr>
              <w:pStyle w:val="Normal"/>
              <w:widowControl/>
              <w:suppressAutoHyphens w:val="true"/>
              <w:bidi w:val="0"/>
              <w:spacing w:lineRule="auto" w:line="480" w:before="0" w:after="160"/>
              <w:jc w:val="left"/>
              <w:rPr/>
            </w:pPr>
            <w:r>
              <w:rPr/>
              <w:t>231</w:t>
            </w:r>
          </w:p>
        </w:tc>
        <w:tc>
          <w:tcPr>
            <w:tcW w:w="1416" w:type="dxa"/>
            <w:tcBorders/>
          </w:tcPr>
          <w:p>
            <w:pPr>
              <w:pStyle w:val="Normal"/>
              <w:widowControl/>
              <w:suppressAutoHyphens w:val="true"/>
              <w:bidi w:val="0"/>
              <w:spacing w:lineRule="auto" w:line="480" w:before="0" w:after="160"/>
              <w:jc w:val="left"/>
              <w:rPr/>
            </w:pPr>
            <w:r>
              <w:rPr/>
              <w:t>893</w:t>
            </w:r>
          </w:p>
        </w:tc>
        <w:tc>
          <w:tcPr>
            <w:tcW w:w="1418" w:type="dxa"/>
            <w:tcBorders/>
          </w:tcPr>
          <w:p>
            <w:pPr>
              <w:pStyle w:val="Normal"/>
              <w:widowControl/>
              <w:suppressAutoHyphens w:val="true"/>
              <w:bidi w:val="0"/>
              <w:spacing w:lineRule="auto" w:line="480" w:before="0" w:after="160"/>
              <w:jc w:val="left"/>
              <w:rPr/>
            </w:pPr>
            <w:r>
              <w:rPr/>
              <w:t>149%</w:t>
            </w:r>
          </w:p>
        </w:tc>
      </w:tr>
    </w:tbl>
    <w:p>
      <w:pPr>
        <w:pStyle w:val="Normal"/>
        <w:spacing w:lineRule="auto" w:line="480"/>
        <w:rPr/>
      </w:pPr>
      <w:r>
        <w:rPr/>
      </w:r>
    </w:p>
    <w:p>
      <w:pPr>
        <w:pStyle w:val="Normal"/>
        <w:spacing w:lineRule="auto" w:line="480"/>
        <w:rPr/>
      </w:pPr>
      <w:r>
        <w:rPr>
          <w:b/>
        </w:rPr>
        <w:t>Figures</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2. Wavelet power spectrum of the E-detector dose-rate time series for SOL windows 00000-00089 through 00708-00804 (panels A-H), computed as described in Section 2.3.</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3. Wavelet power spectrum of the E-detector dose-rate time series for SOL windows 00805-00938 through 01649-01772 (panels A-H).</w:t>
      </w:r>
    </w:p>
    <w:p>
      <w:pPr>
        <w:pStyle w:val="Normal"/>
        <w:spacing w:lineRule="auto" w:line="480"/>
        <w:rPr/>
      </w:pPr>
      <w:r>
        <w:rPr/>
      </w:r>
    </w:p>
    <w:p>
      <w:pPr>
        <w:pStyle w:val="Normal"/>
        <w:spacing w:lineRule="auto" w:line="480"/>
        <w:jc w:val="both"/>
        <w:rPr>
          <w:rFonts w:ascii="Calibri" w:hAnsi="Calibri"/>
          <w:sz w:val="24"/>
          <w:szCs w:val="24"/>
        </w:rPr>
      </w:pPr>
      <w:r>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480"/>
        <w:jc w:val="both"/>
        <w:rPr>
          <w:rFonts w:ascii="Calibri" w:hAnsi="Calibri"/>
          <w:sz w:val="24"/>
          <w:szCs w:val="24"/>
        </w:rPr>
      </w:pPr>
      <w:r>
        <w:rPr>
          <w:i/>
          <w:sz w:val="24"/>
          <w:szCs w:val="24"/>
        </w:rPr>
        <w:t>Figure 4. Wavelet power spectrum of the E-detector dose-rate time series for SOL windows 01773-01869 through 02225-02358 (panels A-E). Panel A (SOL 01773-01869) captures the September 2017 solar energetic particle event.</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3916045"/>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7"/>
                    <a:stretch>
                      <a:fillRect/>
                    </a:stretch>
                  </pic:blipFill>
                  <pic:spPr bwMode="auto">
                    <a:xfrm>
                      <a:off x="0" y="0"/>
                      <a:ext cx="5669280" cy="391604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pStyle w:val="Normal"/>
        <w:spacing w:lineRule="auto" w:line="480"/>
        <w:rPr/>
      </w:pPr>
      <w:r>
        <w:rPr/>
      </w:r>
    </w:p>
    <w:p>
      <w:pPr>
        <w:pStyle w:val="Normal"/>
        <w:spacing w:lineRule="auto" w:line="480"/>
        <w:rPr>
          <w:rFonts w:ascii="Calibri" w:hAnsi="Calibri"/>
          <w:sz w:val="24"/>
          <w:szCs w:val="24"/>
        </w:rPr>
      </w:pPr>
      <w:r>
        <w:rPr/>
        <w:drawing>
          <wp:inline distT="0" distB="0" distL="0" distR="0">
            <wp:extent cx="5669280" cy="2591435"/>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8"/>
                    <a:stretch>
                      <a:fillRect/>
                    </a:stretch>
                  </pic:blipFill>
                  <pic:spPr bwMode="auto">
                    <a:xfrm>
                      <a:off x="0" y="0"/>
                      <a:ext cx="5669280" cy="2591435"/>
                    </a:xfrm>
                    <a:prstGeom prst="rect">
                      <a:avLst/>
                    </a:prstGeom>
                    <a:noFill/>
                  </pic:spPr>
                </pic:pic>
              </a:graphicData>
            </a:graphic>
          </wp:inline>
        </w:drawing>
      </w:r>
    </w:p>
    <w:p>
      <w:pPr>
        <w:pStyle w:val="Normal"/>
        <w:spacing w:lineRule="auto" w:line="480"/>
        <w:rPr>
          <w:rFonts w:ascii="Calibri" w:hAnsi="Calibri"/>
          <w:sz w:val="24"/>
          <w:szCs w:val="24"/>
        </w:rPr>
      </w:pPr>
      <w:r>
        <w:rPr>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pStyle w:val="Normal"/>
        <w:spacing w:lineRule="auto" w:line="480"/>
        <w:rPr/>
      </w:pPr>
      <w:r>
        <w:rPr/>
      </w:r>
    </w:p>
    <w:p>
      <w:pPr>
        <w:pStyle w:val="Normal"/>
        <w:spacing w:lineRule="auto" w:line="480"/>
        <w:rPr/>
      </w:pPr>
      <w:r>
        <w:rPr/>
        <w:drawing>
          <wp:inline distT="0" distB="0" distL="0" distR="0">
            <wp:extent cx="5669280" cy="3446145"/>
            <wp:effectExtent l="0" t="0" r="0" b="0"/>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noChangeArrowheads="1"/>
                    </pic:cNvPicPr>
                  </pic:nvPicPr>
                  <pic:blipFill>
                    <a:blip r:embed="rId9"/>
                    <a:stretch>
                      <a:fillRect/>
                    </a:stretch>
                  </pic:blipFill>
                  <pic:spPr bwMode="auto">
                    <a:xfrm>
                      <a:off x="0" y="0"/>
                      <a:ext cx="5669280" cy="3446145"/>
                    </a:xfrm>
                    <a:prstGeom prst="rect">
                      <a:avLst/>
                    </a:prstGeom>
                    <a:noFill/>
                  </pic:spPr>
                </pic:pic>
              </a:graphicData>
            </a:graphic>
          </wp:inline>
        </w:drawing>
      </w:r>
    </w:p>
    <w:p>
      <w:pPr>
        <w:pStyle w:val="Normal"/>
        <w:spacing w:lineRule="auto" w:line="480"/>
        <w:rPr/>
      </w:pPr>
      <w:r>
        <w:rP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Pr>
        <w:pStyle w:val="Normal"/>
        <w:spacing w:lineRule="auto" w:line="480"/>
        <w:rPr/>
      </w:pPr>
      <w:r>
        <w:rPr/>
      </w:r>
    </w:p>
    <w:p>
      <w:pPr>
        <w:pStyle w:val="Normal"/>
        <w:spacing w:lineRule="auto" w:line="480"/>
        <w:rPr/>
      </w:pPr>
      <w:r>
        <w:rPr/>
        <w:drawing>
          <wp:inline distT="0" distB="0" distL="0" distR="0">
            <wp:extent cx="5669280" cy="2176145"/>
            <wp:effectExtent l="0" t="0" r="0" b="0"/>
            <wp:docPr id="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
                    <pic:cNvPicPr>
                      <a:picLocks noChangeAspect="1" noChangeArrowheads="1"/>
                    </pic:cNvPicPr>
                  </pic:nvPicPr>
                  <pic:blipFill>
                    <a:blip r:embed="rId10"/>
                    <a:stretch>
                      <a:fillRect/>
                    </a:stretch>
                  </pic:blipFill>
                  <pic:spPr bwMode="auto">
                    <a:xfrm>
                      <a:off x="0" y="0"/>
                      <a:ext cx="5669280" cy="2176145"/>
                    </a:xfrm>
                    <a:prstGeom prst="rect">
                      <a:avLst/>
                    </a:prstGeom>
                    <a:noFill/>
                  </pic:spPr>
                </pic:pic>
              </a:graphicData>
            </a:graphic>
          </wp:inline>
        </w:drawing>
      </w:r>
    </w:p>
    <w:p>
      <w:pPr>
        <w:pStyle w:val="Normal"/>
        <w:spacing w:lineRule="auto" w:line="480"/>
        <w:rPr/>
      </w:pPr>
      <w:r>
        <w:rP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Pr>
        <w:pStyle w:val="Normal"/>
        <w:spacing w:lineRule="auto" w:line="480"/>
        <w:rPr/>
      </w:pPr>
      <w:r>
        <w:rPr/>
      </w:r>
    </w:p>
    <w:p>
      <w:pPr>
        <w:pStyle w:val="Normal"/>
        <w:spacing w:lineRule="auto" w:line="480"/>
        <w:rPr/>
      </w:pPr>
      <w:r>
        <w:rPr/>
        <w:drawing>
          <wp:inline distT="0" distB="0" distL="0" distR="0">
            <wp:extent cx="5669280" cy="2543175"/>
            <wp:effectExtent l="0" t="0" r="0" b="0"/>
            <wp:docPr id="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3"/>
                    <pic:cNvPicPr>
                      <a:picLocks noChangeAspect="1" noChangeArrowheads="1"/>
                    </pic:cNvPicPr>
                  </pic:nvPicPr>
                  <pic:blipFill>
                    <a:blip r:embed="rId11"/>
                    <a:stretch>
                      <a:fillRect/>
                    </a:stretch>
                  </pic:blipFill>
                  <pic:spPr bwMode="auto">
                    <a:xfrm>
                      <a:off x="0" y="0"/>
                      <a:ext cx="5669280" cy="2543175"/>
                    </a:xfrm>
                    <a:prstGeom prst="rect">
                      <a:avLst/>
                    </a:prstGeom>
                    <a:noFill/>
                  </pic:spPr>
                </pic:pic>
              </a:graphicData>
            </a:graphic>
          </wp:inline>
        </w:drawing>
      </w:r>
    </w:p>
    <w:p>
      <w:pPr>
        <w:pStyle w:val="Normal"/>
        <w:spacing w:lineRule="auto" w:line="480" w:before="0" w:after="160"/>
        <w:rPr/>
      </w:pPr>
      <w:r>
        <w:rP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sectPr>
      <w:type w:val="nextPage"/>
      <w:pgSz w:w="11906" w:h="16838"/>
      <w:pgMar w:left="1701" w:right="1701" w:gutter="0" w:header="0" w:top="1417" w:footer="0" w:bottom="1417"/>
      <w:lnNumType w:countBy="1" w:restart="continuous" w:distance="28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character" w:styleId="LineNumber">
    <w:name w:val="line number"/>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lang w:val="zxx" w:eastAsia="zxx" w:bidi="zxx"/>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4465</TotalTime>
  <Application>LibreOffice/26.2.5.2$Windows_X86_64 LibreOffice_project/cd7284b4cbbfeb507e630c1aac019f4157393acb</Application>
  <AppVersion>15.0000</AppVersion>
  <Pages>42</Pages>
  <Words>7524</Words>
  <Characters>43590</Characters>
  <CharactersWithSpaces>50748</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2026-09-06T15:20:48Z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