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jc w:val="center"/>
      </w:pPr>
      <w:r>
        <w:rPr>
          <w:rFonts w:ascii="Aptos Display" w:hAnsi="Aptos Display"/>
          <w:b/>
          <w:color w:val="B78419"/>
          <w:sz w:val="84"/>
        </w:rPr>
        <w:t>LIVI</w:t>
      </w:r>
    </w:p>
    <w:p>
      <w:pPr>
        <w:spacing w:before="120"/>
        <w:jc w:val="center"/>
      </w:pPr>
      <w:r>
        <w:rPr>
          <w:b/>
          <w:color w:val="182741"/>
          <w:sz w:val="42"/>
        </w:rPr>
        <w:t>DOSSIER FONCTIONNEL, MÉTIER, LOGISTIQUE</w:t>
        <w:br/>
        <w:t>ET SPÉCIFICATIONS TECHNIQUES</w:t>
      </w:r>
    </w:p>
    <w:p>
      <w:pPr>
        <w:spacing w:before="160"/>
        <w:jc w:val="center"/>
      </w:pPr>
      <w:r>
        <w:rPr>
          <w:color w:val="5C636C"/>
          <w:sz w:val="22"/>
        </w:rPr>
        <w:t>Version V58 — agriculture, produits périssables, préparation, livraison urbaine/interville, paiement et sécurité</w:t>
      </w:r>
    </w:p>
    <w:tbl>
      <w:tblPr>
        <w:tblStyle w:val="TableGrid"/>
        <w:tblW w:type="auto" w:w="0"/>
        <w:tblLook w:firstColumn="1" w:firstRow="1" w:lastColumn="0" w:lastRow="0" w:noHBand="0" w:noVBand="1" w:val="04A0"/>
        <w:tblBorders>
          <w:top w:val="single" w:sz="4" w:space="0" w:color="C9D2DF"/>
          <w:left w:val="single" w:sz="4" w:space="0" w:color="C9D2DF"/>
          <w:bottom w:val="single" w:sz="4" w:space="0" w:color="C9D2DF"/>
          <w:right w:val="single" w:sz="4" w:space="0" w:color="C9D2DF"/>
          <w:insideH w:val="single" w:sz="4" w:space="0" w:color="C9D2DF"/>
          <w:insideV w:val="single" w:sz="4" w:space="0" w:color="C9D2DF"/>
        </w:tblBorders>
      </w:tblPr>
      <w:tblGrid>
        <w:gridCol w:w="10166"/>
      </w:tblGrid>
      <w:tr>
        <w:tc>
          <w:tcPr>
            <w:tcW w:type="dxa" w:w="10166"/>
            <w:shd w:fill="FFF7E7"/>
          </w:tcPr>
          <w:p>
            <w:r>
              <w:rPr>
                <w:b/>
                <w:color w:val="B78419"/>
              </w:rPr>
              <w:t xml:space="preserve">Règle centrale V58 — </w:t>
            </w:r>
            <w:r>
              <w:t>un produit actif annonce son délai minimal de préparation (1 h, 2 h, 3 h, 4 h, 12 h ou 24 h) ; le transport commence séparément au moment de la prise en charge physique.</w:t>
            </w:r>
          </w:p>
        </w:tc>
      </w:tr>
    </w:tbl>
    <w:p>
      <w:pPr>
        <w:spacing w:after="20"/>
      </w:pPr>
    </w:p>
    <w:tbl>
      <w:tblPr>
        <w:tblStyle w:val="TableGrid"/>
        <w:tblW w:type="auto" w:w="0"/>
        <w:tblLook w:firstColumn="1" w:firstRow="1" w:lastColumn="0" w:lastRow="0" w:noHBand="0" w:noVBand="1" w:val="04A0"/>
        <w:tblBorders>
          <w:top w:val="single" w:sz="4" w:space="0" w:color="C9D2DF"/>
          <w:left w:val="single" w:sz="4" w:space="0" w:color="C9D2DF"/>
          <w:bottom w:val="single" w:sz="4" w:space="0" w:color="C9D2DF"/>
          <w:right w:val="single" w:sz="4" w:space="0" w:color="C9D2DF"/>
          <w:insideH w:val="single" w:sz="4" w:space="0" w:color="C9D2DF"/>
          <w:insideV w:val="single" w:sz="4" w:space="0" w:color="C9D2DF"/>
        </w:tblBorders>
      </w:tblPr>
      <w:tblGrid>
        <w:gridCol w:w="10166"/>
      </w:tblGrid>
      <w:tr>
        <w:tc>
          <w:tcPr>
            <w:tcW w:type="dxa" w:w="10166"/>
            <w:shd w:fill="EEF8F2"/>
          </w:tcPr>
          <w:p>
            <w:r>
              <w:rPr>
                <w:b/>
                <w:color w:val="1D7A4D"/>
              </w:rPr>
              <w:t xml:space="preserve">Interville — </w:t>
            </w:r>
            <w:r>
              <w:t>garantie de sécurité = 10 % de la valeur marchandise, minimum 1 000 XOF ; coût opérationnel distinct = carburant + charges + frais partenaire, minimum 1 000 XOF.</w:t>
            </w:r>
          </w:p>
        </w:tc>
      </w:tr>
    </w:tbl>
    <w:p>
      <w:pPr>
        <w:spacing w:after="20"/>
      </w:pPr>
    </w:p>
    <w:p>
      <w:r>
        <w:t>Référentiel de code audité : dépôt GitHub `cesarsiby/livi-apk`, branche `main`, révision observée a38b77cd13eb099db5d53ad7fef8470b17d3b3fd.</w:t>
      </w:r>
    </w:p>
    <w:p>
      <w:r>
        <w:t>État documentaire : ce dossier décrit le fonctionnement existant et la V57/V58 préparée pour intégration. La V58 n’est pas présentée comme déjà poussée sur GitHub : l’intégration d’écriture GitHub actuellement disponible a renvoyé 403.</w:t>
      </w:r>
    </w:p>
    <w:p>
      <w:r>
        <w:t>Principe de qualité : aucune valeur commerciale de trajet urbain ou interville n’est inventée dans la migration. Les délais urbains et les routes interville sont administrables. Les règles explicites demandées pour la préparation, la garantie interville et le plancher transport sont toutefois figées dans V58.</w:t>
      </w:r>
    </w:p>
    <w:p>
      <w:pPr>
        <w:pStyle w:val="Heading1"/>
        <w:keepNext/>
      </w:pPr>
      <w:r>
        <w:t>Table des matières</w:t>
      </w:r>
    </w:p>
    <w:p>
      <w:r>
        <w:t>1. Objet et périmètre</w:t>
      </w:r>
    </w:p>
    <w:p>
      <w:r>
        <w:t>2. Architecture des profils</w:t>
      </w:r>
    </w:p>
    <w:p>
      <w:r>
        <w:t>3. Fonctionnalités par profil</w:t>
      </w:r>
    </w:p>
    <w:p>
      <w:r>
        <w:t>4. Fiche produit et catalogue</w:t>
      </w:r>
    </w:p>
    <w:p>
      <w:r>
        <w:t>5. Agriculture et produits périssables</w:t>
      </w:r>
    </w:p>
    <w:p>
      <w:r>
        <w:t>6. Délai de préparation vendeur</w:t>
      </w:r>
    </w:p>
    <w:p>
      <w:r>
        <w:t>7. Délai de livraison et ETA</w:t>
      </w:r>
    </w:p>
    <w:p>
      <w:r>
        <w:t>8. Parcours complet d’une commande</w:t>
      </w:r>
    </w:p>
    <w:p>
      <w:r>
        <w:t>9. Livraison urbaine</w:t>
      </w:r>
    </w:p>
    <w:p>
      <w:r>
        <w:t>10. Architecture interville</w:t>
      </w:r>
    </w:p>
    <w:p>
      <w:r>
        <w:t>11. Paiement interville et garantie 10 %</w:t>
      </w:r>
    </w:p>
    <w:p>
      <w:r>
        <w:t>12. Perte, litige et remboursement</w:t>
      </w:r>
    </w:p>
    <w:p>
      <w:r>
        <w:t>13. Paiement, escrow et finance</w:t>
      </w:r>
    </w:p>
    <w:p>
      <w:r>
        <w:t>14. Transporteur urbain</w:t>
      </w:r>
    </w:p>
    <w:p>
      <w:r>
        <w:t>15. Vendeur : commerce, stock et revenus</w:t>
      </w:r>
    </w:p>
    <w:p>
      <w:r>
        <w:t>16. Acheteur : expérience et services</w:t>
      </w:r>
    </w:p>
    <w:p>
      <w:r>
        <w:t>17. Administration et contrôle</w:t>
      </w:r>
    </w:p>
    <w:p>
      <w:r>
        <w:t>18. Sécurité, preuves et intégrité</w:t>
      </w:r>
    </w:p>
    <w:p>
      <w:r>
        <w:t>19. Backend et API</w:t>
      </w:r>
    </w:p>
    <w:p>
      <w:r>
        <w:t>20. Base de données et migrations</w:t>
      </w:r>
    </w:p>
    <w:p>
      <w:r>
        <w:t>21. Matrice front-end / back-end</w:t>
      </w:r>
    </w:p>
    <w:p>
      <w:r>
        <w:t>22. Audit transversal et points fermés</w:t>
      </w:r>
    </w:p>
    <w:p>
      <w:r>
        <w:t>23. Tests à exécuter avant déploiement</w:t>
      </w:r>
    </w:p>
    <w:p>
      <w:r>
        <w:t>24. Décisions métier restant à confirmer</w:t>
      </w:r>
    </w:p>
    <w:p>
      <w:r>
        <w:t>25. État réel de l’intégration et livrables</w:t>
      </w:r>
    </w:p>
    <w:p>
      <w:pPr>
        <w:pStyle w:val="Heading1"/>
        <w:keepNext/>
      </w:pPr>
      <w:r>
        <w:t>1. Objet et périmètre</w:t>
      </w:r>
    </w:p>
    <w:p>
      <w:r>
        <w:t>LIVI est une plateforme mobile de commerce et de services logistiques organisée autour de quatre profils principaux : Acheteur, Vendeur, Transporteur et Administrateur. Les agricultures/producers, artisans, détaillants, grossistes, fabricants et entreprises sont des types de Vendeur, pas de nouveaux rôles techniques.</w:t>
      </w:r>
    </w:p>
    <w:p>
      <w:r>
        <w:t>Le périmètre V58 ajoute la temporalité métier qui manquait : le vendeur ne déclare plus uniquement un produit et un stock ; il annonce aussi le délai minimal nécessaire après une commande. Le client visualise ce délai, puis le système sépare ce temps de la phase de transport. Pour les produits périssables, le moteur vérifie que la durée restante de conservation couvre le temps nécessaire à la préparation et le transit maximal retenu.</w:t>
      </w:r>
    </w:p>
    <w:p>
      <w:r>
        <w:t>Pour les envois interville, LIVI distingue la valeur commerciale du colis, la garantie de sécurité calculée sur cette valeur et le coût opérationnel du transport. Cette séparation est importante pour le suivi comptable et pour éviter de confondre un coût d’exploitation avec une garantie remboursable en cas de perte.</w:t>
      </w:r>
    </w:p>
    <w:p>
      <w:pPr>
        <w:pStyle w:val="Heading1"/>
        <w:keepNext/>
      </w:pPr>
      <w:r>
        <w:t>2. Architecture des profils</w:t>
      </w:r>
    </w:p>
    <w:tbl>
      <w:tblPr>
        <w:tblStyle w:val="TableGrid"/>
        <w:tblW w:type="auto" w:w="0"/>
        <w:jc w:val="center"/>
        <w:tblLook w:firstColumn="1" w:firstRow="1" w:lastColumn="0" w:lastRow="0" w:noHBand="0" w:noVBand="1" w:val="04A0"/>
        <w:tblBorders>
          <w:top w:val="single" w:sz="4" w:space="0" w:color="D8DDE5"/>
          <w:left w:val="single" w:sz="4" w:space="0" w:color="D8DDE5"/>
          <w:bottom w:val="single" w:sz="4" w:space="0" w:color="D8DDE5"/>
          <w:right w:val="single" w:sz="4" w:space="0" w:color="D8DDE5"/>
          <w:insideH w:val="single" w:sz="4" w:space="0" w:color="D8DDE5"/>
          <w:insideV w:val="single" w:sz="4" w:space="0" w:color="D8DDE5"/>
        </w:tblBorders>
      </w:tblPr>
      <w:tblGrid>
        <w:gridCol w:w="3389"/>
        <w:gridCol w:w="3389"/>
        <w:gridCol w:w="3389"/>
      </w:tblGrid>
      <w:tr>
        <w:trPr>
          <w:tblHeader w:val="true"/>
        </w:trPr>
        <w:tc>
          <w:tcPr>
            <w:tcW w:type="dxa" w:w="1440"/>
            <w:shd w:fill="1F355B"/>
            <w:vAlign w:val="center"/>
          </w:tcPr>
          <w:p>
            <w:pPr>
              <w:jc w:val="left"/>
            </w:pPr>
            <w:r>
              <w:rPr>
                <w:b/>
                <w:color w:val="FFFFFF"/>
                <w:sz w:val="16"/>
              </w:rPr>
              <w:t>Profil</w:t>
            </w:r>
          </w:p>
        </w:tc>
        <w:tc>
          <w:tcPr>
            <w:tcW w:type="dxa" w:w="2880"/>
            <w:shd w:fill="1F355B"/>
            <w:vAlign w:val="center"/>
          </w:tcPr>
          <w:p>
            <w:pPr>
              <w:jc w:val="left"/>
            </w:pPr>
            <w:r>
              <w:rPr>
                <w:b/>
                <w:color w:val="FFFFFF"/>
                <w:sz w:val="16"/>
              </w:rPr>
              <w:t>Mission</w:t>
            </w:r>
          </w:p>
        </w:tc>
        <w:tc>
          <w:tcPr>
            <w:tcW w:type="dxa" w:w="5544"/>
            <w:shd w:fill="1F355B"/>
            <w:vAlign w:val="center"/>
          </w:tcPr>
          <w:p>
            <w:pPr>
              <w:jc w:val="left"/>
            </w:pPr>
            <w:r>
              <w:rPr>
                <w:b/>
                <w:color w:val="FFFFFF"/>
                <w:sz w:val="16"/>
              </w:rPr>
              <w:t>Exemples de fonctions</w:t>
            </w:r>
          </w:p>
        </w:tc>
      </w:tr>
      <w:tr>
        <w:tc>
          <w:tcPr>
            <w:tcW w:type="dxa" w:w="1440"/>
            <w:vAlign w:val="top"/>
            <w:shd w:fill="F7F8FA"/>
          </w:tcPr>
          <w:p>
            <w:pPr>
              <w:spacing w:after="20"/>
            </w:pPr>
            <w:r>
              <w:rPr>
                <w:sz w:val="16"/>
              </w:rPr>
              <w:t>Acheteur</w:t>
            </w:r>
          </w:p>
        </w:tc>
        <w:tc>
          <w:tcPr>
            <w:tcW w:type="dxa" w:w="2880"/>
            <w:vAlign w:val="top"/>
            <w:shd w:fill="F7F8FA"/>
          </w:tcPr>
          <w:p>
            <w:pPr>
              <w:spacing w:after="20"/>
            </w:pPr>
            <w:r>
              <w:rPr>
                <w:sz w:val="16"/>
              </w:rPr>
              <w:t>Acheter, payer, suivre et confirmer la réception.</w:t>
            </w:r>
          </w:p>
        </w:tc>
        <w:tc>
          <w:tcPr>
            <w:tcW w:type="dxa" w:w="5544"/>
            <w:vAlign w:val="top"/>
            <w:shd w:fill="F7F8FA"/>
          </w:tcPr>
          <w:p>
            <w:pPr>
              <w:spacing w:after="20"/>
            </w:pPr>
            <w:r>
              <w:rPr>
                <w:sz w:val="16"/>
              </w:rPr>
              <w:t>Catalogue, recherche, variantes, panier, wishlist, checkout, commandes, wallet, retraits, litiges, remboursements, messages, vidéos/live, QR/PIN.</w:t>
            </w:r>
          </w:p>
        </w:tc>
      </w:tr>
      <w:tr>
        <w:tc>
          <w:tcPr>
            <w:tcW w:type="dxa" w:w="1440"/>
            <w:vAlign w:val="top"/>
          </w:tcPr>
          <w:p>
            <w:pPr>
              <w:spacing w:after="20"/>
            </w:pPr>
            <w:r>
              <w:rPr>
                <w:sz w:val="16"/>
              </w:rPr>
              <w:t>Vendeur</w:t>
            </w:r>
          </w:p>
        </w:tc>
        <w:tc>
          <w:tcPr>
            <w:tcW w:type="dxa" w:w="2880"/>
            <w:vAlign w:val="top"/>
          </w:tcPr>
          <w:p>
            <w:pPr>
              <w:spacing w:after="20"/>
            </w:pPr>
            <w:r>
              <w:rPr>
                <w:sz w:val="16"/>
              </w:rPr>
              <w:t>Publier, préparer et remettre les marchandises.</w:t>
            </w:r>
          </w:p>
        </w:tc>
        <w:tc>
          <w:tcPr>
            <w:tcW w:type="dxa" w:w="5544"/>
            <w:vAlign w:val="top"/>
          </w:tcPr>
          <w:p>
            <w:pPr>
              <w:spacing w:after="20"/>
            </w:pPr>
            <w:r>
              <w:rPr>
                <w:sz w:val="16"/>
              </w:rPr>
              <w:t>Boutique, types de vendeur, produits, catégories, médias, variantes, prix par volume, stock, délai de préparation, conservation, commandes, revenus, KYC, messages, vidéos/live.</w:t>
            </w:r>
          </w:p>
        </w:tc>
      </w:tr>
      <w:tr>
        <w:tc>
          <w:tcPr>
            <w:tcW w:type="dxa" w:w="1440"/>
            <w:vAlign w:val="top"/>
            <w:shd w:fill="F7F8FA"/>
          </w:tcPr>
          <w:p>
            <w:pPr>
              <w:spacing w:after="20"/>
            </w:pPr>
            <w:r>
              <w:rPr>
                <w:sz w:val="16"/>
              </w:rPr>
              <w:t>Transporteur</w:t>
            </w:r>
          </w:p>
        </w:tc>
        <w:tc>
          <w:tcPr>
            <w:tcW w:type="dxa" w:w="2880"/>
            <w:vAlign w:val="top"/>
            <w:shd w:fill="F7F8FA"/>
          </w:tcPr>
          <w:p>
            <w:pPr>
              <w:spacing w:after="20"/>
            </w:pPr>
            <w:r>
              <w:rPr>
                <w:sz w:val="16"/>
              </w:rPr>
              <w:t>Prendre en charge et livrer les commandes urbaines.</w:t>
            </w:r>
          </w:p>
        </w:tc>
        <w:tc>
          <w:tcPr>
            <w:tcW w:type="dxa" w:w="5544"/>
            <w:vAlign w:val="top"/>
            <w:shd w:fill="F7F8FA"/>
          </w:tcPr>
          <w:p>
            <w:pPr>
              <w:spacing w:after="20"/>
            </w:pPr>
            <w:r>
              <w:rPr>
                <w:sz w:val="16"/>
              </w:rPr>
              <w:t>Disponibilité, missions, acceptation, pickup, arrivée, livraison, localisation, portefeuille, revenus, historique, QR/PIN, profil véhicule.</w:t>
            </w:r>
          </w:p>
        </w:tc>
      </w:tr>
      <w:tr>
        <w:tc>
          <w:tcPr>
            <w:tcW w:type="dxa" w:w="1440"/>
            <w:vAlign w:val="top"/>
          </w:tcPr>
          <w:p>
            <w:pPr>
              <w:spacing w:after="20"/>
            </w:pPr>
            <w:r>
              <w:rPr>
                <w:sz w:val="16"/>
              </w:rPr>
              <w:t>Administrateur</w:t>
            </w:r>
          </w:p>
        </w:tc>
        <w:tc>
          <w:tcPr>
            <w:tcW w:type="dxa" w:w="2880"/>
            <w:vAlign w:val="top"/>
          </w:tcPr>
          <w:p>
            <w:pPr>
              <w:spacing w:after="20"/>
            </w:pPr>
            <w:r>
              <w:rPr>
                <w:sz w:val="16"/>
              </w:rPr>
              <w:t>Paramétrer, superviser et contrôler la plateforme.</w:t>
            </w:r>
          </w:p>
        </w:tc>
        <w:tc>
          <w:tcPr>
            <w:tcW w:type="dxa" w:w="5544"/>
            <w:vAlign w:val="top"/>
          </w:tcPr>
          <w:p>
            <w:pPr>
              <w:spacing w:after="20"/>
            </w:pPr>
            <w:r>
              <w:rPr>
                <w:sz w:val="16"/>
              </w:rPr>
              <w:t>Utilisateurs, vendeurs, transporteurs, KYC, commandes, produits, missions, finance, escrow, retraits, litiges, réconciliation, intégrité, support, analytics, logistique interville.</w:t>
            </w:r>
          </w:p>
        </w:tc>
      </w:tr>
    </w:tbl>
    <w:p>
      <w:pPr>
        <w:spacing w:after="20"/>
      </w:pPr>
    </w:p>
    <w:p>
      <w:pPr>
        <w:pStyle w:val="Heading2"/>
        <w:keepNext/>
      </w:pPr>
      <w:r>
        <w:t>Types de vendeurs</w:t>
      </w:r>
    </w:p>
    <w:tbl>
      <w:tblPr>
        <w:tblStyle w:val="TableGrid"/>
        <w:tblW w:type="auto" w:w="0"/>
        <w:jc w:val="center"/>
        <w:tblLook w:firstColumn="1" w:firstRow="1" w:lastColumn="0" w:lastRow="0" w:noHBand="0" w:noVBand="1" w:val="04A0"/>
        <w:tblBorders>
          <w:top w:val="single" w:sz="4" w:space="0" w:color="D8DDE5"/>
          <w:left w:val="single" w:sz="4" w:space="0" w:color="D8DDE5"/>
          <w:bottom w:val="single" w:sz="4" w:space="0" w:color="D8DDE5"/>
          <w:right w:val="single" w:sz="4" w:space="0" w:color="D8DDE5"/>
          <w:insideH w:val="single" w:sz="4" w:space="0" w:color="D8DDE5"/>
          <w:insideV w:val="single" w:sz="4" w:space="0" w:color="D8DDE5"/>
        </w:tblBorders>
      </w:tblPr>
      <w:tblGrid>
        <w:gridCol w:w="3389"/>
        <w:gridCol w:w="3389"/>
        <w:gridCol w:w="3389"/>
      </w:tblGrid>
      <w:tr>
        <w:trPr>
          <w:tblHeader w:val="true"/>
        </w:trPr>
        <w:tc>
          <w:tcPr>
            <w:tcW w:type="dxa" w:w="3389"/>
            <w:shd w:fill="1F355B"/>
            <w:vAlign w:val="center"/>
          </w:tcPr>
          <w:p>
            <w:pPr>
              <w:jc w:val="left"/>
            </w:pPr>
            <w:r>
              <w:rPr>
                <w:b/>
                <w:color w:val="FFFFFF"/>
                <w:sz w:val="16"/>
              </w:rPr>
              <w:t>Type</w:t>
            </w:r>
          </w:p>
        </w:tc>
        <w:tc>
          <w:tcPr>
            <w:tcW w:type="dxa" w:w="3389"/>
            <w:shd w:fill="1F355B"/>
            <w:vAlign w:val="center"/>
          </w:tcPr>
          <w:p>
            <w:pPr>
              <w:jc w:val="left"/>
            </w:pPr>
            <w:r>
              <w:rPr>
                <w:b/>
                <w:color w:val="FFFFFF"/>
                <w:sz w:val="16"/>
              </w:rPr>
              <w:t>Positionnement métier</w:t>
            </w:r>
          </w:p>
        </w:tc>
        <w:tc>
          <w:tcPr>
            <w:tcW w:type="dxa" w:w="3389"/>
            <w:shd w:fill="1F355B"/>
            <w:vAlign w:val="center"/>
          </w:tcPr>
          <w:p>
            <w:pPr>
              <w:jc w:val="left"/>
            </w:pPr>
            <w:r>
              <w:rPr>
                <w:b/>
                <w:color w:val="FFFFFF"/>
                <w:sz w:val="16"/>
              </w:rPr>
              <w:t>Données spécifiques</w:t>
            </w:r>
          </w:p>
        </w:tc>
      </w:tr>
      <w:tr>
        <w:tc>
          <w:tcPr>
            <w:tcW w:type="dxa" w:w="3389"/>
            <w:vAlign w:val="top"/>
            <w:shd w:fill="F7F8FA"/>
          </w:tcPr>
          <w:p>
            <w:pPr>
              <w:spacing w:after="20"/>
            </w:pPr>
            <w:r>
              <w:rPr>
                <w:sz w:val="16"/>
              </w:rPr>
              <w:t>Agriculteur / producteur</w:t>
            </w:r>
          </w:p>
        </w:tc>
        <w:tc>
          <w:tcPr>
            <w:tcW w:type="dxa" w:w="3389"/>
            <w:vAlign w:val="top"/>
            <w:shd w:fill="F7F8FA"/>
          </w:tcPr>
          <w:p>
            <w:pPr>
              <w:spacing w:after="20"/>
            </w:pPr>
            <w:r>
              <w:rPr>
                <w:sz w:val="16"/>
              </w:rPr>
              <w:t>Production agricole, récolte, denrées fraîches.</w:t>
            </w:r>
          </w:p>
        </w:tc>
        <w:tc>
          <w:tcPr>
            <w:tcW w:type="dxa" w:w="3389"/>
            <w:vAlign w:val="top"/>
            <w:shd w:fill="F7F8FA"/>
          </w:tcPr>
          <w:p>
            <w:pPr>
              <w:spacing w:after="20"/>
            </w:pPr>
            <w:r>
              <w:rPr>
                <w:sz w:val="16"/>
              </w:rPr>
              <w:t>Dates de production/récolte, durée de conservation, unité, stockage, disponibilité.</w:t>
            </w:r>
          </w:p>
        </w:tc>
      </w:tr>
      <w:tr>
        <w:tc>
          <w:tcPr>
            <w:tcW w:type="dxa" w:w="3389"/>
            <w:vAlign w:val="top"/>
          </w:tcPr>
          <w:p>
            <w:pPr>
              <w:spacing w:after="20"/>
            </w:pPr>
            <w:r>
              <w:rPr>
                <w:sz w:val="16"/>
              </w:rPr>
              <w:t>Artisan</w:t>
            </w:r>
          </w:p>
        </w:tc>
        <w:tc>
          <w:tcPr>
            <w:tcW w:type="dxa" w:w="3389"/>
            <w:vAlign w:val="top"/>
          </w:tcPr>
          <w:p>
            <w:pPr>
              <w:spacing w:after="20"/>
            </w:pPr>
            <w:r>
              <w:rPr>
                <w:sz w:val="16"/>
              </w:rPr>
              <w:t>Fabrication ou transformation artisanale.</w:t>
            </w:r>
          </w:p>
        </w:tc>
        <w:tc>
          <w:tcPr>
            <w:tcW w:type="dxa" w:w="3389"/>
            <w:vAlign w:val="top"/>
          </w:tcPr>
          <w:p>
            <w:pPr>
              <w:spacing w:after="20"/>
            </w:pPr>
            <w:r>
              <w:rPr>
                <w:sz w:val="16"/>
              </w:rPr>
              <w:t>Délai de préparation, caractéristiques produit, médias, variations.</w:t>
            </w:r>
          </w:p>
        </w:tc>
      </w:tr>
      <w:tr>
        <w:tc>
          <w:tcPr>
            <w:tcW w:type="dxa" w:w="3389"/>
            <w:vAlign w:val="top"/>
            <w:shd w:fill="F7F8FA"/>
          </w:tcPr>
          <w:p>
            <w:pPr>
              <w:spacing w:after="20"/>
            </w:pPr>
            <w:r>
              <w:rPr>
                <w:sz w:val="16"/>
              </w:rPr>
              <w:t>Indépendant / informel</w:t>
            </w:r>
          </w:p>
        </w:tc>
        <w:tc>
          <w:tcPr>
            <w:tcW w:type="dxa" w:w="3389"/>
            <w:vAlign w:val="top"/>
            <w:shd w:fill="F7F8FA"/>
          </w:tcPr>
          <w:p>
            <w:pPr>
              <w:spacing w:after="20"/>
            </w:pPr>
            <w:r>
              <w:rPr>
                <w:sz w:val="16"/>
              </w:rPr>
              <w:t>Commerce de détail ou activité indépendante.</w:t>
            </w:r>
          </w:p>
        </w:tc>
        <w:tc>
          <w:tcPr>
            <w:tcW w:type="dxa" w:w="3389"/>
            <w:vAlign w:val="top"/>
            <w:shd w:fill="F7F8FA"/>
          </w:tcPr>
          <w:p>
            <w:pPr>
              <w:spacing w:after="20"/>
            </w:pPr>
            <w:r>
              <w:rPr>
                <w:sz w:val="16"/>
              </w:rPr>
              <w:t>Boutique, stock, préparation, localisation, paiement.</w:t>
            </w:r>
          </w:p>
        </w:tc>
      </w:tr>
      <w:tr>
        <w:tc>
          <w:tcPr>
            <w:tcW w:type="dxa" w:w="3389"/>
            <w:vAlign w:val="top"/>
          </w:tcPr>
          <w:p>
            <w:pPr>
              <w:spacing w:after="20"/>
            </w:pPr>
            <w:r>
              <w:rPr>
                <w:sz w:val="16"/>
              </w:rPr>
              <w:t>Détaillant</w:t>
            </w:r>
          </w:p>
        </w:tc>
        <w:tc>
          <w:tcPr>
            <w:tcW w:type="dxa" w:w="3389"/>
            <w:vAlign w:val="top"/>
          </w:tcPr>
          <w:p>
            <w:pPr>
              <w:spacing w:after="20"/>
            </w:pPr>
            <w:r>
              <w:rPr>
                <w:sz w:val="16"/>
              </w:rPr>
              <w:t>Vente de produits finis ou de consommation.</w:t>
            </w:r>
          </w:p>
        </w:tc>
        <w:tc>
          <w:tcPr>
            <w:tcW w:type="dxa" w:w="3389"/>
            <w:vAlign w:val="top"/>
          </w:tcPr>
          <w:p>
            <w:pPr>
              <w:spacing w:after="20"/>
            </w:pPr>
            <w:r>
              <w:rPr>
                <w:sz w:val="16"/>
              </w:rPr>
              <w:t>Stock, prix, paliers de quantité, préparation.</w:t>
            </w:r>
          </w:p>
        </w:tc>
      </w:tr>
      <w:tr>
        <w:tc>
          <w:tcPr>
            <w:tcW w:type="dxa" w:w="3389"/>
            <w:vAlign w:val="top"/>
            <w:shd w:fill="F7F8FA"/>
          </w:tcPr>
          <w:p>
            <w:pPr>
              <w:spacing w:after="20"/>
            </w:pPr>
            <w:r>
              <w:rPr>
                <w:sz w:val="16"/>
              </w:rPr>
              <w:t>Grossiste</w:t>
            </w:r>
          </w:p>
        </w:tc>
        <w:tc>
          <w:tcPr>
            <w:tcW w:type="dxa" w:w="3389"/>
            <w:vAlign w:val="top"/>
            <w:shd w:fill="F7F8FA"/>
          </w:tcPr>
          <w:p>
            <w:pPr>
              <w:spacing w:after="20"/>
            </w:pPr>
            <w:r>
              <w:rPr>
                <w:sz w:val="16"/>
              </w:rPr>
              <w:t>Vente en volumes.</w:t>
            </w:r>
          </w:p>
        </w:tc>
        <w:tc>
          <w:tcPr>
            <w:tcW w:type="dxa" w:w="3389"/>
            <w:vAlign w:val="top"/>
            <w:shd w:fill="F7F8FA"/>
          </w:tcPr>
          <w:p>
            <w:pPr>
              <w:spacing w:after="20"/>
            </w:pPr>
            <w:r>
              <w:rPr>
                <w:sz w:val="16"/>
              </w:rPr>
              <w:t>Prix par quantité, unités, volumes, préparation.</w:t>
            </w:r>
          </w:p>
        </w:tc>
      </w:tr>
      <w:tr>
        <w:tc>
          <w:tcPr>
            <w:tcW w:type="dxa" w:w="3389"/>
            <w:vAlign w:val="top"/>
          </w:tcPr>
          <w:p>
            <w:pPr>
              <w:spacing w:after="20"/>
            </w:pPr>
            <w:r>
              <w:rPr>
                <w:sz w:val="16"/>
              </w:rPr>
              <w:t>Usine / fabricant</w:t>
            </w:r>
          </w:p>
        </w:tc>
        <w:tc>
          <w:tcPr>
            <w:tcW w:type="dxa" w:w="3389"/>
            <w:vAlign w:val="top"/>
          </w:tcPr>
          <w:p>
            <w:pPr>
              <w:spacing w:after="20"/>
            </w:pPr>
            <w:r>
              <w:rPr>
                <w:sz w:val="16"/>
              </w:rPr>
              <w:t>Production à l’échelle industrielle.</w:t>
            </w:r>
          </w:p>
        </w:tc>
        <w:tc>
          <w:tcPr>
            <w:tcW w:type="dxa" w:w="3389"/>
            <w:vAlign w:val="top"/>
          </w:tcPr>
          <w:p>
            <w:pPr>
              <w:spacing w:after="20"/>
            </w:pPr>
            <w:r>
              <w:rPr>
                <w:sz w:val="16"/>
              </w:rPr>
              <w:t>Délais de préparation, disponibilité, variantes, volumes.</w:t>
            </w:r>
          </w:p>
        </w:tc>
      </w:tr>
      <w:tr>
        <w:tc>
          <w:tcPr>
            <w:tcW w:type="dxa" w:w="3389"/>
            <w:vAlign w:val="top"/>
            <w:shd w:fill="F7F8FA"/>
          </w:tcPr>
          <w:p>
            <w:pPr>
              <w:spacing w:after="20"/>
            </w:pPr>
            <w:r>
              <w:rPr>
                <w:sz w:val="16"/>
              </w:rPr>
              <w:t>Entreprise</w:t>
            </w:r>
          </w:p>
        </w:tc>
        <w:tc>
          <w:tcPr>
            <w:tcW w:type="dxa" w:w="3389"/>
            <w:vAlign w:val="top"/>
            <w:shd w:fill="F7F8FA"/>
          </w:tcPr>
          <w:p>
            <w:pPr>
              <w:spacing w:after="20"/>
            </w:pPr>
            <w:r>
              <w:rPr>
                <w:sz w:val="16"/>
              </w:rPr>
              <w:t>Vente ou fourniture professionnelle.</w:t>
            </w:r>
          </w:p>
        </w:tc>
        <w:tc>
          <w:tcPr>
            <w:tcW w:type="dxa" w:w="3389"/>
            <w:vAlign w:val="top"/>
            <w:shd w:fill="F7F8FA"/>
          </w:tcPr>
          <w:p>
            <w:pPr>
              <w:spacing w:after="20"/>
            </w:pPr>
            <w:r>
              <w:rPr>
                <w:sz w:val="16"/>
              </w:rPr>
              <w:t>Informations commerciales, catalogue, volumes, logistique.</w:t>
            </w:r>
          </w:p>
        </w:tc>
      </w:tr>
    </w:tbl>
    <w:p>
      <w:pPr>
        <w:spacing w:after="20"/>
      </w:pPr>
    </w:p>
    <w:p>
      <w:pPr>
        <w:pStyle w:val="Heading1"/>
        <w:keepNext/>
      </w:pPr>
      <w:r>
        <w:t>3. Fonctionnalités par profil</w:t>
      </w:r>
    </w:p>
    <w:tbl>
      <w:tblPr>
        <w:tblStyle w:val="TableGrid"/>
        <w:tblW w:type="auto" w:w="0"/>
        <w:jc w:val="center"/>
        <w:tblLook w:firstColumn="1" w:firstRow="1" w:lastColumn="0" w:lastRow="0" w:noHBand="0" w:noVBand="1" w:val="04A0"/>
        <w:tblBorders>
          <w:top w:val="single" w:sz="4" w:space="0" w:color="D8DDE5"/>
          <w:left w:val="single" w:sz="4" w:space="0" w:color="D8DDE5"/>
          <w:bottom w:val="single" w:sz="4" w:space="0" w:color="D8DDE5"/>
          <w:right w:val="single" w:sz="4" w:space="0" w:color="D8DDE5"/>
          <w:insideH w:val="single" w:sz="4" w:space="0" w:color="D8DDE5"/>
          <w:insideV w:val="single" w:sz="4" w:space="0" w:color="D8DDE5"/>
        </w:tblBorders>
      </w:tblPr>
      <w:tblGrid>
        <w:gridCol w:w="2033"/>
        <w:gridCol w:w="2033"/>
        <w:gridCol w:w="2033"/>
        <w:gridCol w:w="2033"/>
        <w:gridCol w:w="2033"/>
      </w:tblGrid>
      <w:tr>
        <w:trPr>
          <w:tblHeader w:val="true"/>
        </w:trPr>
        <w:tc>
          <w:tcPr>
            <w:tcW w:type="dxa" w:w="2033"/>
            <w:shd w:fill="1F355B"/>
            <w:vAlign w:val="center"/>
          </w:tcPr>
          <w:p>
            <w:pPr>
              <w:jc w:val="left"/>
            </w:pPr>
            <w:r>
              <w:rPr>
                <w:b/>
                <w:color w:val="FFFFFF"/>
                <w:sz w:val="16"/>
              </w:rPr>
              <w:t>Domaine</w:t>
            </w:r>
          </w:p>
        </w:tc>
        <w:tc>
          <w:tcPr>
            <w:tcW w:type="dxa" w:w="2033"/>
            <w:shd w:fill="1F355B"/>
            <w:vAlign w:val="center"/>
          </w:tcPr>
          <w:p>
            <w:pPr>
              <w:jc w:val="left"/>
            </w:pPr>
            <w:r>
              <w:rPr>
                <w:b/>
                <w:color w:val="FFFFFF"/>
                <w:sz w:val="16"/>
              </w:rPr>
              <w:t>Acheteur</w:t>
            </w:r>
          </w:p>
        </w:tc>
        <w:tc>
          <w:tcPr>
            <w:tcW w:type="dxa" w:w="2033"/>
            <w:shd w:fill="1F355B"/>
            <w:vAlign w:val="center"/>
          </w:tcPr>
          <w:p>
            <w:pPr>
              <w:jc w:val="left"/>
            </w:pPr>
            <w:r>
              <w:rPr>
                <w:b/>
                <w:color w:val="FFFFFF"/>
                <w:sz w:val="16"/>
              </w:rPr>
              <w:t>Vendeur</w:t>
            </w:r>
          </w:p>
        </w:tc>
        <w:tc>
          <w:tcPr>
            <w:tcW w:type="dxa" w:w="2033"/>
            <w:shd w:fill="1F355B"/>
            <w:vAlign w:val="center"/>
          </w:tcPr>
          <w:p>
            <w:pPr>
              <w:jc w:val="left"/>
            </w:pPr>
            <w:r>
              <w:rPr>
                <w:b/>
                <w:color w:val="FFFFFF"/>
                <w:sz w:val="16"/>
              </w:rPr>
              <w:t>Transporteur</w:t>
            </w:r>
          </w:p>
        </w:tc>
        <w:tc>
          <w:tcPr>
            <w:tcW w:type="dxa" w:w="2033"/>
            <w:shd w:fill="1F355B"/>
            <w:vAlign w:val="center"/>
          </w:tcPr>
          <w:p>
            <w:pPr>
              <w:jc w:val="left"/>
            </w:pPr>
            <w:r>
              <w:rPr>
                <w:b/>
                <w:color w:val="FFFFFF"/>
                <w:sz w:val="16"/>
              </w:rPr>
              <w:t>Admin</w:t>
            </w:r>
          </w:p>
        </w:tc>
      </w:tr>
      <w:tr>
        <w:tc>
          <w:tcPr>
            <w:tcW w:type="dxa" w:w="2033"/>
            <w:vAlign w:val="top"/>
            <w:shd w:fill="F7F8FA"/>
          </w:tcPr>
          <w:p>
            <w:pPr>
              <w:spacing w:after="20"/>
            </w:pPr>
            <w:r>
              <w:rPr>
                <w:sz w:val="16"/>
              </w:rPr>
              <w:t>Commerce</w:t>
            </w:r>
          </w:p>
        </w:tc>
        <w:tc>
          <w:tcPr>
            <w:tcW w:type="dxa" w:w="2033"/>
            <w:vAlign w:val="top"/>
            <w:shd w:fill="F7F8FA"/>
          </w:tcPr>
          <w:p>
            <w:pPr>
              <w:spacing w:after="20"/>
            </w:pPr>
            <w:r>
              <w:rPr>
                <w:sz w:val="16"/>
              </w:rPr>
              <w:t>Catalogue, produit, panier, commande</w:t>
            </w:r>
          </w:p>
        </w:tc>
        <w:tc>
          <w:tcPr>
            <w:tcW w:type="dxa" w:w="2033"/>
            <w:vAlign w:val="top"/>
            <w:shd w:fill="F7F8FA"/>
          </w:tcPr>
          <w:p>
            <w:pPr>
              <w:spacing w:after="20"/>
            </w:pPr>
            <w:r>
              <w:rPr>
                <w:sz w:val="16"/>
              </w:rPr>
              <w:t>Produits, catégories, variantes, stock</w:t>
            </w:r>
          </w:p>
        </w:tc>
        <w:tc>
          <w:tcPr>
            <w:tcW w:type="dxa" w:w="2033"/>
            <w:vAlign w:val="top"/>
            <w:shd w:fill="F7F8FA"/>
          </w:tcPr>
          <w:p>
            <w:pPr>
              <w:spacing w:after="20"/>
            </w:pPr>
            <w:r>
              <w:rPr>
                <w:sz w:val="16"/>
              </w:rPr>
              <w:t>—</w:t>
            </w:r>
          </w:p>
        </w:tc>
        <w:tc>
          <w:tcPr>
            <w:tcW w:type="dxa" w:w="2033"/>
            <w:vAlign w:val="top"/>
            <w:shd w:fill="F7F8FA"/>
          </w:tcPr>
          <w:p>
            <w:pPr>
              <w:spacing w:after="20"/>
            </w:pPr>
            <w:r>
              <w:rPr>
                <w:sz w:val="16"/>
              </w:rPr>
              <w:t>Contrôle produits/commandes</w:t>
            </w:r>
          </w:p>
        </w:tc>
      </w:tr>
      <w:tr>
        <w:tc>
          <w:tcPr>
            <w:tcW w:type="dxa" w:w="2033"/>
            <w:vAlign w:val="top"/>
          </w:tcPr>
          <w:p>
            <w:pPr>
              <w:spacing w:after="20"/>
            </w:pPr>
            <w:r>
              <w:rPr>
                <w:sz w:val="16"/>
              </w:rPr>
              <w:t>Temps</w:t>
            </w:r>
          </w:p>
        </w:tc>
        <w:tc>
          <w:tcPr>
            <w:tcW w:type="dxa" w:w="2033"/>
            <w:vAlign w:val="top"/>
          </w:tcPr>
          <w:p>
            <w:pPr>
              <w:spacing w:after="20"/>
            </w:pPr>
            <w:r>
              <w:rPr>
                <w:sz w:val="16"/>
              </w:rPr>
              <w:t>Voit préparation + transit + ETA</w:t>
            </w:r>
          </w:p>
        </w:tc>
        <w:tc>
          <w:tcPr>
            <w:tcW w:type="dxa" w:w="2033"/>
            <w:vAlign w:val="top"/>
          </w:tcPr>
          <w:p>
            <w:pPr>
              <w:spacing w:after="20"/>
            </w:pPr>
            <w:r>
              <w:rPr>
                <w:sz w:val="16"/>
              </w:rPr>
              <w:t>Déclare préparation minimale</w:t>
            </w:r>
          </w:p>
        </w:tc>
        <w:tc>
          <w:tcPr>
            <w:tcW w:type="dxa" w:w="2033"/>
            <w:vAlign w:val="top"/>
          </w:tcPr>
          <w:p>
            <w:pPr>
              <w:spacing w:after="20"/>
            </w:pPr>
            <w:r>
              <w:rPr>
                <w:sz w:val="16"/>
              </w:rPr>
              <w:t>Exécute pickup/transit</w:t>
            </w:r>
          </w:p>
        </w:tc>
        <w:tc>
          <w:tcPr>
            <w:tcW w:type="dxa" w:w="2033"/>
            <w:vAlign w:val="top"/>
          </w:tcPr>
          <w:p>
            <w:pPr>
              <w:spacing w:after="20"/>
            </w:pPr>
            <w:r>
              <w:rPr>
                <w:sz w:val="16"/>
              </w:rPr>
              <w:t>Configure règles de transit</w:t>
            </w:r>
          </w:p>
        </w:tc>
      </w:tr>
      <w:tr>
        <w:tc>
          <w:tcPr>
            <w:tcW w:type="dxa" w:w="2033"/>
            <w:vAlign w:val="top"/>
            <w:shd w:fill="F7F8FA"/>
          </w:tcPr>
          <w:p>
            <w:pPr>
              <w:spacing w:after="20"/>
            </w:pPr>
            <w:r>
              <w:rPr>
                <w:sz w:val="16"/>
              </w:rPr>
              <w:t>Périssables</w:t>
            </w:r>
          </w:p>
        </w:tc>
        <w:tc>
          <w:tcPr>
            <w:tcW w:type="dxa" w:w="2033"/>
            <w:vAlign w:val="top"/>
            <w:shd w:fill="F7F8FA"/>
          </w:tcPr>
          <w:p>
            <w:pPr>
              <w:spacing w:after="20"/>
            </w:pPr>
            <w:r>
              <w:rPr>
                <w:sz w:val="16"/>
              </w:rPr>
              <w:t>Voit conservation et disponibilité</w:t>
            </w:r>
          </w:p>
        </w:tc>
        <w:tc>
          <w:tcPr>
            <w:tcW w:type="dxa" w:w="2033"/>
            <w:vAlign w:val="top"/>
            <w:shd w:fill="F7F8FA"/>
          </w:tcPr>
          <w:p>
            <w:pPr>
              <w:spacing w:after="20"/>
            </w:pPr>
            <w:r>
              <w:rPr>
                <w:sz w:val="16"/>
              </w:rPr>
              <w:t>Déclare durée et stockage</w:t>
            </w:r>
          </w:p>
        </w:tc>
        <w:tc>
          <w:tcPr>
            <w:tcW w:type="dxa" w:w="2033"/>
            <w:vAlign w:val="top"/>
            <w:shd w:fill="F7F8FA"/>
          </w:tcPr>
          <w:p>
            <w:pPr>
              <w:spacing w:after="20"/>
            </w:pPr>
            <w:r>
              <w:rPr>
                <w:sz w:val="16"/>
              </w:rPr>
              <w:t>Exécute le transport</w:t>
            </w:r>
          </w:p>
        </w:tc>
        <w:tc>
          <w:tcPr>
            <w:tcW w:type="dxa" w:w="2033"/>
            <w:vAlign w:val="top"/>
            <w:shd w:fill="F7F8FA"/>
          </w:tcPr>
          <w:p>
            <w:pPr>
              <w:spacing w:after="20"/>
            </w:pPr>
            <w:r>
              <w:rPr>
                <w:sz w:val="16"/>
              </w:rPr>
              <w:t>Surveille cohérence</w:t>
            </w:r>
          </w:p>
        </w:tc>
      </w:tr>
      <w:tr>
        <w:tc>
          <w:tcPr>
            <w:tcW w:type="dxa" w:w="2033"/>
            <w:vAlign w:val="top"/>
          </w:tcPr>
          <w:p>
            <w:pPr>
              <w:spacing w:after="20"/>
            </w:pPr>
            <w:r>
              <w:rPr>
                <w:sz w:val="16"/>
              </w:rPr>
              <w:t>Livraison</w:t>
            </w:r>
          </w:p>
        </w:tc>
        <w:tc>
          <w:tcPr>
            <w:tcW w:type="dxa" w:w="2033"/>
            <w:vAlign w:val="top"/>
          </w:tcPr>
          <w:p>
            <w:pPr>
              <w:spacing w:after="20"/>
            </w:pPr>
            <w:r>
              <w:rPr>
                <w:sz w:val="16"/>
              </w:rPr>
              <w:t>Adresse, suivi, preuve de réception</w:t>
            </w:r>
          </w:p>
        </w:tc>
        <w:tc>
          <w:tcPr>
            <w:tcW w:type="dxa" w:w="2033"/>
            <w:vAlign w:val="top"/>
          </w:tcPr>
          <w:p>
            <w:pPr>
              <w:spacing w:after="20"/>
            </w:pPr>
            <w:r>
              <w:rPr>
                <w:sz w:val="16"/>
              </w:rPr>
              <w:t>Remise au transporteur</w:t>
            </w:r>
          </w:p>
        </w:tc>
        <w:tc>
          <w:tcPr>
            <w:tcW w:type="dxa" w:w="2033"/>
            <w:vAlign w:val="top"/>
          </w:tcPr>
          <w:p>
            <w:pPr>
              <w:spacing w:after="20"/>
            </w:pPr>
            <w:r>
              <w:rPr>
                <w:sz w:val="16"/>
              </w:rPr>
              <w:t>Mission, pickup, transit, livraison</w:t>
            </w:r>
          </w:p>
        </w:tc>
        <w:tc>
          <w:tcPr>
            <w:tcW w:type="dxa" w:w="2033"/>
            <w:vAlign w:val="top"/>
          </w:tcPr>
          <w:p>
            <w:pPr>
              <w:spacing w:after="20"/>
            </w:pPr>
            <w:r>
              <w:rPr>
                <w:sz w:val="16"/>
              </w:rPr>
              <w:t>Supervision</w:t>
            </w:r>
          </w:p>
        </w:tc>
      </w:tr>
      <w:tr>
        <w:tc>
          <w:tcPr>
            <w:tcW w:type="dxa" w:w="2033"/>
            <w:vAlign w:val="top"/>
            <w:shd w:fill="F7F8FA"/>
          </w:tcPr>
          <w:p>
            <w:pPr>
              <w:spacing w:after="20"/>
            </w:pPr>
            <w:r>
              <w:rPr>
                <w:sz w:val="16"/>
              </w:rPr>
              <w:t>Interville</w:t>
            </w:r>
          </w:p>
        </w:tc>
        <w:tc>
          <w:tcPr>
            <w:tcW w:type="dxa" w:w="2033"/>
            <w:vAlign w:val="top"/>
            <w:shd w:fill="F7F8FA"/>
          </w:tcPr>
          <w:p>
            <w:pPr>
              <w:spacing w:after="20"/>
            </w:pPr>
            <w:r>
              <w:rPr>
                <w:sz w:val="16"/>
              </w:rPr>
              <w:t>Choix route/point de retrait et coût</w:t>
            </w:r>
          </w:p>
        </w:tc>
        <w:tc>
          <w:tcPr>
            <w:tcW w:type="dxa" w:w="2033"/>
            <w:vAlign w:val="top"/>
            <w:shd w:fill="F7F8FA"/>
          </w:tcPr>
          <w:p>
            <w:pPr>
              <w:spacing w:after="20"/>
            </w:pPr>
            <w:r>
              <w:rPr>
                <w:sz w:val="16"/>
              </w:rPr>
              <w:t>Prépare au départ</w:t>
            </w:r>
          </w:p>
        </w:tc>
        <w:tc>
          <w:tcPr>
            <w:tcW w:type="dxa" w:w="2033"/>
            <w:vAlign w:val="top"/>
            <w:shd w:fill="F7F8FA"/>
          </w:tcPr>
          <w:p>
            <w:pPr>
              <w:spacing w:after="20"/>
            </w:pPr>
            <w:r>
              <w:rPr>
                <w:sz w:val="16"/>
              </w:rPr>
              <w:t>—</w:t>
            </w:r>
          </w:p>
        </w:tc>
        <w:tc>
          <w:tcPr>
            <w:tcW w:type="dxa" w:w="2033"/>
            <w:vAlign w:val="top"/>
            <w:shd w:fill="F7F8FA"/>
          </w:tcPr>
          <w:p>
            <w:pPr>
              <w:spacing w:after="20"/>
            </w:pPr>
            <w:r>
              <w:rPr>
                <w:sz w:val="16"/>
              </w:rPr>
              <w:t>Partenaire, route, coûts, perte</w:t>
            </w:r>
          </w:p>
        </w:tc>
      </w:tr>
      <w:tr>
        <w:tc>
          <w:tcPr>
            <w:tcW w:type="dxa" w:w="2033"/>
            <w:vAlign w:val="top"/>
          </w:tcPr>
          <w:p>
            <w:pPr>
              <w:spacing w:after="20"/>
            </w:pPr>
            <w:r>
              <w:rPr>
                <w:sz w:val="16"/>
              </w:rPr>
              <w:t>Paiement</w:t>
            </w:r>
          </w:p>
        </w:tc>
        <w:tc>
          <w:tcPr>
            <w:tcW w:type="dxa" w:w="2033"/>
            <w:vAlign w:val="top"/>
          </w:tcPr>
          <w:p>
            <w:pPr>
              <w:spacing w:after="20"/>
            </w:pPr>
            <w:r>
              <w:rPr>
                <w:sz w:val="16"/>
              </w:rPr>
              <w:t>Mobile Money/escrow/wallet</w:t>
            </w:r>
          </w:p>
        </w:tc>
        <w:tc>
          <w:tcPr>
            <w:tcW w:type="dxa" w:w="2033"/>
            <w:vAlign w:val="top"/>
          </w:tcPr>
          <w:p>
            <w:pPr>
              <w:spacing w:after="20"/>
            </w:pPr>
            <w:r>
              <w:rPr>
                <w:sz w:val="16"/>
              </w:rPr>
              <w:t>Encaissement différé</w:t>
            </w:r>
          </w:p>
        </w:tc>
        <w:tc>
          <w:tcPr>
            <w:tcW w:type="dxa" w:w="2033"/>
            <w:vAlign w:val="top"/>
          </w:tcPr>
          <w:p>
            <w:pPr>
              <w:spacing w:after="20"/>
            </w:pPr>
            <w:r>
              <w:rPr>
                <w:sz w:val="16"/>
              </w:rPr>
              <w:t>Revenus de livraison</w:t>
            </w:r>
          </w:p>
        </w:tc>
        <w:tc>
          <w:tcPr>
            <w:tcW w:type="dxa" w:w="2033"/>
            <w:vAlign w:val="top"/>
          </w:tcPr>
          <w:p>
            <w:pPr>
              <w:spacing w:after="20"/>
            </w:pPr>
            <w:r>
              <w:rPr>
                <w:sz w:val="16"/>
              </w:rPr>
              <w:t>Finance/réconciliation</w:t>
            </w:r>
          </w:p>
        </w:tc>
      </w:tr>
      <w:tr>
        <w:tc>
          <w:tcPr>
            <w:tcW w:type="dxa" w:w="2033"/>
            <w:vAlign w:val="top"/>
            <w:shd w:fill="F7F8FA"/>
          </w:tcPr>
          <w:p>
            <w:pPr>
              <w:spacing w:after="20"/>
            </w:pPr>
            <w:r>
              <w:rPr>
                <w:sz w:val="16"/>
              </w:rPr>
              <w:t>Sécurité</w:t>
            </w:r>
          </w:p>
        </w:tc>
        <w:tc>
          <w:tcPr>
            <w:tcW w:type="dxa" w:w="2033"/>
            <w:vAlign w:val="top"/>
            <w:shd w:fill="F7F8FA"/>
          </w:tcPr>
          <w:p>
            <w:pPr>
              <w:spacing w:after="20"/>
            </w:pPr>
            <w:r>
              <w:rPr>
                <w:sz w:val="16"/>
              </w:rPr>
              <w:t>PIN/QR, litiges</w:t>
            </w:r>
          </w:p>
        </w:tc>
        <w:tc>
          <w:tcPr>
            <w:tcW w:type="dxa" w:w="2033"/>
            <w:vAlign w:val="top"/>
            <w:shd w:fill="F7F8FA"/>
          </w:tcPr>
          <w:p>
            <w:pPr>
              <w:spacing w:after="20"/>
            </w:pPr>
            <w:r>
              <w:rPr>
                <w:sz w:val="16"/>
              </w:rPr>
              <w:t>KYC, preuve pickup</w:t>
            </w:r>
          </w:p>
        </w:tc>
        <w:tc>
          <w:tcPr>
            <w:tcW w:type="dxa" w:w="2033"/>
            <w:vAlign w:val="top"/>
            <w:shd w:fill="F7F8FA"/>
          </w:tcPr>
          <w:p>
            <w:pPr>
              <w:spacing w:after="20"/>
            </w:pPr>
            <w:r>
              <w:rPr>
                <w:sz w:val="16"/>
              </w:rPr>
              <w:t>KYC, preuve pickup/livraison</w:t>
            </w:r>
          </w:p>
        </w:tc>
        <w:tc>
          <w:tcPr>
            <w:tcW w:type="dxa" w:w="2033"/>
            <w:vAlign w:val="top"/>
            <w:shd w:fill="F7F8FA"/>
          </w:tcPr>
          <w:p>
            <w:pPr>
              <w:spacing w:after="20"/>
            </w:pPr>
            <w:r>
              <w:rPr>
                <w:sz w:val="16"/>
              </w:rPr>
              <w:t>Contrôle et intégrité</w:t>
            </w:r>
          </w:p>
        </w:tc>
      </w:tr>
      <w:tr>
        <w:tc>
          <w:tcPr>
            <w:tcW w:type="dxa" w:w="2033"/>
            <w:vAlign w:val="top"/>
          </w:tcPr>
          <w:p>
            <w:pPr>
              <w:spacing w:after="20"/>
            </w:pPr>
            <w:r>
              <w:rPr>
                <w:sz w:val="16"/>
              </w:rPr>
              <w:t>Contenu</w:t>
            </w:r>
          </w:p>
        </w:tc>
        <w:tc>
          <w:tcPr>
            <w:tcW w:type="dxa" w:w="2033"/>
            <w:vAlign w:val="top"/>
          </w:tcPr>
          <w:p>
            <w:pPr>
              <w:spacing w:after="20"/>
            </w:pPr>
            <w:r>
              <w:rPr>
                <w:sz w:val="16"/>
              </w:rPr>
              <w:t>Feed, live shopping</w:t>
            </w:r>
          </w:p>
        </w:tc>
        <w:tc>
          <w:tcPr>
            <w:tcW w:type="dxa" w:w="2033"/>
            <w:vAlign w:val="top"/>
          </w:tcPr>
          <w:p>
            <w:pPr>
              <w:spacing w:after="20"/>
            </w:pPr>
            <w:r>
              <w:rPr>
                <w:sz w:val="16"/>
              </w:rPr>
              <w:t>Vidéos, live, creator tools</w:t>
            </w:r>
          </w:p>
        </w:tc>
        <w:tc>
          <w:tcPr>
            <w:tcW w:type="dxa" w:w="2033"/>
            <w:vAlign w:val="top"/>
          </w:tcPr>
          <w:p>
            <w:pPr>
              <w:spacing w:after="20"/>
            </w:pPr>
            <w:r>
              <w:rPr>
                <w:sz w:val="16"/>
              </w:rPr>
              <w:t>—</w:t>
            </w:r>
          </w:p>
        </w:tc>
        <w:tc>
          <w:tcPr>
            <w:tcW w:type="dxa" w:w="2033"/>
            <w:vAlign w:val="top"/>
          </w:tcPr>
          <w:p>
            <w:pPr>
              <w:spacing w:after="20"/>
            </w:pPr>
            <w:r>
              <w:rPr>
                <w:sz w:val="16"/>
              </w:rPr>
              <w:t>Support/analytics</w:t>
            </w:r>
          </w:p>
        </w:tc>
      </w:tr>
    </w:tbl>
    <w:p>
      <w:pPr>
        <w:spacing w:after="20"/>
      </w:pPr>
    </w:p>
    <w:p>
      <w:pPr>
        <w:pStyle w:val="Heading1"/>
        <w:keepNext/>
      </w:pPr>
      <w:r>
        <w:t>4. Fiche produit et catalogue</w:t>
      </w:r>
    </w:p>
    <w:p>
      <w:r>
        <w:t>La fiche produit devient une unité commerciale et logistique complète. Le vendeur peut renseigner les caractéristiques commerciales et les éléments nécessaires au calcul de préparation, de conservation et de livraison.</w:t>
      </w:r>
    </w:p>
    <w:tbl>
      <w:tblPr>
        <w:tblStyle w:val="TableGrid"/>
        <w:tblW w:type="auto" w:w="0"/>
        <w:jc w:val="center"/>
        <w:tblLook w:firstColumn="1" w:firstRow="1" w:lastColumn="0" w:lastRow="0" w:noHBand="0" w:noVBand="1" w:val="04A0"/>
        <w:tblBorders>
          <w:top w:val="single" w:sz="4" w:space="0" w:color="D8DDE5"/>
          <w:left w:val="single" w:sz="4" w:space="0" w:color="D8DDE5"/>
          <w:bottom w:val="single" w:sz="4" w:space="0" w:color="D8DDE5"/>
          <w:right w:val="single" w:sz="4" w:space="0" w:color="D8DDE5"/>
          <w:insideH w:val="single" w:sz="4" w:space="0" w:color="D8DDE5"/>
          <w:insideV w:val="single" w:sz="4" w:space="0" w:color="D8DDE5"/>
        </w:tblBorders>
      </w:tblPr>
      <w:tblGrid>
        <w:gridCol w:w="5083"/>
        <w:gridCol w:w="5083"/>
      </w:tblGrid>
      <w:tr>
        <w:trPr>
          <w:tblHeader w:val="true"/>
        </w:trPr>
        <w:tc>
          <w:tcPr>
            <w:tcW w:type="dxa" w:w="5083"/>
            <w:shd w:fill="1F355B"/>
            <w:vAlign w:val="center"/>
          </w:tcPr>
          <w:p>
            <w:pPr>
              <w:jc w:val="left"/>
            </w:pPr>
            <w:r>
              <w:rPr>
                <w:b/>
                <w:color w:val="FFFFFF"/>
                <w:sz w:val="16"/>
              </w:rPr>
              <w:t>Bloc</w:t>
            </w:r>
          </w:p>
        </w:tc>
        <w:tc>
          <w:tcPr>
            <w:tcW w:type="dxa" w:w="5083"/>
            <w:shd w:fill="1F355B"/>
            <w:vAlign w:val="center"/>
          </w:tcPr>
          <w:p>
            <w:pPr>
              <w:jc w:val="left"/>
            </w:pPr>
            <w:r>
              <w:rPr>
                <w:b/>
                <w:color w:val="FFFFFF"/>
                <w:sz w:val="16"/>
              </w:rPr>
              <w:t>Informations</w:t>
            </w:r>
          </w:p>
        </w:tc>
      </w:tr>
      <w:tr>
        <w:tc>
          <w:tcPr>
            <w:tcW w:type="dxa" w:w="5083"/>
            <w:vAlign w:val="top"/>
            <w:shd w:fill="F7F8FA"/>
          </w:tcPr>
          <w:p>
            <w:pPr>
              <w:spacing w:after="20"/>
            </w:pPr>
            <w:r>
              <w:rPr>
                <w:sz w:val="16"/>
              </w:rPr>
              <w:t>Identité</w:t>
            </w:r>
          </w:p>
        </w:tc>
        <w:tc>
          <w:tcPr>
            <w:tcW w:type="dxa" w:w="5083"/>
            <w:vAlign w:val="top"/>
            <w:shd w:fill="F7F8FA"/>
          </w:tcPr>
          <w:p>
            <w:pPr>
              <w:spacing w:after="20"/>
            </w:pPr>
            <w:r>
              <w:rPr>
                <w:sz w:val="16"/>
              </w:rPr>
              <w:t>Nom/titre, slug, description.</w:t>
            </w:r>
          </w:p>
        </w:tc>
      </w:tr>
      <w:tr>
        <w:tc>
          <w:tcPr>
            <w:tcW w:type="dxa" w:w="5083"/>
            <w:vAlign w:val="top"/>
          </w:tcPr>
          <w:p>
            <w:pPr>
              <w:spacing w:after="20"/>
            </w:pPr>
            <w:r>
              <w:rPr>
                <w:sz w:val="16"/>
              </w:rPr>
              <w:t>Commerce</w:t>
            </w:r>
          </w:p>
        </w:tc>
        <w:tc>
          <w:tcPr>
            <w:tcW w:type="dxa" w:w="5083"/>
            <w:vAlign w:val="top"/>
          </w:tcPr>
          <w:p>
            <w:pPr>
              <w:spacing w:after="20"/>
            </w:pPr>
            <w:r>
              <w:rPr>
                <w:sz w:val="16"/>
              </w:rPr>
              <w:t>Prix de base, stock, statut draft/active/paused/archived, variantes.</w:t>
            </w:r>
          </w:p>
        </w:tc>
      </w:tr>
      <w:tr>
        <w:tc>
          <w:tcPr>
            <w:tcW w:type="dxa" w:w="5083"/>
            <w:vAlign w:val="top"/>
            <w:shd w:fill="F7F8FA"/>
          </w:tcPr>
          <w:p>
            <w:pPr>
              <w:spacing w:after="20"/>
            </w:pPr>
            <w:r>
              <w:rPr>
                <w:sz w:val="16"/>
              </w:rPr>
              <w:t>Catégorisation</w:t>
            </w:r>
          </w:p>
        </w:tc>
        <w:tc>
          <w:tcPr>
            <w:tcW w:type="dxa" w:w="5083"/>
            <w:vAlign w:val="top"/>
            <w:shd w:fill="F7F8FA"/>
          </w:tcPr>
          <w:p>
            <w:pPr>
              <w:spacing w:after="20"/>
            </w:pPr>
            <w:r>
              <w:rPr>
                <w:sz w:val="16"/>
              </w:rPr>
              <w:t>Catégorie principale historique + catégories multiples V57.</w:t>
            </w:r>
          </w:p>
        </w:tc>
      </w:tr>
      <w:tr>
        <w:tc>
          <w:tcPr>
            <w:tcW w:type="dxa" w:w="5083"/>
            <w:vAlign w:val="top"/>
          </w:tcPr>
          <w:p>
            <w:pPr>
              <w:spacing w:after="20"/>
            </w:pPr>
            <w:r>
              <w:rPr>
                <w:sz w:val="16"/>
              </w:rPr>
              <w:t>Prix par volume</w:t>
            </w:r>
          </w:p>
        </w:tc>
        <w:tc>
          <w:tcPr>
            <w:tcW w:type="dxa" w:w="5083"/>
            <w:vAlign w:val="top"/>
          </w:tcPr>
          <w:p>
            <w:pPr>
              <w:spacing w:after="20"/>
            </w:pPr>
            <w:r>
              <w:rPr>
                <w:sz w:val="16"/>
              </w:rPr>
              <w:t>Paliers de quantité : à partir d’une quantité, un prix unitaire spécifique peut s’appliquer ; la sélection du meilleur palier compatible est côté serveur.</w:t>
            </w:r>
          </w:p>
        </w:tc>
      </w:tr>
      <w:tr>
        <w:tc>
          <w:tcPr>
            <w:tcW w:type="dxa" w:w="5083"/>
            <w:vAlign w:val="top"/>
            <w:shd w:fill="F7F8FA"/>
          </w:tcPr>
          <w:p>
            <w:pPr>
              <w:spacing w:after="20"/>
            </w:pPr>
            <w:r>
              <w:rPr>
                <w:sz w:val="16"/>
              </w:rPr>
              <w:t>Unité</w:t>
            </w:r>
          </w:p>
        </w:tc>
        <w:tc>
          <w:tcPr>
            <w:tcW w:type="dxa" w:w="5083"/>
            <w:vAlign w:val="top"/>
            <w:shd w:fill="F7F8FA"/>
          </w:tcPr>
          <w:p>
            <w:pPr>
              <w:spacing w:after="20"/>
            </w:pPr>
            <w:r>
              <w:rPr>
                <w:sz w:val="16"/>
              </w:rPr>
              <w:t>Unité commerciale du produit.</w:t>
            </w:r>
          </w:p>
        </w:tc>
      </w:tr>
      <w:tr>
        <w:tc>
          <w:tcPr>
            <w:tcW w:type="dxa" w:w="5083"/>
            <w:vAlign w:val="top"/>
          </w:tcPr>
          <w:p>
            <w:pPr>
              <w:spacing w:after="20"/>
            </w:pPr>
            <w:r>
              <w:rPr>
                <w:sz w:val="16"/>
              </w:rPr>
              <w:t>Préparation</w:t>
            </w:r>
          </w:p>
        </w:tc>
        <w:tc>
          <w:tcPr>
            <w:tcW w:type="dxa" w:w="5083"/>
            <w:vAlign w:val="top"/>
          </w:tcPr>
          <w:p>
            <w:pPr>
              <w:spacing w:after="20"/>
            </w:pPr>
            <w:r>
              <w:rPr>
                <w:sz w:val="16"/>
              </w:rPr>
              <w:t>Délai minimal obligatoire pour tout produit actif : 1 / 2 / 3 / 4 / 12 / 24 h.</w:t>
            </w:r>
          </w:p>
        </w:tc>
      </w:tr>
      <w:tr>
        <w:tc>
          <w:tcPr>
            <w:tcW w:type="dxa" w:w="5083"/>
            <w:vAlign w:val="top"/>
            <w:shd w:fill="F7F8FA"/>
          </w:tcPr>
          <w:p>
            <w:pPr>
              <w:spacing w:after="20"/>
            </w:pPr>
            <w:r>
              <w:rPr>
                <w:sz w:val="16"/>
              </w:rPr>
              <w:t>Disponibilité</w:t>
            </w:r>
          </w:p>
        </w:tc>
        <w:tc>
          <w:tcPr>
            <w:tcW w:type="dxa" w:w="5083"/>
            <w:vAlign w:val="top"/>
            <w:shd w:fill="F7F8FA"/>
          </w:tcPr>
          <w:p>
            <w:pPr>
              <w:spacing w:after="20"/>
            </w:pPr>
            <w:r>
              <w:rPr>
                <w:sz w:val="16"/>
              </w:rPr>
              <w:t>`available_from` permet d’annoncer une mise à disposition future.</w:t>
            </w:r>
          </w:p>
        </w:tc>
      </w:tr>
      <w:tr>
        <w:tc>
          <w:tcPr>
            <w:tcW w:type="dxa" w:w="5083"/>
            <w:vAlign w:val="top"/>
          </w:tcPr>
          <w:p>
            <w:pPr>
              <w:spacing w:after="20"/>
            </w:pPr>
            <w:r>
              <w:rPr>
                <w:sz w:val="16"/>
              </w:rPr>
              <w:t>Périssabilité</w:t>
            </w:r>
          </w:p>
        </w:tc>
        <w:tc>
          <w:tcPr>
            <w:tcW w:type="dxa" w:w="5083"/>
            <w:vAlign w:val="top"/>
          </w:tcPr>
          <w:p>
            <w:pPr>
              <w:spacing w:after="20"/>
            </w:pPr>
            <w:r>
              <w:rPr>
                <w:sz w:val="16"/>
              </w:rPr>
              <w:t>Is_perishable, date de production, date de récolte, durée de conservation, référence temporelle, conditions de stockage.</w:t>
            </w:r>
          </w:p>
        </w:tc>
      </w:tr>
      <w:tr>
        <w:tc>
          <w:tcPr>
            <w:tcW w:type="dxa" w:w="5083"/>
            <w:vAlign w:val="top"/>
            <w:shd w:fill="F7F8FA"/>
          </w:tcPr>
          <w:p>
            <w:pPr>
              <w:spacing w:after="20"/>
            </w:pPr>
            <w:r>
              <w:rPr>
                <w:sz w:val="16"/>
              </w:rPr>
              <w:t>Média</w:t>
            </w:r>
          </w:p>
        </w:tc>
        <w:tc>
          <w:tcPr>
            <w:tcW w:type="dxa" w:w="5083"/>
            <w:vAlign w:val="top"/>
            <w:shd w:fill="F7F8FA"/>
          </w:tcPr>
          <w:p>
            <w:pPr>
              <w:spacing w:after="20"/>
            </w:pPr>
            <w:r>
              <w:rPr>
                <w:sz w:val="16"/>
              </w:rPr>
              <w:t>Photos produit ; le flux vendeur existant exige au moins trois photos pour publier.</w:t>
            </w:r>
          </w:p>
        </w:tc>
      </w:tr>
      <w:tr>
        <w:tc>
          <w:tcPr>
            <w:tcW w:type="dxa" w:w="5083"/>
            <w:vAlign w:val="top"/>
          </w:tcPr>
          <w:p>
            <w:pPr>
              <w:spacing w:after="20"/>
            </w:pPr>
            <w:r>
              <w:rPr>
                <w:sz w:val="16"/>
              </w:rPr>
              <w:t>Vidéo / live</w:t>
            </w:r>
          </w:p>
        </w:tc>
        <w:tc>
          <w:tcPr>
            <w:tcW w:type="dxa" w:w="5083"/>
            <w:vAlign w:val="top"/>
          </w:tcPr>
          <w:p>
            <w:pPr>
              <w:spacing w:after="20"/>
            </w:pPr>
            <w:r>
              <w:rPr>
                <w:sz w:val="16"/>
              </w:rPr>
              <w:t>Gestion des vidéos et du live shopping vendeur dans les modules existants.</w:t>
            </w:r>
          </w:p>
        </w:tc>
      </w:tr>
    </w:tbl>
    <w:p>
      <w:pPr>
        <w:spacing w:after="20"/>
      </w:pPr>
    </w:p>
    <w:tbl>
      <w:tblPr>
        <w:tblStyle w:val="TableGrid"/>
        <w:tblW w:type="auto" w:w="0"/>
        <w:tblLook w:firstColumn="1" w:firstRow="1" w:lastColumn="0" w:lastRow="0" w:noHBand="0" w:noVBand="1" w:val="04A0"/>
        <w:tblBorders>
          <w:top w:val="single" w:sz="4" w:space="0" w:color="C9D2DF"/>
          <w:left w:val="single" w:sz="4" w:space="0" w:color="C9D2DF"/>
          <w:bottom w:val="single" w:sz="4" w:space="0" w:color="C9D2DF"/>
          <w:right w:val="single" w:sz="4" w:space="0" w:color="C9D2DF"/>
          <w:insideH w:val="single" w:sz="4" w:space="0" w:color="C9D2DF"/>
          <w:insideV w:val="single" w:sz="4" w:space="0" w:color="C9D2DF"/>
        </w:tblBorders>
      </w:tblPr>
      <w:tblGrid>
        <w:gridCol w:w="10166"/>
      </w:tblGrid>
      <w:tr>
        <w:tc>
          <w:tcPr>
            <w:tcW w:type="dxa" w:w="10166"/>
            <w:shd w:fill="EEF3F9"/>
          </w:tcPr>
          <w:p>
            <w:r>
              <w:rPr>
                <w:b/>
                <w:color w:val="182741"/>
              </w:rPr>
              <w:t xml:space="preserve">Disponibilité — </w:t>
            </w:r>
            <w:r>
              <w:t>Un produit dont `available_from` est dans le futur ne doit pas être proposé à la commande. V58 ajoute ce garde-fou au catalogue et au checkout.</w:t>
            </w:r>
          </w:p>
        </w:tc>
      </w:tr>
    </w:tbl>
    <w:p>
      <w:pPr>
        <w:spacing w:after="20"/>
      </w:pPr>
    </w:p>
    <w:p>
      <w:pPr>
        <w:pStyle w:val="Heading1"/>
        <w:keepNext/>
      </w:pPr>
      <w:r>
        <w:t>5. Agriculture et produits périssables</w:t>
      </w:r>
    </w:p>
    <w:p>
      <w:r>
        <w:t>Le modèle agricole doit être compris en deux temps : provenance/âge du produit, puis faisabilité logistique. La durée de conservation n’est pas seulement affichée ; elle devient une contrainte de commande.</w:t>
      </w:r>
    </w:p>
    <w:p>
      <w:pPr>
        <w:pStyle w:val="Heading2"/>
        <w:keepNext/>
      </w:pPr>
      <w:r>
        <w:t>5.1 Référence de conservation</w:t>
      </w:r>
    </w:p>
    <w:p>
      <w:r>
        <w:t>Le système stocke une référence temporelle `shelf_life_reference_at` et une durée `shelf_life_hours`. L’expiration est dérivée par :</w:t>
      </w:r>
    </w:p>
    <w:p>
      <w:pPr>
        <w:spacing w:after="80"/>
        <w:ind w:left="202"/>
      </w:pPr>
      <w:r>
        <w:rPr>
          <w:rFonts w:ascii="Consolas" w:hAnsi="Consolas"/>
          <w:color w:val="182741"/>
          <w:sz w:val="16"/>
        </w:rPr>
        <w:t>expiration = shelf_life_reference_at + shelf_life_hours</w:t>
      </w:r>
    </w:p>
    <w:p>
      <w:r>
        <w:t>La référence permet de représenter correctement un produit récolté ou produit à un instant différent de la création de la fiche. Les anciennes fiches peuvent conserver des valeurs nulles ; les contraintes V58 sont ajoutées `NOT VALID` lorsque nécessaire pour ne pas casser brutalement les données historiques, tout en faisant respecter les contrôles sur les nouvelles écritures.</w:t>
      </w:r>
    </w:p>
    <w:p>
      <w:pPr>
        <w:pStyle w:val="Heading2"/>
        <w:keepNext/>
      </w:pPr>
      <w:r>
        <w:t>5.2 Compatibilité commande</w:t>
      </w:r>
    </w:p>
    <w:p>
      <w:pPr>
        <w:spacing w:after="80"/>
        <w:ind w:left="202"/>
      </w:pPr>
      <w:r>
        <w:rPr>
          <w:rFonts w:ascii="Consolas" w:hAnsi="Consolas"/>
          <w:color w:val="182741"/>
          <w:sz w:val="16"/>
        </w:rPr>
        <w:t>durée_restante &gt;= préparation_commande + transit_maximum</w:t>
      </w:r>
    </w:p>
    <w:p>
      <w:r>
        <w:t>La préparation de commande multi-lignes pour un même vendeur est dimensionnée par le délai maximum annoncé sur les produits de la commande. Cette règle n’additionne pas les délais de produits préparés en parallèle par le vendeur ; elle utilise le plus long délai annoncé comme borne prudente.</w:t>
      </w:r>
    </w:p>
    <w:p>
      <w:pPr>
        <w:pStyle w:val="Heading2"/>
        <w:keepNext/>
      </w:pPr>
      <w:r>
        <w:t>5.3 Exemple métier — légumes frais</w:t>
      </w:r>
    </w:p>
    <w:p>
      <w:r>
        <w:t>Un producteur publie des tomates avec une durée de conservation de 36 h, une référence correspondant à l’instant de récolte et un délai de préparation de 4 h. Une route interville configurée avec un transit maximal de 18 h exige 22 h de durée restante au moment du contrôle. Si la durée restante est de 20 h, LIVI bloque la commande ; si elle est de 26 h, la commande peut poursuivre le parcours selon les autres règles.</w:t>
      </w:r>
    </w:p>
    <w:p>
      <w:pPr>
        <w:pStyle w:val="Heading2"/>
        <w:keepNext/>
      </w:pPr>
      <w:r>
        <w:t>5.4 Autres produits périssables</w:t>
      </w:r>
    </w:p>
    <w:p>
      <w:r>
        <w:t>La même logique peut couvrir poissons, viande, lait, fruits, légumes, produits transformés à durée courte, semences sensibles, etc., sans créer de profils supplémentaires. Le type de vendeur reste un attribut du profil Vendeur ; la périssabilité reste une propriété du produit.</w:t>
      </w:r>
    </w:p>
    <w:p>
      <w:pPr>
        <w:pStyle w:val="Heading1"/>
        <w:keepNext/>
      </w:pPr>
      <w:r>
        <w:t>6. Délai de préparation vendeur</w:t>
      </w:r>
    </w:p>
    <w:p>
      <w:r>
        <w:t>Le délai de préparation est une promesse minimale : il exprime le temps incompressible annoncé par le vendeur après réception d’une commande payée avant que la marchandise puisse être remise au transporteur.</w:t>
      </w:r>
    </w:p>
    <w:tbl>
      <w:tblPr>
        <w:tblStyle w:val="TableGrid"/>
        <w:tblW w:type="auto" w:w="0"/>
        <w:jc w:val="center"/>
        <w:tblLook w:firstColumn="1" w:firstRow="1" w:lastColumn="0" w:lastRow="0" w:noHBand="0" w:noVBand="1" w:val="04A0"/>
        <w:tblBorders>
          <w:top w:val="single" w:sz="4" w:space="0" w:color="D8DDE5"/>
          <w:left w:val="single" w:sz="4" w:space="0" w:color="D8DDE5"/>
          <w:bottom w:val="single" w:sz="4" w:space="0" w:color="D8DDE5"/>
          <w:right w:val="single" w:sz="4" w:space="0" w:color="D8DDE5"/>
          <w:insideH w:val="single" w:sz="4" w:space="0" w:color="D8DDE5"/>
          <w:insideV w:val="single" w:sz="4" w:space="0" w:color="D8DDE5"/>
        </w:tblBorders>
      </w:tblPr>
      <w:tblGrid>
        <w:gridCol w:w="5083"/>
        <w:gridCol w:w="5083"/>
      </w:tblGrid>
      <w:tr>
        <w:trPr>
          <w:tblHeader w:val="true"/>
        </w:trPr>
        <w:tc>
          <w:tcPr>
            <w:tcW w:type="dxa" w:w="5083"/>
            <w:shd w:fill="1F355B"/>
            <w:vAlign w:val="center"/>
          </w:tcPr>
          <w:p>
            <w:pPr>
              <w:jc w:val="left"/>
            </w:pPr>
            <w:r>
              <w:rPr>
                <w:b/>
                <w:color w:val="FFFFFF"/>
                <w:sz w:val="16"/>
              </w:rPr>
              <w:t>Étape</w:t>
            </w:r>
          </w:p>
        </w:tc>
        <w:tc>
          <w:tcPr>
            <w:tcW w:type="dxa" w:w="5083"/>
            <w:shd w:fill="1F355B"/>
            <w:vAlign w:val="center"/>
          </w:tcPr>
          <w:p>
            <w:pPr>
              <w:jc w:val="left"/>
            </w:pPr>
            <w:r>
              <w:rPr>
                <w:b/>
                <w:color w:val="FFFFFF"/>
                <w:sz w:val="16"/>
              </w:rPr>
              <w:t>Règle V58</w:t>
            </w:r>
          </w:p>
        </w:tc>
      </w:tr>
      <w:tr>
        <w:tc>
          <w:tcPr>
            <w:tcW w:type="dxa" w:w="5083"/>
            <w:vAlign w:val="top"/>
            <w:shd w:fill="F7F8FA"/>
          </w:tcPr>
          <w:p>
            <w:pPr>
              <w:spacing w:after="20"/>
            </w:pPr>
            <w:r>
              <w:rPr>
                <w:sz w:val="16"/>
              </w:rPr>
              <w:t>Paramétrage produit</w:t>
            </w:r>
          </w:p>
        </w:tc>
        <w:tc>
          <w:tcPr>
            <w:tcW w:type="dxa" w:w="5083"/>
            <w:vAlign w:val="top"/>
            <w:shd w:fill="F7F8FA"/>
          </w:tcPr>
          <w:p>
            <w:pPr>
              <w:spacing w:after="20"/>
            </w:pPr>
            <w:r>
              <w:rPr>
                <w:sz w:val="16"/>
              </w:rPr>
              <w:t>Le vendeur choisit exactement 1 h, 2 h, 3 h, 4 h, 12 h ou 24 h.</w:t>
            </w:r>
          </w:p>
        </w:tc>
      </w:tr>
      <w:tr>
        <w:tc>
          <w:tcPr>
            <w:tcW w:type="dxa" w:w="5083"/>
            <w:vAlign w:val="top"/>
          </w:tcPr>
          <w:p>
            <w:pPr>
              <w:spacing w:after="20"/>
            </w:pPr>
            <w:r>
              <w:rPr>
                <w:sz w:val="16"/>
              </w:rPr>
              <w:t>Publication</w:t>
            </w:r>
          </w:p>
        </w:tc>
        <w:tc>
          <w:tcPr>
            <w:tcW w:type="dxa" w:w="5083"/>
            <w:vAlign w:val="top"/>
          </w:tcPr>
          <w:p>
            <w:pPr>
              <w:spacing w:after="20"/>
            </w:pPr>
            <w:r>
              <w:rPr>
                <w:sz w:val="16"/>
              </w:rPr>
              <w:t>Un produit actif doit avoir un délai de préparation. Un produit périssable actif doit aussi avoir les données de conservation requises.</w:t>
            </w:r>
          </w:p>
        </w:tc>
      </w:tr>
      <w:tr>
        <w:tc>
          <w:tcPr>
            <w:tcW w:type="dxa" w:w="5083"/>
            <w:vAlign w:val="top"/>
            <w:shd w:fill="F7F8FA"/>
          </w:tcPr>
          <w:p>
            <w:pPr>
              <w:spacing w:after="20"/>
            </w:pPr>
            <w:r>
              <w:rPr>
                <w:sz w:val="16"/>
              </w:rPr>
              <w:t>Paiement confirmé</w:t>
            </w:r>
          </w:p>
        </w:tc>
        <w:tc>
          <w:tcPr>
            <w:tcW w:type="dxa" w:w="5083"/>
            <w:vAlign w:val="top"/>
            <w:shd w:fill="F7F8FA"/>
          </w:tcPr>
          <w:p>
            <w:pPr>
              <w:spacing w:after="20"/>
            </w:pPr>
            <w:r>
              <w:rPr>
                <w:sz w:val="16"/>
              </w:rPr>
              <w:t>La confirmation financière déclenche `preparation_started_at` et calcule `preparation_ready_at`.</w:t>
            </w:r>
          </w:p>
        </w:tc>
      </w:tr>
      <w:tr>
        <w:tc>
          <w:tcPr>
            <w:tcW w:type="dxa" w:w="5083"/>
            <w:vAlign w:val="top"/>
          </w:tcPr>
          <w:p>
            <w:pPr>
              <w:spacing w:after="20"/>
            </w:pPr>
            <w:r>
              <w:rPr>
                <w:sz w:val="16"/>
              </w:rPr>
              <w:t>Commande en préparation</w:t>
            </w:r>
          </w:p>
        </w:tc>
        <w:tc>
          <w:tcPr>
            <w:tcW w:type="dxa" w:w="5083"/>
            <w:vAlign w:val="top"/>
          </w:tcPr>
          <w:p>
            <w:pPr>
              <w:spacing w:after="20"/>
            </w:pPr>
            <w:r>
              <w:rPr>
                <w:sz w:val="16"/>
              </w:rPr>
              <w:t>Le vendeur travaille pendant la fenêtre annoncée.</w:t>
            </w:r>
          </w:p>
        </w:tc>
      </w:tr>
      <w:tr>
        <w:tc>
          <w:tcPr>
            <w:tcW w:type="dxa" w:w="5083"/>
            <w:vAlign w:val="top"/>
            <w:shd w:fill="F7F8FA"/>
          </w:tcPr>
          <w:p>
            <w:pPr>
              <w:spacing w:after="20"/>
            </w:pPr>
            <w:r>
              <w:rPr>
                <w:sz w:val="16"/>
              </w:rPr>
              <w:t>Prêt avant échéance</w:t>
            </w:r>
          </w:p>
        </w:tc>
        <w:tc>
          <w:tcPr>
            <w:tcW w:type="dxa" w:w="5083"/>
            <w:vAlign w:val="top"/>
            <w:shd w:fill="F7F8FA"/>
          </w:tcPr>
          <w:p>
            <w:pPr>
              <w:spacing w:after="20"/>
            </w:pPr>
            <w:r>
              <w:rPr>
                <w:sz w:val="16"/>
              </w:rPr>
              <w:t>Le serveur interdit le passage à l’expédition avant `preparation_ready_at` avec le code métier `PREPARATION_MINIMUM_NOT_REACHED`.</w:t>
            </w:r>
          </w:p>
        </w:tc>
      </w:tr>
      <w:tr>
        <w:tc>
          <w:tcPr>
            <w:tcW w:type="dxa" w:w="5083"/>
            <w:vAlign w:val="top"/>
          </w:tcPr>
          <w:p>
            <w:pPr>
              <w:spacing w:after="20"/>
            </w:pPr>
            <w:r>
              <w:rPr>
                <w:sz w:val="16"/>
              </w:rPr>
              <w:t>Prêt à l’échéance</w:t>
            </w:r>
          </w:p>
        </w:tc>
        <w:tc>
          <w:tcPr>
            <w:tcW w:type="dxa" w:w="5083"/>
            <w:vAlign w:val="top"/>
          </w:tcPr>
          <w:p>
            <w:pPr>
              <w:spacing w:after="20"/>
            </w:pPr>
            <w:r>
              <w:rPr>
                <w:sz w:val="16"/>
              </w:rPr>
              <w:t>À partir de l’instant admissible, le vendeur peut faire progresser la commande vers la livraison.</w:t>
            </w:r>
          </w:p>
        </w:tc>
      </w:tr>
      <w:tr>
        <w:tc>
          <w:tcPr>
            <w:tcW w:type="dxa" w:w="5083"/>
            <w:vAlign w:val="top"/>
            <w:shd w:fill="F7F8FA"/>
          </w:tcPr>
          <w:p>
            <w:pPr>
              <w:spacing w:after="20"/>
            </w:pPr>
            <w:r>
              <w:rPr>
                <w:sz w:val="16"/>
              </w:rPr>
              <w:t>Visibilité acheteur</w:t>
            </w:r>
          </w:p>
        </w:tc>
        <w:tc>
          <w:tcPr>
            <w:tcW w:type="dxa" w:w="5083"/>
            <w:vAlign w:val="top"/>
            <w:shd w:fill="F7F8FA"/>
          </w:tcPr>
          <w:p>
            <w:pPr>
              <w:spacing w:after="20"/>
            </w:pPr>
            <w:r>
              <w:rPr>
                <w:sz w:val="16"/>
              </w:rPr>
              <w:t>Le délai annoncé est visible sur la fiche produit, au checkout et dans le suivi commande.</w:t>
            </w:r>
          </w:p>
        </w:tc>
      </w:tr>
    </w:tbl>
    <w:p>
      <w:pPr>
        <w:spacing w:after="20"/>
      </w:pPr>
    </w:p>
    <w:p>
      <w:r>
        <w:t>Horodatages principaux : `preparation_started_at`, `preparation_ready_at`, `prepared_at`. Le premier correspond au démarrage effectif de la fenêtre, le second à l’instant minimal autorisé par le délai annoncé, le troisième à l’action réelle du vendeur.</w:t>
      </w:r>
    </w:p>
    <w:p>
      <w:pPr>
        <w:pStyle w:val="Heading1"/>
        <w:keepNext/>
      </w:pPr>
      <w:r>
        <w:t>7. Délai de livraison et ETA</w:t>
      </w:r>
    </w:p>
    <w:p>
      <w:r>
        <w:t>La préparation et le transport ne doivent jamais être fusionnés. Le transport commence uniquement lorsque le colis quitte réellement la phase de préparation et est pris en charge.</w:t>
      </w:r>
    </w:p>
    <w:tbl>
      <w:tblPr>
        <w:tblStyle w:val="TableGrid"/>
        <w:tblW w:type="auto" w:w="0"/>
        <w:jc w:val="center"/>
        <w:tblLook w:firstColumn="1" w:firstRow="1" w:lastColumn="0" w:lastRow="0" w:noHBand="0" w:noVBand="1" w:val="04A0"/>
        <w:tblBorders>
          <w:top w:val="single" w:sz="4" w:space="0" w:color="D8DDE5"/>
          <w:left w:val="single" w:sz="4" w:space="0" w:color="D8DDE5"/>
          <w:bottom w:val="single" w:sz="4" w:space="0" w:color="D8DDE5"/>
          <w:right w:val="single" w:sz="4" w:space="0" w:color="D8DDE5"/>
          <w:insideH w:val="single" w:sz="4" w:space="0" w:color="D8DDE5"/>
          <w:insideV w:val="single" w:sz="4" w:space="0" w:color="D8DDE5"/>
        </w:tblBorders>
      </w:tblPr>
      <w:tblGrid>
        <w:gridCol w:w="3389"/>
        <w:gridCol w:w="3389"/>
        <w:gridCol w:w="3389"/>
      </w:tblGrid>
      <w:tr>
        <w:trPr>
          <w:tblHeader w:val="true"/>
        </w:trPr>
        <w:tc>
          <w:tcPr>
            <w:tcW w:type="dxa" w:w="3389"/>
            <w:shd w:fill="1F355B"/>
            <w:vAlign w:val="center"/>
          </w:tcPr>
          <w:p>
            <w:pPr>
              <w:jc w:val="left"/>
            </w:pPr>
            <w:r>
              <w:rPr>
                <w:b/>
                <w:color w:val="FFFFFF"/>
                <w:sz w:val="16"/>
              </w:rPr>
              <w:t>Temps</w:t>
            </w:r>
          </w:p>
        </w:tc>
        <w:tc>
          <w:tcPr>
            <w:tcW w:type="dxa" w:w="3389"/>
            <w:shd w:fill="1F355B"/>
            <w:vAlign w:val="center"/>
          </w:tcPr>
          <w:p>
            <w:pPr>
              <w:jc w:val="left"/>
            </w:pPr>
            <w:r>
              <w:rPr>
                <w:b/>
                <w:color w:val="FFFFFF"/>
                <w:sz w:val="16"/>
              </w:rPr>
              <w:t>Origine</w:t>
            </w:r>
          </w:p>
        </w:tc>
        <w:tc>
          <w:tcPr>
            <w:tcW w:type="dxa" w:w="3389"/>
            <w:shd w:fill="1F355B"/>
            <w:vAlign w:val="center"/>
          </w:tcPr>
          <w:p>
            <w:pPr>
              <w:jc w:val="left"/>
            </w:pPr>
            <w:r>
              <w:rPr>
                <w:b/>
                <w:color w:val="FFFFFF"/>
                <w:sz w:val="16"/>
              </w:rPr>
              <w:t>Fin / résultat</w:t>
            </w:r>
          </w:p>
        </w:tc>
      </w:tr>
      <w:tr>
        <w:tc>
          <w:tcPr>
            <w:tcW w:type="dxa" w:w="3389"/>
            <w:vAlign w:val="top"/>
            <w:shd w:fill="F7F8FA"/>
          </w:tcPr>
          <w:p>
            <w:pPr>
              <w:spacing w:after="20"/>
            </w:pPr>
            <w:r>
              <w:rPr>
                <w:sz w:val="16"/>
              </w:rPr>
              <w:t>Préparation</w:t>
            </w:r>
          </w:p>
        </w:tc>
        <w:tc>
          <w:tcPr>
            <w:tcW w:type="dxa" w:w="3389"/>
            <w:vAlign w:val="top"/>
            <w:shd w:fill="F7F8FA"/>
          </w:tcPr>
          <w:p>
            <w:pPr>
              <w:spacing w:after="20"/>
            </w:pPr>
            <w:r>
              <w:rPr>
                <w:sz w:val="16"/>
              </w:rPr>
              <w:t>Confirmation de paiement</w:t>
            </w:r>
          </w:p>
        </w:tc>
        <w:tc>
          <w:tcPr>
            <w:tcW w:type="dxa" w:w="3389"/>
            <w:vAlign w:val="top"/>
            <w:shd w:fill="F7F8FA"/>
          </w:tcPr>
          <w:p>
            <w:pPr>
              <w:spacing w:after="20"/>
            </w:pPr>
            <w:r>
              <w:rPr>
                <w:sz w:val="16"/>
              </w:rPr>
              <w:t>Vendeur autorisé à déclarer la commande prête après l’échéance minimale.</w:t>
            </w:r>
          </w:p>
        </w:tc>
      </w:tr>
      <w:tr>
        <w:tc>
          <w:tcPr>
            <w:tcW w:type="dxa" w:w="3389"/>
            <w:vAlign w:val="top"/>
          </w:tcPr>
          <w:p>
            <w:pPr>
              <w:spacing w:after="20"/>
            </w:pPr>
            <w:r>
              <w:rPr>
                <w:sz w:val="16"/>
              </w:rPr>
              <w:t>Pickup urbain</w:t>
            </w:r>
          </w:p>
        </w:tc>
        <w:tc>
          <w:tcPr>
            <w:tcW w:type="dxa" w:w="3389"/>
            <w:vAlign w:val="top"/>
          </w:tcPr>
          <w:p>
            <w:pPr>
              <w:spacing w:after="20"/>
            </w:pPr>
            <w:r>
              <w:rPr>
                <w:sz w:val="16"/>
              </w:rPr>
              <w:t>Preuve de remise vendeur → transporteur</w:t>
            </w:r>
          </w:p>
        </w:tc>
        <w:tc>
          <w:tcPr>
            <w:tcW w:type="dxa" w:w="3389"/>
            <w:vAlign w:val="top"/>
          </w:tcPr>
          <w:p>
            <w:pPr>
              <w:spacing w:after="20"/>
            </w:pPr>
            <w:r>
              <w:rPr>
                <w:sz w:val="16"/>
              </w:rPr>
              <w:t>Démarrage du transit urbain.</w:t>
            </w:r>
          </w:p>
        </w:tc>
      </w:tr>
      <w:tr>
        <w:tc>
          <w:tcPr>
            <w:tcW w:type="dxa" w:w="3389"/>
            <w:vAlign w:val="top"/>
            <w:shd w:fill="F7F8FA"/>
          </w:tcPr>
          <w:p>
            <w:pPr>
              <w:spacing w:after="20"/>
            </w:pPr>
            <w:r>
              <w:rPr>
                <w:sz w:val="16"/>
              </w:rPr>
              <w:t>Pickup interville</w:t>
            </w:r>
          </w:p>
        </w:tc>
        <w:tc>
          <w:tcPr>
            <w:tcW w:type="dxa" w:w="3389"/>
            <w:vAlign w:val="top"/>
            <w:shd w:fill="F7F8FA"/>
          </w:tcPr>
          <w:p>
            <w:pPr>
              <w:spacing w:after="20"/>
            </w:pPr>
            <w:r>
              <w:rPr>
                <w:sz w:val="16"/>
              </w:rPr>
              <w:t>Prise en charge par le partenaire</w:t>
            </w:r>
          </w:p>
        </w:tc>
        <w:tc>
          <w:tcPr>
            <w:tcW w:type="dxa" w:w="3389"/>
            <w:vAlign w:val="top"/>
            <w:shd w:fill="F7F8FA"/>
          </w:tcPr>
          <w:p>
            <w:pPr>
              <w:spacing w:after="20"/>
            </w:pPr>
            <w:r>
              <w:rPr>
                <w:sz w:val="16"/>
              </w:rPr>
              <w:t>Démarrage du transit interville.</w:t>
            </w:r>
          </w:p>
        </w:tc>
      </w:tr>
      <w:tr>
        <w:tc>
          <w:tcPr>
            <w:tcW w:type="dxa" w:w="3389"/>
            <w:vAlign w:val="top"/>
          </w:tcPr>
          <w:p>
            <w:pPr>
              <w:spacing w:after="20"/>
            </w:pPr>
            <w:r>
              <w:rPr>
                <w:sz w:val="16"/>
              </w:rPr>
              <w:t>Transit</w:t>
            </w:r>
          </w:p>
        </w:tc>
        <w:tc>
          <w:tcPr>
            <w:tcW w:type="dxa" w:w="3389"/>
            <w:vAlign w:val="top"/>
          </w:tcPr>
          <w:p>
            <w:pPr>
              <w:spacing w:after="20"/>
            </w:pPr>
            <w:r>
              <w:rPr>
                <w:sz w:val="16"/>
              </w:rPr>
              <w:t>Horodatage de prise en charge + règle min/max</w:t>
            </w:r>
          </w:p>
        </w:tc>
        <w:tc>
          <w:tcPr>
            <w:tcW w:type="dxa" w:w="3389"/>
            <w:vAlign w:val="top"/>
          </w:tcPr>
          <w:p>
            <w:pPr>
              <w:spacing w:after="20"/>
            </w:pPr>
            <w:r>
              <w:rPr>
                <w:sz w:val="16"/>
              </w:rPr>
              <w:t>ETA minimale et maximale calculées.</w:t>
            </w:r>
          </w:p>
        </w:tc>
      </w:tr>
      <w:tr>
        <w:tc>
          <w:tcPr>
            <w:tcW w:type="dxa" w:w="3389"/>
            <w:vAlign w:val="top"/>
            <w:shd w:fill="F7F8FA"/>
          </w:tcPr>
          <w:p>
            <w:pPr>
              <w:spacing w:after="20"/>
            </w:pPr>
            <w:r>
              <w:rPr>
                <w:sz w:val="16"/>
              </w:rPr>
              <w:t>Arrivée</w:t>
            </w:r>
          </w:p>
        </w:tc>
        <w:tc>
          <w:tcPr>
            <w:tcW w:type="dxa" w:w="3389"/>
            <w:vAlign w:val="top"/>
            <w:shd w:fill="F7F8FA"/>
          </w:tcPr>
          <w:p>
            <w:pPr>
              <w:spacing w:after="20"/>
            </w:pPr>
            <w:r>
              <w:rPr>
                <w:sz w:val="16"/>
              </w:rPr>
              <w:t>Transport terminé / point partenaire</w:t>
            </w:r>
          </w:p>
        </w:tc>
        <w:tc>
          <w:tcPr>
            <w:tcW w:type="dxa" w:w="3389"/>
            <w:vAlign w:val="top"/>
            <w:shd w:fill="F7F8FA"/>
          </w:tcPr>
          <w:p>
            <w:pPr>
              <w:spacing w:after="20"/>
            </w:pPr>
            <w:r>
              <w:rPr>
                <w:sz w:val="16"/>
              </w:rPr>
              <w:t>Mise à disposition pour la remise finale.</w:t>
            </w:r>
          </w:p>
        </w:tc>
      </w:tr>
      <w:tr>
        <w:tc>
          <w:tcPr>
            <w:tcW w:type="dxa" w:w="3389"/>
            <w:vAlign w:val="top"/>
          </w:tcPr>
          <w:p>
            <w:pPr>
              <w:spacing w:after="20"/>
            </w:pPr>
            <w:r>
              <w:rPr>
                <w:sz w:val="16"/>
              </w:rPr>
              <w:t>Confirmation</w:t>
            </w:r>
          </w:p>
        </w:tc>
        <w:tc>
          <w:tcPr>
            <w:tcW w:type="dxa" w:w="3389"/>
            <w:vAlign w:val="top"/>
          </w:tcPr>
          <w:p>
            <w:pPr>
              <w:spacing w:after="20"/>
            </w:pPr>
            <w:r>
              <w:rPr>
                <w:sz w:val="16"/>
              </w:rPr>
              <w:t>PIN/QR acheteur</w:t>
            </w:r>
          </w:p>
        </w:tc>
        <w:tc>
          <w:tcPr>
            <w:tcW w:type="dxa" w:w="3389"/>
            <w:vAlign w:val="top"/>
          </w:tcPr>
          <w:p>
            <w:pPr>
              <w:spacing w:after="20"/>
            </w:pPr>
            <w:r>
              <w:rPr>
                <w:sz w:val="16"/>
              </w:rPr>
              <w:t>Escrow peut être libéré selon le workflow existant.</w:t>
            </w:r>
          </w:p>
        </w:tc>
      </w:tr>
    </w:tbl>
    <w:p>
      <w:pPr>
        <w:spacing w:after="20"/>
      </w:pPr>
    </w:p>
    <w:p>
      <w:r>
        <w:t>Les règles urbaines V58 sont stockées dans `urban_delivery_time_rules` avec distance minimale/maximale et temps de transit minimal/maximal. Aucun chiffre de délai urbain n’est inséré arbitrairement par la migration : l’Administrateur doit configurer ces plages.</w:t>
      </w:r>
    </w:p>
    <w:p>
      <w:pPr>
        <w:pStyle w:val="Heading1"/>
        <w:keepNext/>
      </w:pPr>
      <w:r>
        <w:t>8. Parcours complet d’une commande</w:t>
      </w:r>
    </w:p>
    <w:p>
      <w:pPr>
        <w:spacing w:after="80"/>
        <w:ind w:left="202"/>
      </w:pPr>
      <w:r>
        <w:rPr>
          <w:rFonts w:ascii="Consolas" w:hAnsi="Consolas"/>
          <w:color w:val="182741"/>
          <w:sz w:val="16"/>
        </w:rPr>
        <w:t>1. Produit actif → 2. Panier → 3. Quote serveur → 4. Choix urbain/interville → 5. Paiement → 6. Préparation → 7. Pickup → 8. Transit → 9. Arrivée → 10. Preuve réception → 11. Libération escrow</w:t>
      </w:r>
    </w:p>
    <w:p>
      <w:r>
        <w:t>À la création, le backend relit prix et stock avec verrouillage. Les prix transmis par le client ne constituent pas la source de vérité. Les lignes enregistrent des snapshots nécessaires à la traçabilité : prix, préparation et données de conservation.</w:t>
      </w:r>
    </w:p>
    <w:p>
      <w:r>
        <w:t>L’idempotence existante sur les opérations sensibles reste centrale : création/annulation de commande, paiement et webhooks sont protégés contre les répétitions.</w:t>
      </w:r>
    </w:p>
    <w:p>
      <w:pPr>
        <w:pStyle w:val="Heading1"/>
        <w:keepNext/>
      </w:pPr>
      <w:r>
        <w:t>9. Livraison urbaine</w:t>
      </w:r>
    </w:p>
    <w:p>
      <w:r>
        <w:t>Le flux urbain continue de s’appuyer sur le dispatch des transporteurs existant. Les missions sont proposées séquentiellement et l’acceptation est atomique. V58 ajoute le temps de transit au-dessus de ce mécanisme, sans modifier le principe de sélection opérationnelle.</w:t>
      </w:r>
    </w:p>
    <w:p>
      <w:pPr>
        <w:pStyle w:val="ListBullet"/>
        <w:spacing w:after="40"/>
        <w:ind w:left="317"/>
      </w:pPr>
      <w:r>
        <w:t>Le vendeur prépare le colis jusqu’à l’échéance minimale.</w:t>
      </w:r>
    </w:p>
    <w:p>
      <w:pPr>
        <w:pStyle w:val="ListBullet"/>
        <w:spacing w:after="40"/>
        <w:ind w:left="317"/>
      </w:pPr>
      <w:r>
        <w:t>La mission urbaine peut être exécutée lorsque la commande est expédiable.</w:t>
      </w:r>
    </w:p>
    <w:p>
      <w:pPr>
        <w:pStyle w:val="ListBullet"/>
        <w:spacing w:after="40"/>
        <w:ind w:left="317"/>
      </w:pPr>
      <w:r>
        <w:t>Le transporteur utilise la preuve de pickup.</w:t>
      </w:r>
    </w:p>
    <w:p>
      <w:pPr>
        <w:pStyle w:val="ListBullet"/>
        <w:spacing w:after="40"/>
        <w:ind w:left="317"/>
      </w:pPr>
      <w:r>
        <w:t>L’horloge de transit démarre au pickup.</w:t>
      </w:r>
    </w:p>
    <w:p>
      <w:pPr>
        <w:pStyle w:val="ListBullet"/>
        <w:spacing w:after="40"/>
        <w:ind w:left="317"/>
      </w:pPr>
      <w:r>
        <w:t>Le suivi enregistre les événements et la position du transporteur.</w:t>
      </w:r>
    </w:p>
    <w:p>
      <w:pPr>
        <w:pStyle w:val="ListBullet"/>
        <w:spacing w:after="40"/>
        <w:ind w:left="317"/>
      </w:pPr>
      <w:r>
        <w:t>Le client confirme la livraison via PIN/QR ; l’escrow peut ensuite être libéré.</w:t>
      </w:r>
    </w:p>
    <w:p>
      <w:pPr>
        <w:pStyle w:val="Heading1"/>
        <w:keepNext/>
      </w:pPr>
      <w:r>
        <w:t>10. Architecture interville</w:t>
      </w:r>
    </w:p>
    <w:p>
      <w:r>
        <w:t>L’interville n’est pas un nouveau profil utilisateur principal. LIVI réutilise la table `partners` avec `kind = logistics`, puis les points physiques `partner_locations` et les liaisons `intercity_routes`.</w:t>
      </w:r>
    </w:p>
    <w:tbl>
      <w:tblPr>
        <w:tblStyle w:val="TableGrid"/>
        <w:tblW w:type="auto" w:w="0"/>
        <w:jc w:val="center"/>
        <w:tblLook w:firstColumn="1" w:firstRow="1" w:lastColumn="0" w:lastRow="0" w:noHBand="0" w:noVBand="1" w:val="04A0"/>
        <w:tblBorders>
          <w:top w:val="single" w:sz="4" w:space="0" w:color="D8DDE5"/>
          <w:left w:val="single" w:sz="4" w:space="0" w:color="D8DDE5"/>
          <w:bottom w:val="single" w:sz="4" w:space="0" w:color="D8DDE5"/>
          <w:right w:val="single" w:sz="4" w:space="0" w:color="D8DDE5"/>
          <w:insideH w:val="single" w:sz="4" w:space="0" w:color="D8DDE5"/>
          <w:insideV w:val="single" w:sz="4" w:space="0" w:color="D8DDE5"/>
        </w:tblBorders>
      </w:tblPr>
      <w:tblGrid>
        <w:gridCol w:w="5083"/>
        <w:gridCol w:w="5083"/>
      </w:tblGrid>
      <w:tr>
        <w:trPr>
          <w:tblHeader w:val="true"/>
        </w:trPr>
        <w:tc>
          <w:tcPr>
            <w:tcW w:type="dxa" w:w="5083"/>
            <w:shd w:fill="1F355B"/>
            <w:vAlign w:val="center"/>
          </w:tcPr>
          <w:p>
            <w:pPr>
              <w:jc w:val="left"/>
            </w:pPr>
            <w:r>
              <w:rPr>
                <w:b/>
                <w:color w:val="FFFFFF"/>
                <w:sz w:val="16"/>
              </w:rPr>
              <w:t>Objet</w:t>
            </w:r>
          </w:p>
        </w:tc>
        <w:tc>
          <w:tcPr>
            <w:tcW w:type="dxa" w:w="5083"/>
            <w:shd w:fill="1F355B"/>
            <w:vAlign w:val="center"/>
          </w:tcPr>
          <w:p>
            <w:pPr>
              <w:jc w:val="left"/>
            </w:pPr>
            <w:r>
              <w:rPr>
                <w:b/>
                <w:color w:val="FFFFFF"/>
                <w:sz w:val="16"/>
              </w:rPr>
              <w:t>Rôle</w:t>
            </w:r>
          </w:p>
        </w:tc>
      </w:tr>
      <w:tr>
        <w:tc>
          <w:tcPr>
            <w:tcW w:type="dxa" w:w="5083"/>
            <w:vAlign w:val="top"/>
            <w:shd w:fill="F7F8FA"/>
          </w:tcPr>
          <w:p>
            <w:pPr>
              <w:spacing w:after="20"/>
            </w:pPr>
            <w:r>
              <w:rPr>
                <w:sz w:val="16"/>
              </w:rPr>
              <w:t>Partner</w:t>
            </w:r>
          </w:p>
        </w:tc>
        <w:tc>
          <w:tcPr>
            <w:tcW w:type="dxa" w:w="5083"/>
            <w:vAlign w:val="top"/>
            <w:shd w:fill="F7F8FA"/>
          </w:tcPr>
          <w:p>
            <w:pPr>
              <w:spacing w:after="20"/>
            </w:pPr>
            <w:r>
              <w:rPr>
                <w:sz w:val="16"/>
              </w:rPr>
              <w:t>Entreprise logistique partenaire : code, nom, statut.</w:t>
            </w:r>
          </w:p>
        </w:tc>
      </w:tr>
      <w:tr>
        <w:tc>
          <w:tcPr>
            <w:tcW w:type="dxa" w:w="5083"/>
            <w:vAlign w:val="top"/>
          </w:tcPr>
          <w:p>
            <w:pPr>
              <w:spacing w:after="20"/>
            </w:pPr>
            <w:r>
              <w:rPr>
                <w:sz w:val="16"/>
              </w:rPr>
              <w:t>Partner location</w:t>
            </w:r>
          </w:p>
        </w:tc>
        <w:tc>
          <w:tcPr>
            <w:tcW w:type="dxa" w:w="5083"/>
            <w:vAlign w:val="top"/>
          </w:tcPr>
          <w:p>
            <w:pPr>
              <w:spacing w:after="20"/>
            </w:pPr>
            <w:r>
              <w:rPr>
                <w:sz w:val="16"/>
              </w:rPr>
              <w:t>Dépôt de départ, point de retrait destination, ou point servant aux deux usages.</w:t>
            </w:r>
          </w:p>
        </w:tc>
      </w:tr>
      <w:tr>
        <w:tc>
          <w:tcPr>
            <w:tcW w:type="dxa" w:w="5083"/>
            <w:vAlign w:val="top"/>
            <w:shd w:fill="F7F8FA"/>
          </w:tcPr>
          <w:p>
            <w:pPr>
              <w:spacing w:after="20"/>
            </w:pPr>
            <w:r>
              <w:rPr>
                <w:sz w:val="16"/>
              </w:rPr>
              <w:t>Intercity route</w:t>
            </w:r>
          </w:p>
        </w:tc>
        <w:tc>
          <w:tcPr>
            <w:tcW w:type="dxa" w:w="5083"/>
            <w:vAlign w:val="top"/>
            <w:shd w:fill="F7F8FA"/>
          </w:tcPr>
          <w:p>
            <w:pPr>
              <w:spacing w:after="20"/>
            </w:pPr>
            <w:r>
              <w:rPr>
                <w:sz w:val="16"/>
              </w:rPr>
              <w:t>Paire ville origine → destination avec durée min/max et coûts opérationnels.</w:t>
            </w:r>
          </w:p>
        </w:tc>
      </w:tr>
      <w:tr>
        <w:tc>
          <w:tcPr>
            <w:tcW w:type="dxa" w:w="5083"/>
            <w:vAlign w:val="top"/>
          </w:tcPr>
          <w:p>
            <w:pPr>
              <w:spacing w:after="20"/>
            </w:pPr>
            <w:r>
              <w:rPr>
                <w:sz w:val="16"/>
              </w:rPr>
              <w:t>Order</w:t>
            </w:r>
          </w:p>
        </w:tc>
        <w:tc>
          <w:tcPr>
            <w:tcW w:type="dxa" w:w="5083"/>
            <w:vAlign w:val="top"/>
          </w:tcPr>
          <w:p>
            <w:pPr>
              <w:spacing w:after="20"/>
            </w:pPr>
            <w:r>
              <w:rPr>
                <w:sz w:val="16"/>
              </w:rPr>
              <w:t>Porte le mode interville, le partenaire, les points, la valeur marchandise, le coût transport et la garantie.</w:t>
            </w:r>
          </w:p>
        </w:tc>
      </w:tr>
      <w:tr>
        <w:tc>
          <w:tcPr>
            <w:tcW w:type="dxa" w:w="5083"/>
            <w:vAlign w:val="top"/>
            <w:shd w:fill="F7F8FA"/>
          </w:tcPr>
          <w:p>
            <w:pPr>
              <w:spacing w:after="20"/>
            </w:pPr>
            <w:r>
              <w:rPr>
                <w:sz w:val="16"/>
              </w:rPr>
              <w:t>Shipment</w:t>
            </w:r>
          </w:p>
        </w:tc>
        <w:tc>
          <w:tcPr>
            <w:tcW w:type="dxa" w:w="5083"/>
            <w:vAlign w:val="top"/>
            <w:shd w:fill="F7F8FA"/>
          </w:tcPr>
          <w:p>
            <w:pPr>
              <w:spacing w:after="20"/>
            </w:pPr>
            <w:r>
              <w:rPr>
                <w:sz w:val="16"/>
              </w:rPr>
              <w:t>Porte le mode, partenaire, origine/destination physiques, pickup partenaire et arrivée partenaire.</w:t>
            </w:r>
          </w:p>
        </w:tc>
      </w:tr>
      <w:tr>
        <w:tc>
          <w:tcPr>
            <w:tcW w:type="dxa" w:w="5083"/>
            <w:vAlign w:val="top"/>
          </w:tcPr>
          <w:p>
            <w:pPr>
              <w:spacing w:after="20"/>
            </w:pPr>
            <w:r>
              <w:rPr>
                <w:sz w:val="16"/>
              </w:rPr>
              <w:t>Partner instruction</w:t>
            </w:r>
          </w:p>
        </w:tc>
        <w:tc>
          <w:tcPr>
            <w:tcW w:type="dxa" w:w="5083"/>
            <w:vAlign w:val="top"/>
          </w:tcPr>
          <w:p>
            <w:pPr>
              <w:spacing w:after="20"/>
            </w:pPr>
            <w:r>
              <w:rPr>
                <w:sz w:val="16"/>
              </w:rPr>
              <w:t>Permet de matérialiser l’opération externe et son idempotence sans inventer de credentials.</w:t>
            </w:r>
          </w:p>
        </w:tc>
      </w:tr>
    </w:tbl>
    <w:p>
      <w:pPr>
        <w:spacing w:after="20"/>
      </w:pPr>
    </w:p>
    <w:p>
      <w:r>
        <w:t>Flux cible : vendeur prêt → association au point de départ partenaire → prise en charge partenaire → transit interville → arrivée au point de retrait destination → notification/présentation du PIN/QR → confirmation acheteur.</w:t>
      </w:r>
    </w:p>
    <w:p>
      <w:pPr>
        <w:pStyle w:val="Heading1"/>
        <w:keepNext/>
      </w:pPr>
      <w:r>
        <w:t>11. Paiement interville et garantie 10 %</w:t>
      </w:r>
    </w:p>
    <w:p>
      <w:r>
        <w:t>V58 applique la distinction suivante, qui correspond à la demande métier :</w:t>
      </w:r>
    </w:p>
    <w:tbl>
      <w:tblPr>
        <w:tblStyle w:val="TableGrid"/>
        <w:tblW w:type="auto" w:w="0"/>
        <w:jc w:val="center"/>
        <w:tblLook w:firstColumn="1" w:firstRow="1" w:lastColumn="0" w:lastRow="0" w:noHBand="0" w:noVBand="1" w:val="04A0"/>
        <w:tblBorders>
          <w:top w:val="single" w:sz="4" w:space="0" w:color="D8DDE5"/>
          <w:left w:val="single" w:sz="4" w:space="0" w:color="D8DDE5"/>
          <w:bottom w:val="single" w:sz="4" w:space="0" w:color="D8DDE5"/>
          <w:right w:val="single" w:sz="4" w:space="0" w:color="D8DDE5"/>
          <w:insideH w:val="single" w:sz="4" w:space="0" w:color="D8DDE5"/>
          <w:insideV w:val="single" w:sz="4" w:space="0" w:color="D8DDE5"/>
        </w:tblBorders>
      </w:tblPr>
      <w:tblGrid>
        <w:gridCol w:w="5083"/>
        <w:gridCol w:w="5083"/>
      </w:tblGrid>
      <w:tr>
        <w:trPr>
          <w:tblHeader w:val="true"/>
        </w:trPr>
        <w:tc>
          <w:tcPr>
            <w:tcW w:type="dxa" w:w="5083"/>
            <w:shd w:fill="1F355B"/>
            <w:vAlign w:val="center"/>
          </w:tcPr>
          <w:p>
            <w:pPr>
              <w:jc w:val="left"/>
            </w:pPr>
            <w:r>
              <w:rPr>
                <w:b/>
                <w:color w:val="FFFFFF"/>
                <w:sz w:val="16"/>
              </w:rPr>
              <w:t>Élément</w:t>
            </w:r>
          </w:p>
        </w:tc>
        <w:tc>
          <w:tcPr>
            <w:tcW w:type="dxa" w:w="5083"/>
            <w:shd w:fill="1F355B"/>
            <w:vAlign w:val="center"/>
          </w:tcPr>
          <w:p>
            <w:pPr>
              <w:jc w:val="left"/>
            </w:pPr>
            <w:r>
              <w:rPr>
                <w:b/>
                <w:color w:val="FFFFFF"/>
                <w:sz w:val="16"/>
              </w:rPr>
              <w:t>Règle</w:t>
            </w:r>
          </w:p>
        </w:tc>
      </w:tr>
      <w:tr>
        <w:tc>
          <w:tcPr>
            <w:tcW w:type="dxa" w:w="5083"/>
            <w:vAlign w:val="top"/>
            <w:shd w:fill="F7F8FA"/>
          </w:tcPr>
          <w:p>
            <w:pPr>
              <w:spacing w:after="20"/>
            </w:pPr>
            <w:r>
              <w:rPr>
                <w:sz w:val="16"/>
              </w:rPr>
              <w:t>Valeur marchandise</w:t>
            </w:r>
          </w:p>
        </w:tc>
        <w:tc>
          <w:tcPr>
            <w:tcW w:type="dxa" w:w="5083"/>
            <w:vAlign w:val="top"/>
            <w:shd w:fill="F7F8FA"/>
          </w:tcPr>
          <w:p>
            <w:pPr>
              <w:spacing w:after="20"/>
            </w:pPr>
            <w:r>
              <w:rPr>
                <w:sz w:val="16"/>
              </w:rPr>
              <w:t>Somme des prix de base des lignes, avant frais logistiques.</w:t>
            </w:r>
          </w:p>
        </w:tc>
      </w:tr>
      <w:tr>
        <w:tc>
          <w:tcPr>
            <w:tcW w:type="dxa" w:w="5083"/>
            <w:vAlign w:val="top"/>
          </w:tcPr>
          <w:p>
            <w:pPr>
              <w:spacing w:after="20"/>
            </w:pPr>
            <w:r>
              <w:rPr>
                <w:sz w:val="16"/>
              </w:rPr>
              <w:t>Garantie sécurité</w:t>
            </w:r>
          </w:p>
        </w:tc>
        <w:tc>
          <w:tcPr>
            <w:tcW w:type="dxa" w:w="5083"/>
            <w:vAlign w:val="top"/>
          </w:tcPr>
          <w:p>
            <w:pPr>
              <w:spacing w:after="20"/>
            </w:pPr>
            <w:r>
              <w:rPr>
                <w:sz w:val="16"/>
              </w:rPr>
              <w:t>10 % de la valeur marchandise ; minimum 1 000 XOF. La règle est figée dans la table de tarification V58 à 1 000 basis points.</w:t>
            </w:r>
          </w:p>
        </w:tc>
      </w:tr>
      <w:tr>
        <w:tc>
          <w:tcPr>
            <w:tcW w:type="dxa" w:w="5083"/>
            <w:vAlign w:val="top"/>
            <w:shd w:fill="F7F8FA"/>
          </w:tcPr>
          <w:p>
            <w:pPr>
              <w:spacing w:after="20"/>
            </w:pPr>
            <w:r>
              <w:rPr>
                <w:sz w:val="16"/>
              </w:rPr>
              <w:t>Coût opérationnel transport</w:t>
            </w:r>
          </w:p>
        </w:tc>
        <w:tc>
          <w:tcPr>
            <w:tcW w:type="dxa" w:w="5083"/>
            <w:vAlign w:val="top"/>
            <w:shd w:fill="F7F8FA"/>
          </w:tcPr>
          <w:p>
            <w:pPr>
              <w:spacing w:after="20"/>
            </w:pPr>
            <w:r>
              <w:rPr>
                <w:sz w:val="16"/>
              </w:rPr>
              <w:t>Carburant + charges d’exploitation + frais/service partenaire, avec minimum opérationnel 1 000 XOF.</w:t>
            </w:r>
          </w:p>
        </w:tc>
      </w:tr>
      <w:tr>
        <w:tc>
          <w:tcPr>
            <w:tcW w:type="dxa" w:w="5083"/>
            <w:vAlign w:val="top"/>
          </w:tcPr>
          <w:p>
            <w:pPr>
              <w:spacing w:after="20"/>
            </w:pPr>
            <w:r>
              <w:rPr>
                <w:sz w:val="16"/>
              </w:rPr>
              <w:t>Total logistique interville</w:t>
            </w:r>
          </w:p>
        </w:tc>
        <w:tc>
          <w:tcPr>
            <w:tcW w:type="dxa" w:w="5083"/>
            <w:vAlign w:val="top"/>
          </w:tcPr>
          <w:p>
            <w:pPr>
              <w:spacing w:after="20"/>
            </w:pPr>
            <w:r>
              <w:rPr>
                <w:sz w:val="16"/>
              </w:rPr>
              <w:t>Coût opérationnel + garantie de sécurité.</w:t>
            </w:r>
          </w:p>
        </w:tc>
      </w:tr>
      <w:tr>
        <w:tc>
          <w:tcPr>
            <w:tcW w:type="dxa" w:w="5083"/>
            <w:vAlign w:val="top"/>
            <w:shd w:fill="F7F8FA"/>
          </w:tcPr>
          <w:p>
            <w:pPr>
              <w:spacing w:after="20"/>
            </w:pPr>
            <w:r>
              <w:rPr>
                <w:sz w:val="16"/>
              </w:rPr>
              <w:t>Traçabilité</w:t>
            </w:r>
          </w:p>
        </w:tc>
        <w:tc>
          <w:tcPr>
            <w:tcW w:type="dxa" w:w="5083"/>
            <w:vAlign w:val="top"/>
            <w:shd w:fill="F7F8FA"/>
          </w:tcPr>
          <w:p>
            <w:pPr>
              <w:spacing w:after="20"/>
            </w:pPr>
            <w:r>
              <w:rPr>
                <w:sz w:val="16"/>
              </w:rPr>
              <w:t>La garantie est stockée séparément de l’operational transport cost dans la commande et l’escrow.</w:t>
            </w:r>
          </w:p>
        </w:tc>
      </w:tr>
      <w:tr>
        <w:tc>
          <w:tcPr>
            <w:tcW w:type="dxa" w:w="5083"/>
            <w:vAlign w:val="top"/>
          </w:tcPr>
          <w:p>
            <w:pPr>
              <w:spacing w:after="20"/>
            </w:pPr>
            <w:r>
              <w:rPr>
                <w:sz w:val="16"/>
              </w:rPr>
              <w:t>Perte</w:t>
            </w:r>
          </w:p>
        </w:tc>
        <w:tc>
          <w:tcPr>
            <w:tcW w:type="dxa" w:w="5083"/>
            <w:vAlign w:val="top"/>
          </w:tcPr>
          <w:p>
            <w:pPr>
              <w:spacing w:after="20"/>
            </w:pPr>
            <w:r>
              <w:rPr>
                <w:sz w:val="16"/>
              </w:rPr>
              <w:t>La garantie restante peut être reversée à l’acheteur selon le flux de perte V58.</w:t>
            </w:r>
          </w:p>
        </w:tc>
      </w:tr>
    </w:tbl>
    <w:p>
      <w:pPr>
        <w:spacing w:after="20"/>
      </w:pPr>
    </w:p>
    <w:p>
      <w:r>
        <w:t>Formules :</w:t>
      </w:r>
    </w:p>
    <w:p>
      <w:pPr>
        <w:spacing w:after="80"/>
        <w:ind w:left="202"/>
      </w:pPr>
      <w:r>
        <w:rPr>
          <w:rFonts w:ascii="Consolas" w:hAnsi="Consolas"/>
          <w:color w:val="182741"/>
          <w:sz w:val="16"/>
        </w:rPr>
        <w:t>garantie = max(ceil(valeur_marchandise × 10 %), 1 000 XOF)</w:t>
        <w:br/>
        <w:t>transport_operationnel = max(carburant + charges + frais_partenaire, 1 000 XOF)</w:t>
        <w:br/>
        <w:t>total_logistique_interville = transport_operationnel + garantie</w:t>
      </w:r>
    </w:p>
    <w:p>
      <w:pPr>
        <w:pStyle w:val="Heading2"/>
        <w:keepNext/>
      </w:pPr>
      <w:r>
        <w:t>Exemples de calcul</w:t>
      </w:r>
    </w:p>
    <w:tbl>
      <w:tblPr>
        <w:tblStyle w:val="TableGrid"/>
        <w:tblW w:type="auto" w:w="0"/>
        <w:jc w:val="center"/>
        <w:tblLook w:firstColumn="1" w:firstRow="1" w:lastColumn="0" w:lastRow="0" w:noHBand="0" w:noVBand="1" w:val="04A0"/>
        <w:tblBorders>
          <w:top w:val="single" w:sz="4" w:space="0" w:color="D8DDE5"/>
          <w:left w:val="single" w:sz="4" w:space="0" w:color="D8DDE5"/>
          <w:bottom w:val="single" w:sz="4" w:space="0" w:color="D8DDE5"/>
          <w:right w:val="single" w:sz="4" w:space="0" w:color="D8DDE5"/>
          <w:insideH w:val="single" w:sz="4" w:space="0" w:color="D8DDE5"/>
          <w:insideV w:val="single" w:sz="4" w:space="0" w:color="D8DDE5"/>
        </w:tblBorders>
      </w:tblPr>
      <w:tblGrid>
        <w:gridCol w:w="2033"/>
        <w:gridCol w:w="2033"/>
        <w:gridCol w:w="2033"/>
        <w:gridCol w:w="2033"/>
        <w:gridCol w:w="2033"/>
      </w:tblGrid>
      <w:tr>
        <w:trPr>
          <w:tblHeader w:val="true"/>
        </w:trPr>
        <w:tc>
          <w:tcPr>
            <w:tcW w:type="dxa" w:w="2033"/>
            <w:shd w:fill="1F355B"/>
            <w:vAlign w:val="center"/>
          </w:tcPr>
          <w:p>
            <w:pPr>
              <w:jc w:val="left"/>
            </w:pPr>
            <w:r>
              <w:rPr>
                <w:b/>
                <w:color w:val="FFFFFF"/>
                <w:sz w:val="16"/>
              </w:rPr>
              <w:t>Valeur colis</w:t>
            </w:r>
          </w:p>
        </w:tc>
        <w:tc>
          <w:tcPr>
            <w:tcW w:type="dxa" w:w="2033"/>
            <w:shd w:fill="1F355B"/>
            <w:vAlign w:val="center"/>
          </w:tcPr>
          <w:p>
            <w:pPr>
              <w:jc w:val="left"/>
            </w:pPr>
            <w:r>
              <w:rPr>
                <w:b/>
                <w:color w:val="FFFFFF"/>
                <w:sz w:val="16"/>
              </w:rPr>
              <w:t>Garantie 10 %</w:t>
            </w:r>
          </w:p>
        </w:tc>
        <w:tc>
          <w:tcPr>
            <w:tcW w:type="dxa" w:w="2033"/>
            <w:shd w:fill="1F355B"/>
            <w:vAlign w:val="center"/>
          </w:tcPr>
          <w:p>
            <w:pPr>
              <w:jc w:val="left"/>
            </w:pPr>
            <w:r>
              <w:rPr>
                <w:b/>
                <w:color w:val="FFFFFF"/>
                <w:sz w:val="16"/>
              </w:rPr>
              <w:t>Carburant + charges + partenaire</w:t>
            </w:r>
          </w:p>
        </w:tc>
        <w:tc>
          <w:tcPr>
            <w:tcW w:type="dxa" w:w="2033"/>
            <w:shd w:fill="1F355B"/>
            <w:vAlign w:val="center"/>
          </w:tcPr>
          <w:p>
            <w:pPr>
              <w:jc w:val="left"/>
            </w:pPr>
            <w:r>
              <w:rPr>
                <w:b/>
                <w:color w:val="FFFFFF"/>
                <w:sz w:val="16"/>
              </w:rPr>
              <w:t>Transport opérationnel</w:t>
            </w:r>
          </w:p>
        </w:tc>
        <w:tc>
          <w:tcPr>
            <w:tcW w:type="dxa" w:w="2033"/>
            <w:shd w:fill="1F355B"/>
            <w:vAlign w:val="center"/>
          </w:tcPr>
          <w:p>
            <w:pPr>
              <w:jc w:val="left"/>
            </w:pPr>
            <w:r>
              <w:rPr>
                <w:b/>
                <w:color w:val="FFFFFF"/>
                <w:sz w:val="16"/>
              </w:rPr>
              <w:t>Total logistique</w:t>
            </w:r>
          </w:p>
        </w:tc>
      </w:tr>
      <w:tr>
        <w:tc>
          <w:tcPr>
            <w:tcW w:type="dxa" w:w="2033"/>
            <w:vAlign w:val="top"/>
            <w:shd w:fill="F7F8FA"/>
          </w:tcPr>
          <w:p>
            <w:pPr>
              <w:spacing w:after="20"/>
            </w:pPr>
            <w:r>
              <w:rPr>
                <w:sz w:val="16"/>
              </w:rPr>
              <w:t>5 000 XOF</w:t>
            </w:r>
          </w:p>
        </w:tc>
        <w:tc>
          <w:tcPr>
            <w:tcW w:type="dxa" w:w="2033"/>
            <w:vAlign w:val="top"/>
            <w:shd w:fill="F7F8FA"/>
          </w:tcPr>
          <w:p>
            <w:pPr>
              <w:spacing w:after="20"/>
            </w:pPr>
            <w:r>
              <w:rPr>
                <w:sz w:val="16"/>
              </w:rPr>
              <w:t>1 000 XOF (minimum)</w:t>
            </w:r>
          </w:p>
        </w:tc>
        <w:tc>
          <w:tcPr>
            <w:tcW w:type="dxa" w:w="2033"/>
            <w:vAlign w:val="top"/>
            <w:shd w:fill="F7F8FA"/>
          </w:tcPr>
          <w:p>
            <w:pPr>
              <w:spacing w:after="20"/>
            </w:pPr>
            <w:r>
              <w:rPr>
                <w:sz w:val="16"/>
              </w:rPr>
              <w:t>2 500 XOF</w:t>
            </w:r>
          </w:p>
        </w:tc>
        <w:tc>
          <w:tcPr>
            <w:tcW w:type="dxa" w:w="2033"/>
            <w:vAlign w:val="top"/>
            <w:shd w:fill="F7F8FA"/>
          </w:tcPr>
          <w:p>
            <w:pPr>
              <w:spacing w:after="20"/>
            </w:pPr>
            <w:r>
              <w:rPr>
                <w:sz w:val="16"/>
              </w:rPr>
              <w:t>2 500 XOF</w:t>
            </w:r>
          </w:p>
        </w:tc>
        <w:tc>
          <w:tcPr>
            <w:tcW w:type="dxa" w:w="2033"/>
            <w:vAlign w:val="top"/>
            <w:shd w:fill="F7F8FA"/>
          </w:tcPr>
          <w:p>
            <w:pPr>
              <w:spacing w:after="20"/>
            </w:pPr>
            <w:r>
              <w:rPr>
                <w:sz w:val="16"/>
              </w:rPr>
              <w:t>3 500 XOF</w:t>
            </w:r>
          </w:p>
        </w:tc>
      </w:tr>
      <w:tr>
        <w:tc>
          <w:tcPr>
            <w:tcW w:type="dxa" w:w="2033"/>
            <w:vAlign w:val="top"/>
          </w:tcPr>
          <w:p>
            <w:pPr>
              <w:spacing w:after="20"/>
            </w:pPr>
            <w:r>
              <w:rPr>
                <w:sz w:val="16"/>
              </w:rPr>
              <w:t>50 000 XOF</w:t>
            </w:r>
          </w:p>
        </w:tc>
        <w:tc>
          <w:tcPr>
            <w:tcW w:type="dxa" w:w="2033"/>
            <w:vAlign w:val="top"/>
          </w:tcPr>
          <w:p>
            <w:pPr>
              <w:spacing w:after="20"/>
            </w:pPr>
            <w:r>
              <w:rPr>
                <w:sz w:val="16"/>
              </w:rPr>
              <w:t>5 000 XOF</w:t>
            </w:r>
          </w:p>
        </w:tc>
        <w:tc>
          <w:tcPr>
            <w:tcW w:type="dxa" w:w="2033"/>
            <w:vAlign w:val="top"/>
          </w:tcPr>
          <w:p>
            <w:pPr>
              <w:spacing w:after="20"/>
            </w:pPr>
            <w:r>
              <w:rPr>
                <w:sz w:val="16"/>
              </w:rPr>
              <w:t>3 500 XOF</w:t>
            </w:r>
          </w:p>
        </w:tc>
        <w:tc>
          <w:tcPr>
            <w:tcW w:type="dxa" w:w="2033"/>
            <w:vAlign w:val="top"/>
          </w:tcPr>
          <w:p>
            <w:pPr>
              <w:spacing w:after="20"/>
            </w:pPr>
            <w:r>
              <w:rPr>
                <w:sz w:val="16"/>
              </w:rPr>
              <w:t>3 500 XOF</w:t>
            </w:r>
          </w:p>
        </w:tc>
        <w:tc>
          <w:tcPr>
            <w:tcW w:type="dxa" w:w="2033"/>
            <w:vAlign w:val="top"/>
          </w:tcPr>
          <w:p>
            <w:pPr>
              <w:spacing w:after="20"/>
            </w:pPr>
            <w:r>
              <w:rPr>
                <w:sz w:val="16"/>
              </w:rPr>
              <w:t>8 500 XOF</w:t>
            </w:r>
          </w:p>
        </w:tc>
      </w:tr>
      <w:tr>
        <w:tc>
          <w:tcPr>
            <w:tcW w:type="dxa" w:w="2033"/>
            <w:vAlign w:val="top"/>
            <w:shd w:fill="F7F8FA"/>
          </w:tcPr>
          <w:p>
            <w:pPr>
              <w:spacing w:after="20"/>
            </w:pPr>
            <w:r>
              <w:rPr>
                <w:sz w:val="16"/>
              </w:rPr>
              <w:t>120 000 XOF</w:t>
            </w:r>
          </w:p>
        </w:tc>
        <w:tc>
          <w:tcPr>
            <w:tcW w:type="dxa" w:w="2033"/>
            <w:vAlign w:val="top"/>
            <w:shd w:fill="F7F8FA"/>
          </w:tcPr>
          <w:p>
            <w:pPr>
              <w:spacing w:after="20"/>
            </w:pPr>
            <w:r>
              <w:rPr>
                <w:sz w:val="16"/>
              </w:rPr>
              <w:t>12 000 XOF</w:t>
            </w:r>
          </w:p>
        </w:tc>
        <w:tc>
          <w:tcPr>
            <w:tcW w:type="dxa" w:w="2033"/>
            <w:vAlign w:val="top"/>
            <w:shd w:fill="F7F8FA"/>
          </w:tcPr>
          <w:p>
            <w:pPr>
              <w:spacing w:after="20"/>
            </w:pPr>
            <w:r>
              <w:rPr>
                <w:sz w:val="16"/>
              </w:rPr>
              <w:t>8 000 XOF</w:t>
            </w:r>
          </w:p>
        </w:tc>
        <w:tc>
          <w:tcPr>
            <w:tcW w:type="dxa" w:w="2033"/>
            <w:vAlign w:val="top"/>
            <w:shd w:fill="F7F8FA"/>
          </w:tcPr>
          <w:p>
            <w:pPr>
              <w:spacing w:after="20"/>
            </w:pPr>
            <w:r>
              <w:rPr>
                <w:sz w:val="16"/>
              </w:rPr>
              <w:t>8 000 XOF</w:t>
            </w:r>
          </w:p>
        </w:tc>
        <w:tc>
          <w:tcPr>
            <w:tcW w:type="dxa" w:w="2033"/>
            <w:vAlign w:val="top"/>
            <w:shd w:fill="F7F8FA"/>
          </w:tcPr>
          <w:p>
            <w:pPr>
              <w:spacing w:after="20"/>
            </w:pPr>
            <w:r>
              <w:rPr>
                <w:sz w:val="16"/>
              </w:rPr>
              <w:t>20 000 XOF</w:t>
            </w:r>
          </w:p>
        </w:tc>
      </w:tr>
    </w:tbl>
    <w:p>
      <w:pPr>
        <w:spacing w:after="20"/>
      </w:pPr>
    </w:p>
    <w:tbl>
      <w:tblPr>
        <w:tblStyle w:val="TableGrid"/>
        <w:tblW w:type="auto" w:w="0"/>
        <w:tblLook w:firstColumn="1" w:firstRow="1" w:lastColumn="0" w:lastRow="0" w:noHBand="0" w:noVBand="1" w:val="04A0"/>
        <w:tblBorders>
          <w:top w:val="single" w:sz="4" w:space="0" w:color="C9D2DF"/>
          <w:left w:val="single" w:sz="4" w:space="0" w:color="C9D2DF"/>
          <w:bottom w:val="single" w:sz="4" w:space="0" w:color="C9D2DF"/>
          <w:right w:val="single" w:sz="4" w:space="0" w:color="C9D2DF"/>
          <w:insideH w:val="single" w:sz="4" w:space="0" w:color="C9D2DF"/>
          <w:insideV w:val="single" w:sz="4" w:space="0" w:color="C9D2DF"/>
        </w:tblBorders>
      </w:tblPr>
      <w:tblGrid>
        <w:gridCol w:w="10166"/>
      </w:tblGrid>
      <w:tr>
        <w:tc>
          <w:tcPr>
            <w:tcW w:type="dxa" w:w="10166"/>
            <w:shd w:fill="FFF7E7"/>
          </w:tcPr>
          <w:p>
            <w:r>
              <w:rPr>
                <w:b/>
                <w:color w:val="B78419"/>
              </w:rPr>
              <w:t xml:space="preserve">Interprétation comptable retenue — </w:t>
            </w:r>
            <w:r>
              <w:t>La garantie est traitée comme un montant de sécurité suivi séparément et remboursable dans le scénario de perte ; le coût opérationnel est le coût du service de transport. Le destinataire final de la garantie en cas de succès et le contrat économique exact avec chaque compagnie doivent être alignés dans le contrat partenaire.</w:t>
            </w:r>
          </w:p>
        </w:tc>
      </w:tr>
    </w:tbl>
    <w:p>
      <w:pPr>
        <w:spacing w:after="20"/>
      </w:pPr>
    </w:p>
    <w:p>
      <w:pPr>
        <w:pStyle w:val="Heading1"/>
        <w:keepNext/>
      </w:pPr>
      <w:r>
        <w:t>12. Perte, litige et remboursement</w:t>
      </w:r>
    </w:p>
    <w:p>
      <w:r>
        <w:t>V58 ajoute un état d’expédition `lost` pour ne pas traiter une perte comme une simple annulation de commande.</w:t>
      </w:r>
    </w:p>
    <w:tbl>
      <w:tblPr>
        <w:tblStyle w:val="TableGrid"/>
        <w:tblW w:type="auto" w:w="0"/>
        <w:jc w:val="center"/>
        <w:tblLook w:firstColumn="1" w:firstRow="1" w:lastColumn="0" w:lastRow="0" w:noHBand="0" w:noVBand="1" w:val="04A0"/>
        <w:tblBorders>
          <w:top w:val="single" w:sz="4" w:space="0" w:color="D8DDE5"/>
          <w:left w:val="single" w:sz="4" w:space="0" w:color="D8DDE5"/>
          <w:bottom w:val="single" w:sz="4" w:space="0" w:color="D8DDE5"/>
          <w:right w:val="single" w:sz="4" w:space="0" w:color="D8DDE5"/>
          <w:insideH w:val="single" w:sz="4" w:space="0" w:color="D8DDE5"/>
          <w:insideV w:val="single" w:sz="4" w:space="0" w:color="D8DDE5"/>
        </w:tblBorders>
      </w:tblPr>
      <w:tblGrid>
        <w:gridCol w:w="5083"/>
        <w:gridCol w:w="5083"/>
      </w:tblGrid>
      <w:tr>
        <w:trPr>
          <w:tblHeader w:val="true"/>
        </w:trPr>
        <w:tc>
          <w:tcPr>
            <w:tcW w:type="dxa" w:w="5083"/>
            <w:shd w:fill="1F355B"/>
            <w:vAlign w:val="center"/>
          </w:tcPr>
          <w:p>
            <w:pPr>
              <w:jc w:val="left"/>
            </w:pPr>
            <w:r>
              <w:rPr>
                <w:b/>
                <w:color w:val="FFFFFF"/>
                <w:sz w:val="16"/>
              </w:rPr>
              <w:t>Action</w:t>
            </w:r>
          </w:p>
        </w:tc>
        <w:tc>
          <w:tcPr>
            <w:tcW w:type="dxa" w:w="5083"/>
            <w:shd w:fill="1F355B"/>
            <w:vAlign w:val="center"/>
          </w:tcPr>
          <w:p>
            <w:pPr>
              <w:jc w:val="left"/>
            </w:pPr>
            <w:r>
              <w:rPr>
                <w:b/>
                <w:color w:val="FFFFFF"/>
                <w:sz w:val="16"/>
              </w:rPr>
              <w:t>Effet</w:t>
            </w:r>
          </w:p>
        </w:tc>
      </w:tr>
      <w:tr>
        <w:tc>
          <w:tcPr>
            <w:tcW w:type="dxa" w:w="5083"/>
            <w:vAlign w:val="top"/>
            <w:shd w:fill="F7F8FA"/>
          </w:tcPr>
          <w:p>
            <w:pPr>
              <w:spacing w:after="20"/>
            </w:pPr>
            <w:r>
              <w:rPr>
                <w:sz w:val="16"/>
              </w:rPr>
              <w:t>Déclaration admin/opérationnelle</w:t>
            </w:r>
          </w:p>
        </w:tc>
        <w:tc>
          <w:tcPr>
            <w:tcW w:type="dxa" w:w="5083"/>
            <w:vAlign w:val="top"/>
            <w:shd w:fill="F7F8FA"/>
          </w:tcPr>
          <w:p>
            <w:pPr>
              <w:spacing w:after="20"/>
            </w:pPr>
            <w:r>
              <w:rPr>
                <w:sz w:val="16"/>
              </w:rPr>
              <w:t>Le shipment passe à `lost` et conserve motif, acteur et horodatage.</w:t>
            </w:r>
          </w:p>
        </w:tc>
      </w:tr>
      <w:tr>
        <w:tc>
          <w:tcPr>
            <w:tcW w:type="dxa" w:w="5083"/>
            <w:vAlign w:val="top"/>
          </w:tcPr>
          <w:p>
            <w:pPr>
              <w:spacing w:after="20"/>
            </w:pPr>
            <w:r>
              <w:rPr>
                <w:sz w:val="16"/>
              </w:rPr>
              <w:t>Événement</w:t>
            </w:r>
          </w:p>
        </w:tc>
        <w:tc>
          <w:tcPr>
            <w:tcW w:type="dxa" w:w="5083"/>
            <w:vAlign w:val="top"/>
          </w:tcPr>
          <w:p>
            <w:pPr>
              <w:spacing w:after="20"/>
            </w:pPr>
            <w:r>
              <w:rPr>
                <w:sz w:val="16"/>
              </w:rPr>
              <w:t>Un événement `lost` est ajouté au journal d’expédition.</w:t>
            </w:r>
          </w:p>
        </w:tc>
      </w:tr>
      <w:tr>
        <w:tc>
          <w:tcPr>
            <w:tcW w:type="dxa" w:w="5083"/>
            <w:vAlign w:val="top"/>
            <w:shd w:fill="F7F8FA"/>
          </w:tcPr>
          <w:p>
            <w:pPr>
              <w:spacing w:after="20"/>
            </w:pPr>
            <w:r>
              <w:rPr>
                <w:sz w:val="16"/>
              </w:rPr>
              <w:t>Garantie financée</w:t>
            </w:r>
          </w:p>
        </w:tc>
        <w:tc>
          <w:tcPr>
            <w:tcW w:type="dxa" w:w="5083"/>
            <w:vAlign w:val="top"/>
            <w:shd w:fill="F7F8FA"/>
          </w:tcPr>
          <w:p>
            <w:pPr>
              <w:spacing w:after="20"/>
            </w:pPr>
            <w:r>
              <w:rPr>
                <w:sz w:val="16"/>
              </w:rPr>
              <w:t>La garantie restante est remboursée au client et le montant est enregistré comme remboursé.</w:t>
            </w:r>
          </w:p>
        </w:tc>
      </w:tr>
      <w:tr>
        <w:tc>
          <w:tcPr>
            <w:tcW w:type="dxa" w:w="5083"/>
            <w:vAlign w:val="top"/>
          </w:tcPr>
          <w:p>
            <w:pPr>
              <w:spacing w:after="20"/>
            </w:pPr>
            <w:r>
              <w:rPr>
                <w:sz w:val="16"/>
              </w:rPr>
              <w:t>Commande</w:t>
            </w:r>
          </w:p>
        </w:tc>
        <w:tc>
          <w:tcPr>
            <w:tcW w:type="dxa" w:w="5083"/>
            <w:vAlign w:val="top"/>
          </w:tcPr>
          <w:p>
            <w:pPr>
              <w:spacing w:after="20"/>
            </w:pPr>
            <w:r>
              <w:rPr>
                <w:sz w:val="16"/>
              </w:rPr>
              <w:t>Le statut devient `disputed` pour laisser le workflow de litige traiter la suite.</w:t>
            </w:r>
          </w:p>
        </w:tc>
      </w:tr>
      <w:tr>
        <w:tc>
          <w:tcPr>
            <w:tcW w:type="dxa" w:w="5083"/>
            <w:vAlign w:val="top"/>
            <w:shd w:fill="F7F8FA"/>
          </w:tcPr>
          <w:p>
            <w:pPr>
              <w:spacing w:after="20"/>
            </w:pPr>
            <w:r>
              <w:rPr>
                <w:sz w:val="16"/>
              </w:rPr>
              <w:t>Remboursement ultérieur</w:t>
            </w:r>
          </w:p>
        </w:tc>
        <w:tc>
          <w:tcPr>
            <w:tcW w:type="dxa" w:w="5083"/>
            <w:vAlign w:val="top"/>
            <w:shd w:fill="F7F8FA"/>
          </w:tcPr>
          <w:p>
            <w:pPr>
              <w:spacing w:after="20"/>
            </w:pPr>
            <w:r>
              <w:rPr>
                <w:sz w:val="16"/>
              </w:rPr>
              <w:t>Le mécanisme de refund tient compte de la garantie déjà reversée pour éviter un double remboursement.</w:t>
            </w:r>
          </w:p>
        </w:tc>
      </w:tr>
    </w:tbl>
    <w:p>
      <w:pPr>
        <w:spacing w:after="20"/>
      </w:pPr>
    </w:p>
    <w:p>
      <w:r>
        <w:t>La V58 ne fabrique pas un droit automatique non demandé de remboursement intégral du colis : la valeur marchandise et les autres montants restent soumis aux mécanismes de litige/remboursement existants et à la politique commerciale de LIVI.</w:t>
      </w:r>
    </w:p>
    <w:p>
      <w:pPr>
        <w:pStyle w:val="Heading1"/>
        <w:keepNext/>
      </w:pPr>
      <w:r>
        <w:t>13. Paiement, escrow et finance</w:t>
      </w:r>
    </w:p>
    <w:p>
      <w:r>
        <w:t>Le projet contient déjà un système de paiement partenaire, des webhooks HMAC, un registre d’événements de paiement idempotent, des comptes ledger et un escrow reliant paiement, livraison et libération.</w:t>
      </w:r>
    </w:p>
    <w:tbl>
      <w:tblPr>
        <w:tblStyle w:val="TableGrid"/>
        <w:tblW w:type="auto" w:w="0"/>
        <w:jc w:val="center"/>
        <w:tblLook w:firstColumn="1" w:firstRow="1" w:lastColumn="0" w:lastRow="0" w:noHBand="0" w:noVBand="1" w:val="04A0"/>
        <w:tblBorders>
          <w:top w:val="single" w:sz="4" w:space="0" w:color="D8DDE5"/>
          <w:left w:val="single" w:sz="4" w:space="0" w:color="D8DDE5"/>
          <w:bottom w:val="single" w:sz="4" w:space="0" w:color="D8DDE5"/>
          <w:right w:val="single" w:sz="4" w:space="0" w:color="D8DDE5"/>
          <w:insideH w:val="single" w:sz="4" w:space="0" w:color="D8DDE5"/>
          <w:insideV w:val="single" w:sz="4" w:space="0" w:color="D8DDE5"/>
        </w:tblBorders>
      </w:tblPr>
      <w:tblGrid>
        <w:gridCol w:w="5083"/>
        <w:gridCol w:w="5083"/>
      </w:tblGrid>
      <w:tr>
        <w:trPr>
          <w:tblHeader w:val="true"/>
        </w:trPr>
        <w:tc>
          <w:tcPr>
            <w:tcW w:type="dxa" w:w="5083"/>
            <w:shd w:fill="1F355B"/>
            <w:vAlign w:val="center"/>
          </w:tcPr>
          <w:p>
            <w:pPr>
              <w:jc w:val="left"/>
            </w:pPr>
            <w:r>
              <w:rPr>
                <w:b/>
                <w:color w:val="FFFFFF"/>
                <w:sz w:val="16"/>
              </w:rPr>
              <w:t>Mécanisme</w:t>
            </w:r>
          </w:p>
        </w:tc>
        <w:tc>
          <w:tcPr>
            <w:tcW w:type="dxa" w:w="5083"/>
            <w:shd w:fill="1F355B"/>
            <w:vAlign w:val="center"/>
          </w:tcPr>
          <w:p>
            <w:pPr>
              <w:jc w:val="left"/>
            </w:pPr>
            <w:r>
              <w:rPr>
                <w:b/>
                <w:color w:val="FFFFFF"/>
                <w:sz w:val="16"/>
              </w:rPr>
              <w:t>Fonctionnement</w:t>
            </w:r>
          </w:p>
        </w:tc>
      </w:tr>
      <w:tr>
        <w:tc>
          <w:tcPr>
            <w:tcW w:type="dxa" w:w="5083"/>
            <w:vAlign w:val="top"/>
            <w:shd w:fill="F7F8FA"/>
          </w:tcPr>
          <w:p>
            <w:pPr>
              <w:spacing w:after="20"/>
            </w:pPr>
            <w:r>
              <w:rPr>
                <w:sz w:val="16"/>
              </w:rPr>
              <w:t>Payment init</w:t>
            </w:r>
          </w:p>
        </w:tc>
        <w:tc>
          <w:tcPr>
            <w:tcW w:type="dxa" w:w="5083"/>
            <w:vAlign w:val="top"/>
            <w:shd w:fill="F7F8FA"/>
          </w:tcPr>
          <w:p>
            <w:pPr>
              <w:spacing w:after="20"/>
            </w:pPr>
            <w:r>
              <w:rPr>
                <w:sz w:val="16"/>
              </w:rPr>
              <w:t>Référence de paiement créée dans une transaction ; les retries réutilisent l’instruction existante.</w:t>
            </w:r>
          </w:p>
        </w:tc>
      </w:tr>
      <w:tr>
        <w:tc>
          <w:tcPr>
            <w:tcW w:type="dxa" w:w="5083"/>
            <w:vAlign w:val="top"/>
          </w:tcPr>
          <w:p>
            <w:pPr>
              <w:spacing w:after="20"/>
            </w:pPr>
            <w:r>
              <w:rPr>
                <w:sz w:val="16"/>
              </w:rPr>
              <w:t>Webhook</w:t>
            </w:r>
          </w:p>
        </w:tc>
        <w:tc>
          <w:tcPr>
            <w:tcW w:type="dxa" w:w="5083"/>
            <w:vAlign w:val="top"/>
          </w:tcPr>
          <w:p>
            <w:pPr>
              <w:spacing w:after="20"/>
            </w:pPr>
            <w:r>
              <w:rPr>
                <w:sz w:val="16"/>
              </w:rPr>
              <w:t>Signature HMAC, event_id, montant attendu, référence escrow, protection contre les événements hors séquence.</w:t>
            </w:r>
          </w:p>
        </w:tc>
      </w:tr>
      <w:tr>
        <w:tc>
          <w:tcPr>
            <w:tcW w:type="dxa" w:w="5083"/>
            <w:vAlign w:val="top"/>
            <w:shd w:fill="F7F8FA"/>
          </w:tcPr>
          <w:p>
            <w:pPr>
              <w:spacing w:after="20"/>
            </w:pPr>
            <w:r>
              <w:rPr>
                <w:sz w:val="16"/>
              </w:rPr>
              <w:t>Escrow</w:t>
            </w:r>
          </w:p>
        </w:tc>
        <w:tc>
          <w:tcPr>
            <w:tcW w:type="dxa" w:w="5083"/>
            <w:vAlign w:val="top"/>
            <w:shd w:fill="F7F8FA"/>
          </w:tcPr>
          <w:p>
            <w:pPr>
              <w:spacing w:after="20"/>
            </w:pPr>
            <w:r>
              <w:rPr>
                <w:sz w:val="16"/>
              </w:rPr>
              <w:t>Les fonds restent sécurisés jusqu’à la condition de livraison correspondante.</w:t>
            </w:r>
          </w:p>
        </w:tc>
      </w:tr>
      <w:tr>
        <w:tc>
          <w:tcPr>
            <w:tcW w:type="dxa" w:w="5083"/>
            <w:vAlign w:val="top"/>
          </w:tcPr>
          <w:p>
            <w:pPr>
              <w:spacing w:after="20"/>
            </w:pPr>
            <w:r>
              <w:rPr>
                <w:sz w:val="16"/>
              </w:rPr>
              <w:t>Commission</w:t>
            </w:r>
          </w:p>
        </w:tc>
        <w:tc>
          <w:tcPr>
            <w:tcW w:type="dxa" w:w="5083"/>
            <w:vAlign w:val="top"/>
          </w:tcPr>
          <w:p>
            <w:pPr>
              <w:spacing w:after="20"/>
            </w:pPr>
            <w:r>
              <w:rPr>
                <w:sz w:val="16"/>
              </w:rPr>
              <w:t>Taux et montant net vendeur sont capturés à la création de la commande afin d’éviter les variations de commission entre commande et libération.</w:t>
            </w:r>
          </w:p>
        </w:tc>
      </w:tr>
      <w:tr>
        <w:tc>
          <w:tcPr>
            <w:tcW w:type="dxa" w:w="5083"/>
            <w:vAlign w:val="top"/>
            <w:shd w:fill="F7F8FA"/>
          </w:tcPr>
          <w:p>
            <w:pPr>
              <w:spacing w:after="20"/>
            </w:pPr>
            <w:r>
              <w:rPr>
                <w:sz w:val="16"/>
              </w:rPr>
              <w:t>Ledger</w:t>
            </w:r>
          </w:p>
        </w:tc>
        <w:tc>
          <w:tcPr>
            <w:tcW w:type="dxa" w:w="5083"/>
            <w:vAlign w:val="top"/>
            <w:shd w:fill="F7F8FA"/>
          </w:tcPr>
          <w:p>
            <w:pPr>
              <w:spacing w:after="20"/>
            </w:pPr>
            <w:r>
              <w:rPr>
                <w:sz w:val="16"/>
              </w:rPr>
              <w:t>`postBalanced` refuse toute écriture dont la somme des mouvements n’est pas nulle.</w:t>
            </w:r>
          </w:p>
        </w:tc>
      </w:tr>
      <w:tr>
        <w:tc>
          <w:tcPr>
            <w:tcW w:type="dxa" w:w="5083"/>
            <w:vAlign w:val="top"/>
          </w:tcPr>
          <w:p>
            <w:pPr>
              <w:spacing w:after="20"/>
            </w:pPr>
            <w:r>
              <w:rPr>
                <w:sz w:val="16"/>
              </w:rPr>
              <w:t>Partenaire interville</w:t>
            </w:r>
          </w:p>
        </w:tc>
        <w:tc>
          <w:tcPr>
            <w:tcW w:type="dxa" w:w="5083"/>
            <w:vAlign w:val="top"/>
          </w:tcPr>
          <w:p>
            <w:pPr>
              <w:spacing w:after="20"/>
            </w:pPr>
            <w:r>
              <w:rPr>
                <w:sz w:val="16"/>
              </w:rPr>
              <w:t>V58 utilise un compte de passif partenaire dédié pour éviter de solder une livraison interville sur un transporteur urbain inexistant.</w:t>
            </w:r>
          </w:p>
        </w:tc>
      </w:tr>
    </w:tbl>
    <w:p>
      <w:pPr>
        <w:spacing w:after="20"/>
      </w:pPr>
    </w:p>
    <w:p>
      <w:pPr>
        <w:pStyle w:val="Heading1"/>
        <w:keepNext/>
      </w:pPr>
      <w:r>
        <w:t>14. Transporteur urbain</w:t>
      </w:r>
    </w:p>
    <w:p>
      <w:r>
        <w:t>Le transporteur reste un profil urbain. Il ne devient pas “compagnie interville”. Les compagnies interville sont gérées comme partenaires logistiques externes, avec des points physiques et des instructions partenaires.</w:t>
      </w:r>
    </w:p>
    <w:p>
      <w:pPr>
        <w:pStyle w:val="ListBullet"/>
        <w:spacing w:after="40"/>
        <w:ind w:left="317"/>
      </w:pPr>
      <w:r>
        <w:t>Profil et disponibilité online/offline/busy.</w:t>
      </w:r>
    </w:p>
    <w:p>
      <w:pPr>
        <w:pStyle w:val="ListBullet"/>
        <w:spacing w:after="40"/>
        <w:ind w:left="317"/>
      </w:pPr>
      <w:r>
        <w:t>Dispatch séquentiel avec offre temporaire.</w:t>
      </w:r>
    </w:p>
    <w:p>
      <w:pPr>
        <w:pStyle w:val="ListBullet"/>
        <w:spacing w:after="40"/>
        <w:ind w:left="317"/>
      </w:pPr>
      <w:r>
        <w:t>Protection contre deux missions actives simultanément.</w:t>
      </w:r>
    </w:p>
    <w:p>
      <w:pPr>
        <w:pStyle w:val="ListBullet"/>
        <w:spacing w:after="40"/>
        <w:ind w:left="317"/>
      </w:pPr>
      <w:r>
        <w:t>Acceptation atomique d’une mission.</w:t>
      </w:r>
    </w:p>
    <w:p>
      <w:pPr>
        <w:pStyle w:val="ListBullet"/>
        <w:spacing w:after="40"/>
        <w:ind w:left="317"/>
      </w:pPr>
      <w:r>
        <w:t>Preuve pickup et preuve delivery par PIN/QR.</w:t>
      </w:r>
    </w:p>
    <w:p>
      <w:pPr>
        <w:pStyle w:val="ListBullet"/>
        <w:spacing w:after="40"/>
        <w:ind w:left="317"/>
      </w:pPr>
      <w:r>
        <w:t>Arrivée et événements de position transactionnels.</w:t>
      </w:r>
    </w:p>
    <w:p>
      <w:pPr>
        <w:pStyle w:val="ListBullet"/>
        <w:spacing w:after="40"/>
        <w:ind w:left="317"/>
      </w:pPr>
      <w:r>
        <w:t>Wallet, revenus, historique et retrait.</w:t>
      </w:r>
    </w:p>
    <w:p>
      <w:pPr>
        <w:pStyle w:val="ListBullet"/>
        <w:spacing w:after="40"/>
        <w:ind w:left="317"/>
      </w:pPr>
      <w:r>
        <w:t>Configuration véhicule et KYC.</w:t>
      </w:r>
    </w:p>
    <w:p>
      <w:pPr>
        <w:pStyle w:val="Heading1"/>
        <w:keepNext/>
      </w:pPr>
      <w:r>
        <w:t>15. Vendeur : commerce, stock et revenus</w:t>
      </w:r>
    </w:p>
    <w:tbl>
      <w:tblPr>
        <w:tblStyle w:val="TableGrid"/>
        <w:tblW w:type="auto" w:w="0"/>
        <w:jc w:val="center"/>
        <w:tblLook w:firstColumn="1" w:firstRow="1" w:lastColumn="0" w:lastRow="0" w:noHBand="0" w:noVBand="1" w:val="04A0"/>
        <w:tblBorders>
          <w:top w:val="single" w:sz="4" w:space="0" w:color="D8DDE5"/>
          <w:left w:val="single" w:sz="4" w:space="0" w:color="D8DDE5"/>
          <w:bottom w:val="single" w:sz="4" w:space="0" w:color="D8DDE5"/>
          <w:right w:val="single" w:sz="4" w:space="0" w:color="D8DDE5"/>
          <w:insideH w:val="single" w:sz="4" w:space="0" w:color="D8DDE5"/>
          <w:insideV w:val="single" w:sz="4" w:space="0" w:color="D8DDE5"/>
        </w:tblBorders>
      </w:tblPr>
      <w:tblGrid>
        <w:gridCol w:w="5083"/>
        <w:gridCol w:w="5083"/>
      </w:tblGrid>
      <w:tr>
        <w:trPr>
          <w:tblHeader w:val="true"/>
        </w:trPr>
        <w:tc>
          <w:tcPr>
            <w:tcW w:type="dxa" w:w="5083"/>
            <w:shd w:fill="1F355B"/>
            <w:vAlign w:val="center"/>
          </w:tcPr>
          <w:p>
            <w:pPr>
              <w:jc w:val="left"/>
            </w:pPr>
            <w:r>
              <w:rPr>
                <w:b/>
                <w:color w:val="FFFFFF"/>
                <w:sz w:val="16"/>
              </w:rPr>
              <w:t>Module</w:t>
            </w:r>
          </w:p>
        </w:tc>
        <w:tc>
          <w:tcPr>
            <w:tcW w:type="dxa" w:w="5083"/>
            <w:shd w:fill="1F355B"/>
            <w:vAlign w:val="center"/>
          </w:tcPr>
          <w:p>
            <w:pPr>
              <w:jc w:val="left"/>
            </w:pPr>
            <w:r>
              <w:rPr>
                <w:b/>
                <w:color w:val="FFFFFF"/>
                <w:sz w:val="16"/>
              </w:rPr>
              <w:t>Fonctionnalités</w:t>
            </w:r>
          </w:p>
        </w:tc>
      </w:tr>
      <w:tr>
        <w:tc>
          <w:tcPr>
            <w:tcW w:type="dxa" w:w="5083"/>
            <w:vAlign w:val="top"/>
            <w:shd w:fill="F7F8FA"/>
          </w:tcPr>
          <w:p>
            <w:pPr>
              <w:spacing w:after="20"/>
            </w:pPr>
            <w:r>
              <w:rPr>
                <w:sz w:val="16"/>
              </w:rPr>
              <w:t>Boutique</w:t>
            </w:r>
          </w:p>
        </w:tc>
        <w:tc>
          <w:tcPr>
            <w:tcW w:type="dxa" w:w="5083"/>
            <w:vAlign w:val="top"/>
            <w:shd w:fill="F7F8FA"/>
          </w:tcPr>
          <w:p>
            <w:pPr>
              <w:spacing w:after="20"/>
            </w:pPr>
            <w:r>
              <w:rPr>
                <w:sz w:val="16"/>
              </w:rPr>
              <w:t>Nom, slogan, activité, téléphone, ville, adresse, coordonnées GPS, commission passthrough.</w:t>
            </w:r>
          </w:p>
        </w:tc>
      </w:tr>
      <w:tr>
        <w:tc>
          <w:tcPr>
            <w:tcW w:type="dxa" w:w="5083"/>
            <w:vAlign w:val="top"/>
          </w:tcPr>
          <w:p>
            <w:pPr>
              <w:spacing w:after="20"/>
            </w:pPr>
            <w:r>
              <w:rPr>
                <w:sz w:val="16"/>
              </w:rPr>
              <w:t>Produits</w:t>
            </w:r>
          </w:p>
        </w:tc>
        <w:tc>
          <w:tcPr>
            <w:tcW w:type="dxa" w:w="5083"/>
            <w:vAlign w:val="top"/>
          </w:tcPr>
          <w:p>
            <w:pPr>
              <w:spacing w:after="20"/>
            </w:pPr>
            <w:r>
              <w:rPr>
                <w:sz w:val="16"/>
              </w:rPr>
              <w:t>Création, édition, publication, pause, archivage, stock.</w:t>
            </w:r>
          </w:p>
        </w:tc>
      </w:tr>
      <w:tr>
        <w:tc>
          <w:tcPr>
            <w:tcW w:type="dxa" w:w="5083"/>
            <w:vAlign w:val="top"/>
            <w:shd w:fill="F7F8FA"/>
          </w:tcPr>
          <w:p>
            <w:pPr>
              <w:spacing w:after="20"/>
            </w:pPr>
            <w:r>
              <w:rPr>
                <w:sz w:val="16"/>
              </w:rPr>
              <w:t>Catégories</w:t>
            </w:r>
          </w:p>
        </w:tc>
        <w:tc>
          <w:tcPr>
            <w:tcW w:type="dxa" w:w="5083"/>
            <w:vAlign w:val="top"/>
            <w:shd w:fill="F7F8FA"/>
          </w:tcPr>
          <w:p>
            <w:pPr>
              <w:spacing w:after="20"/>
            </w:pPr>
            <w:r>
              <w:rPr>
                <w:sz w:val="16"/>
              </w:rPr>
              <w:t>Catégorie principale + catégories multiples.</w:t>
            </w:r>
          </w:p>
        </w:tc>
      </w:tr>
      <w:tr>
        <w:tc>
          <w:tcPr>
            <w:tcW w:type="dxa" w:w="5083"/>
            <w:vAlign w:val="top"/>
          </w:tcPr>
          <w:p>
            <w:pPr>
              <w:spacing w:after="20"/>
            </w:pPr>
            <w:r>
              <w:rPr>
                <w:sz w:val="16"/>
              </w:rPr>
              <w:t>Variantes</w:t>
            </w:r>
          </w:p>
        </w:tc>
        <w:tc>
          <w:tcPr>
            <w:tcW w:type="dxa" w:w="5083"/>
            <w:vAlign w:val="top"/>
          </w:tcPr>
          <w:p>
            <w:pPr>
              <w:spacing w:after="20"/>
            </w:pPr>
            <w:r>
              <w:rPr>
                <w:sz w:val="16"/>
              </w:rPr>
              <w:t>SKU, attributs, prix, stock, statut.</w:t>
            </w:r>
          </w:p>
        </w:tc>
      </w:tr>
      <w:tr>
        <w:tc>
          <w:tcPr>
            <w:tcW w:type="dxa" w:w="5083"/>
            <w:vAlign w:val="top"/>
            <w:shd w:fill="F7F8FA"/>
          </w:tcPr>
          <w:p>
            <w:pPr>
              <w:spacing w:after="20"/>
            </w:pPr>
            <w:r>
              <w:rPr>
                <w:sz w:val="16"/>
              </w:rPr>
              <w:t>Prix par volume</w:t>
            </w:r>
          </w:p>
        </w:tc>
        <w:tc>
          <w:tcPr>
            <w:tcW w:type="dxa" w:w="5083"/>
            <w:vAlign w:val="top"/>
            <w:shd w:fill="F7F8FA"/>
          </w:tcPr>
          <w:p>
            <w:pPr>
              <w:spacing w:after="20"/>
            </w:pPr>
            <w:r>
              <w:rPr>
                <w:sz w:val="16"/>
              </w:rPr>
              <w:t>Paliers de quantité avec sélection serveur du palier applicable.</w:t>
            </w:r>
          </w:p>
        </w:tc>
      </w:tr>
      <w:tr>
        <w:tc>
          <w:tcPr>
            <w:tcW w:type="dxa" w:w="5083"/>
            <w:vAlign w:val="top"/>
          </w:tcPr>
          <w:p>
            <w:pPr>
              <w:spacing w:after="20"/>
            </w:pPr>
            <w:r>
              <w:rPr>
                <w:sz w:val="16"/>
              </w:rPr>
              <w:t>Préparation</w:t>
            </w:r>
          </w:p>
        </w:tc>
        <w:tc>
          <w:tcPr>
            <w:tcW w:type="dxa" w:w="5083"/>
            <w:vAlign w:val="top"/>
          </w:tcPr>
          <w:p>
            <w:pPr>
              <w:spacing w:after="20"/>
            </w:pPr>
            <w:r>
              <w:rPr>
                <w:sz w:val="16"/>
              </w:rPr>
              <w:t>1/2/3/4/12/24 h et contrôle serveur.</w:t>
            </w:r>
          </w:p>
        </w:tc>
      </w:tr>
      <w:tr>
        <w:tc>
          <w:tcPr>
            <w:tcW w:type="dxa" w:w="5083"/>
            <w:vAlign w:val="top"/>
            <w:shd w:fill="F7F8FA"/>
          </w:tcPr>
          <w:p>
            <w:pPr>
              <w:spacing w:after="20"/>
            </w:pPr>
            <w:r>
              <w:rPr>
                <w:sz w:val="16"/>
              </w:rPr>
              <w:t>Conservation</w:t>
            </w:r>
          </w:p>
        </w:tc>
        <w:tc>
          <w:tcPr>
            <w:tcW w:type="dxa" w:w="5083"/>
            <w:vAlign w:val="top"/>
            <w:shd w:fill="F7F8FA"/>
          </w:tcPr>
          <w:p>
            <w:pPr>
              <w:spacing w:after="20"/>
            </w:pPr>
            <w:r>
              <w:rPr>
                <w:sz w:val="16"/>
              </w:rPr>
              <w:t>Périssable, production/récolte, shelf-life, conditions de stockage.</w:t>
            </w:r>
          </w:p>
        </w:tc>
      </w:tr>
      <w:tr>
        <w:tc>
          <w:tcPr>
            <w:tcW w:type="dxa" w:w="5083"/>
            <w:vAlign w:val="top"/>
          </w:tcPr>
          <w:p>
            <w:pPr>
              <w:spacing w:after="20"/>
            </w:pPr>
            <w:r>
              <w:rPr>
                <w:sz w:val="16"/>
              </w:rPr>
              <w:t>Média</w:t>
            </w:r>
          </w:p>
        </w:tc>
        <w:tc>
          <w:tcPr>
            <w:tcW w:type="dxa" w:w="5083"/>
            <w:vAlign w:val="top"/>
          </w:tcPr>
          <w:p>
            <w:pPr>
              <w:spacing w:after="20"/>
            </w:pPr>
            <w:r>
              <w:rPr>
                <w:sz w:val="16"/>
              </w:rPr>
              <w:t>Photos ; gestion vidéo ; diffusion live.</w:t>
            </w:r>
          </w:p>
        </w:tc>
      </w:tr>
      <w:tr>
        <w:tc>
          <w:tcPr>
            <w:tcW w:type="dxa" w:w="5083"/>
            <w:vAlign w:val="top"/>
            <w:shd w:fill="F7F8FA"/>
          </w:tcPr>
          <w:p>
            <w:pPr>
              <w:spacing w:after="20"/>
            </w:pPr>
            <w:r>
              <w:rPr>
                <w:sz w:val="16"/>
              </w:rPr>
              <w:t>Commandes</w:t>
            </w:r>
          </w:p>
        </w:tc>
        <w:tc>
          <w:tcPr>
            <w:tcW w:type="dxa" w:w="5083"/>
            <w:vAlign w:val="top"/>
            <w:shd w:fill="F7F8FA"/>
          </w:tcPr>
          <w:p>
            <w:pPr>
              <w:spacing w:after="20"/>
            </w:pPr>
            <w:r>
              <w:rPr>
                <w:sz w:val="16"/>
              </w:rPr>
              <w:t>Réception, préparation, pickup proof, détails commande.</w:t>
            </w:r>
          </w:p>
        </w:tc>
      </w:tr>
      <w:tr>
        <w:tc>
          <w:tcPr>
            <w:tcW w:type="dxa" w:w="5083"/>
            <w:vAlign w:val="top"/>
          </w:tcPr>
          <w:p>
            <w:pPr>
              <w:spacing w:after="20"/>
            </w:pPr>
            <w:r>
              <w:rPr>
                <w:sz w:val="16"/>
              </w:rPr>
              <w:t>Finance</w:t>
            </w:r>
          </w:p>
        </w:tc>
        <w:tc>
          <w:tcPr>
            <w:tcW w:type="dxa" w:w="5083"/>
            <w:vAlign w:val="top"/>
          </w:tcPr>
          <w:p>
            <w:pPr>
              <w:spacing w:after="20"/>
            </w:pPr>
            <w:r>
              <w:rPr>
                <w:sz w:val="16"/>
              </w:rPr>
              <w:t>Wallet, transactions, versements, revenus, payouts.</w:t>
            </w:r>
          </w:p>
        </w:tc>
      </w:tr>
      <w:tr>
        <w:tc>
          <w:tcPr>
            <w:tcW w:type="dxa" w:w="5083"/>
            <w:vAlign w:val="top"/>
            <w:shd w:fill="F7F8FA"/>
          </w:tcPr>
          <w:p>
            <w:pPr>
              <w:spacing w:after="20"/>
            </w:pPr>
            <w:r>
              <w:rPr>
                <w:sz w:val="16"/>
              </w:rPr>
              <w:t>KYC</w:t>
            </w:r>
          </w:p>
        </w:tc>
        <w:tc>
          <w:tcPr>
            <w:tcW w:type="dxa" w:w="5083"/>
            <w:vAlign w:val="top"/>
            <w:shd w:fill="F7F8FA"/>
          </w:tcPr>
          <w:p>
            <w:pPr>
              <w:spacing w:after="20"/>
            </w:pPr>
            <w:r>
              <w:rPr>
                <w:sz w:val="16"/>
              </w:rPr>
              <w:t>Soumission et suivi de vérification.</w:t>
            </w:r>
          </w:p>
        </w:tc>
      </w:tr>
      <w:tr>
        <w:tc>
          <w:tcPr>
            <w:tcW w:type="dxa" w:w="5083"/>
            <w:vAlign w:val="top"/>
          </w:tcPr>
          <w:p>
            <w:pPr>
              <w:spacing w:after="20"/>
            </w:pPr>
            <w:r>
              <w:rPr>
                <w:sz w:val="16"/>
              </w:rPr>
              <w:t>Communication</w:t>
            </w:r>
          </w:p>
        </w:tc>
        <w:tc>
          <w:tcPr>
            <w:tcW w:type="dxa" w:w="5083"/>
            <w:vAlign w:val="top"/>
          </w:tcPr>
          <w:p>
            <w:pPr>
              <w:spacing w:after="20"/>
            </w:pPr>
            <w:r>
              <w:rPr>
                <w:sz w:val="16"/>
              </w:rPr>
              <w:t>Messagerie client, notifications.</w:t>
            </w:r>
          </w:p>
        </w:tc>
      </w:tr>
    </w:tbl>
    <w:p>
      <w:pPr>
        <w:spacing w:after="20"/>
      </w:pPr>
    </w:p>
    <w:p>
      <w:pPr>
        <w:pStyle w:val="Heading1"/>
        <w:keepNext/>
      </w:pPr>
      <w:r>
        <w:t>16. Acheteur : expérience et services</w:t>
      </w:r>
    </w:p>
    <w:tbl>
      <w:tblPr>
        <w:tblStyle w:val="TableGrid"/>
        <w:tblW w:type="auto" w:w="0"/>
        <w:jc w:val="center"/>
        <w:tblLook w:firstColumn="1" w:firstRow="1" w:lastColumn="0" w:lastRow="0" w:noHBand="0" w:noVBand="1" w:val="04A0"/>
        <w:tblBorders>
          <w:top w:val="single" w:sz="4" w:space="0" w:color="D8DDE5"/>
          <w:left w:val="single" w:sz="4" w:space="0" w:color="D8DDE5"/>
          <w:bottom w:val="single" w:sz="4" w:space="0" w:color="D8DDE5"/>
          <w:right w:val="single" w:sz="4" w:space="0" w:color="D8DDE5"/>
          <w:insideH w:val="single" w:sz="4" w:space="0" w:color="D8DDE5"/>
          <w:insideV w:val="single" w:sz="4" w:space="0" w:color="D8DDE5"/>
        </w:tblBorders>
      </w:tblPr>
      <w:tblGrid>
        <w:gridCol w:w="5083"/>
        <w:gridCol w:w="5083"/>
      </w:tblGrid>
      <w:tr>
        <w:trPr>
          <w:tblHeader w:val="true"/>
        </w:trPr>
        <w:tc>
          <w:tcPr>
            <w:tcW w:type="dxa" w:w="5083"/>
            <w:shd w:fill="1F355B"/>
            <w:vAlign w:val="center"/>
          </w:tcPr>
          <w:p>
            <w:pPr>
              <w:jc w:val="left"/>
            </w:pPr>
            <w:r>
              <w:rPr>
                <w:b/>
                <w:color w:val="FFFFFF"/>
                <w:sz w:val="16"/>
              </w:rPr>
              <w:t>Fonction</w:t>
            </w:r>
          </w:p>
        </w:tc>
        <w:tc>
          <w:tcPr>
            <w:tcW w:type="dxa" w:w="5083"/>
            <w:shd w:fill="1F355B"/>
            <w:vAlign w:val="center"/>
          </w:tcPr>
          <w:p>
            <w:pPr>
              <w:jc w:val="left"/>
            </w:pPr>
            <w:r>
              <w:rPr>
                <w:b/>
                <w:color w:val="FFFFFF"/>
                <w:sz w:val="16"/>
              </w:rPr>
              <w:t>Comportement</w:t>
            </w:r>
          </w:p>
        </w:tc>
      </w:tr>
      <w:tr>
        <w:tc>
          <w:tcPr>
            <w:tcW w:type="dxa" w:w="5083"/>
            <w:vAlign w:val="top"/>
            <w:shd w:fill="F7F8FA"/>
          </w:tcPr>
          <w:p>
            <w:pPr>
              <w:spacing w:after="20"/>
            </w:pPr>
            <w:r>
              <w:rPr>
                <w:sz w:val="16"/>
              </w:rPr>
              <w:t>Accueil</w:t>
            </w:r>
          </w:p>
        </w:tc>
        <w:tc>
          <w:tcPr>
            <w:tcW w:type="dxa" w:w="5083"/>
            <w:vAlign w:val="top"/>
            <w:shd w:fill="F7F8FA"/>
          </w:tcPr>
          <w:p>
            <w:pPr>
              <w:spacing w:after="20"/>
            </w:pPr>
            <w:r>
              <w:rPr>
                <w:sz w:val="16"/>
              </w:rPr>
              <w:t>Produits, découverte et contenus.</w:t>
            </w:r>
          </w:p>
        </w:tc>
      </w:tr>
      <w:tr>
        <w:tc>
          <w:tcPr>
            <w:tcW w:type="dxa" w:w="5083"/>
            <w:vAlign w:val="top"/>
          </w:tcPr>
          <w:p>
            <w:pPr>
              <w:spacing w:after="20"/>
            </w:pPr>
            <w:r>
              <w:rPr>
                <w:sz w:val="16"/>
              </w:rPr>
              <w:t>Catalogue</w:t>
            </w:r>
          </w:p>
        </w:tc>
        <w:tc>
          <w:tcPr>
            <w:tcW w:type="dxa" w:w="5083"/>
            <w:vAlign w:val="top"/>
          </w:tcPr>
          <w:p>
            <w:pPr>
              <w:spacing w:after="20"/>
            </w:pPr>
            <w:r>
              <w:rPr>
                <w:sz w:val="16"/>
              </w:rPr>
              <w:t>Recherche, liste, fiche produit, variantes, catégories.</w:t>
            </w:r>
          </w:p>
        </w:tc>
      </w:tr>
      <w:tr>
        <w:tc>
          <w:tcPr>
            <w:tcW w:type="dxa" w:w="5083"/>
            <w:vAlign w:val="top"/>
            <w:shd w:fill="F7F8FA"/>
          </w:tcPr>
          <w:p>
            <w:pPr>
              <w:spacing w:after="20"/>
            </w:pPr>
            <w:r>
              <w:rPr>
                <w:sz w:val="16"/>
              </w:rPr>
              <w:t>Panier</w:t>
            </w:r>
          </w:p>
        </w:tc>
        <w:tc>
          <w:tcPr>
            <w:tcW w:type="dxa" w:w="5083"/>
            <w:vAlign w:val="top"/>
            <w:shd w:fill="F7F8FA"/>
          </w:tcPr>
          <w:p>
            <w:pPr>
              <w:spacing w:after="20"/>
            </w:pPr>
            <w:r>
              <w:rPr>
                <w:sz w:val="16"/>
              </w:rPr>
              <w:t>Gestion des quantités et variantes.</w:t>
            </w:r>
          </w:p>
        </w:tc>
      </w:tr>
      <w:tr>
        <w:tc>
          <w:tcPr>
            <w:tcW w:type="dxa" w:w="5083"/>
            <w:vAlign w:val="top"/>
          </w:tcPr>
          <w:p>
            <w:pPr>
              <w:spacing w:after="20"/>
            </w:pPr>
            <w:r>
              <w:rPr>
                <w:sz w:val="16"/>
              </w:rPr>
              <w:t>Checkout</w:t>
            </w:r>
          </w:p>
        </w:tc>
        <w:tc>
          <w:tcPr>
            <w:tcW w:type="dxa" w:w="5083"/>
            <w:vAlign w:val="top"/>
          </w:tcPr>
          <w:p>
            <w:pPr>
              <w:spacing w:after="20"/>
            </w:pPr>
            <w:r>
              <w:rPr>
                <w:sz w:val="16"/>
              </w:rPr>
              <w:t>Adresse, moyen de paiement, devis serveur, choix urbain/interville, point partenaire en interville.</w:t>
            </w:r>
          </w:p>
        </w:tc>
      </w:tr>
      <w:tr>
        <w:tc>
          <w:tcPr>
            <w:tcW w:type="dxa" w:w="5083"/>
            <w:vAlign w:val="top"/>
            <w:shd w:fill="F7F8FA"/>
          </w:tcPr>
          <w:p>
            <w:pPr>
              <w:spacing w:after="20"/>
            </w:pPr>
            <w:r>
              <w:rPr>
                <w:sz w:val="16"/>
              </w:rPr>
              <w:t>Commandes</w:t>
            </w:r>
          </w:p>
        </w:tc>
        <w:tc>
          <w:tcPr>
            <w:tcW w:type="dxa" w:w="5083"/>
            <w:vAlign w:val="top"/>
            <w:shd w:fill="F7F8FA"/>
          </w:tcPr>
          <w:p>
            <w:pPr>
              <w:spacing w:after="20"/>
            </w:pPr>
            <w:r>
              <w:rPr>
                <w:sz w:val="16"/>
              </w:rPr>
              <w:t>Liste, détail, suivi, historique.</w:t>
            </w:r>
          </w:p>
        </w:tc>
      </w:tr>
      <w:tr>
        <w:tc>
          <w:tcPr>
            <w:tcW w:type="dxa" w:w="5083"/>
            <w:vAlign w:val="top"/>
          </w:tcPr>
          <w:p>
            <w:pPr>
              <w:spacing w:after="20"/>
            </w:pPr>
            <w:r>
              <w:rPr>
                <w:sz w:val="16"/>
              </w:rPr>
              <w:t>Suivi</w:t>
            </w:r>
          </w:p>
        </w:tc>
        <w:tc>
          <w:tcPr>
            <w:tcW w:type="dxa" w:w="5083"/>
            <w:vAlign w:val="top"/>
          </w:tcPr>
          <w:p>
            <w:pPr>
              <w:spacing w:after="20"/>
            </w:pPr>
            <w:r>
              <w:rPr>
                <w:sz w:val="16"/>
              </w:rPr>
              <w:t>Préparation, transit, ETA, événements, position lorsqu’elle est disponible.</w:t>
            </w:r>
          </w:p>
        </w:tc>
      </w:tr>
      <w:tr>
        <w:tc>
          <w:tcPr>
            <w:tcW w:type="dxa" w:w="5083"/>
            <w:vAlign w:val="top"/>
            <w:shd w:fill="F7F8FA"/>
          </w:tcPr>
          <w:p>
            <w:pPr>
              <w:spacing w:after="20"/>
            </w:pPr>
            <w:r>
              <w:rPr>
                <w:sz w:val="16"/>
              </w:rPr>
              <w:t>Réception</w:t>
            </w:r>
          </w:p>
        </w:tc>
        <w:tc>
          <w:tcPr>
            <w:tcW w:type="dxa" w:w="5083"/>
            <w:vAlign w:val="top"/>
            <w:shd w:fill="F7F8FA"/>
          </w:tcPr>
          <w:p>
            <w:pPr>
              <w:spacing w:after="20"/>
            </w:pPr>
            <w:r>
              <w:rPr>
                <w:sz w:val="16"/>
              </w:rPr>
              <w:t>PIN/QR et confirmation de livraison.</w:t>
            </w:r>
          </w:p>
        </w:tc>
      </w:tr>
      <w:tr>
        <w:tc>
          <w:tcPr>
            <w:tcW w:type="dxa" w:w="5083"/>
            <w:vAlign w:val="top"/>
          </w:tcPr>
          <w:p>
            <w:pPr>
              <w:spacing w:after="20"/>
            </w:pPr>
            <w:r>
              <w:rPr>
                <w:sz w:val="16"/>
              </w:rPr>
              <w:t>Wallet</w:t>
            </w:r>
          </w:p>
        </w:tc>
        <w:tc>
          <w:tcPr>
            <w:tcW w:type="dxa" w:w="5083"/>
            <w:vAlign w:val="top"/>
          </w:tcPr>
          <w:p>
            <w:pPr>
              <w:spacing w:after="20"/>
            </w:pPr>
            <w:r>
              <w:rPr>
                <w:sz w:val="16"/>
              </w:rPr>
              <w:t>Solde, transactions, retrait, détails.</w:t>
            </w:r>
          </w:p>
        </w:tc>
      </w:tr>
      <w:tr>
        <w:tc>
          <w:tcPr>
            <w:tcW w:type="dxa" w:w="5083"/>
            <w:vAlign w:val="top"/>
            <w:shd w:fill="F7F8FA"/>
          </w:tcPr>
          <w:p>
            <w:pPr>
              <w:spacing w:after="20"/>
            </w:pPr>
            <w:r>
              <w:rPr>
                <w:sz w:val="16"/>
              </w:rPr>
              <w:t>Escrow</w:t>
            </w:r>
          </w:p>
        </w:tc>
        <w:tc>
          <w:tcPr>
            <w:tcW w:type="dxa" w:w="5083"/>
            <w:vAlign w:val="top"/>
            <w:shd w:fill="F7F8FA"/>
          </w:tcPr>
          <w:p>
            <w:pPr>
              <w:spacing w:after="20"/>
            </w:pPr>
            <w:r>
              <w:rPr>
                <w:sz w:val="16"/>
              </w:rPr>
              <w:t>Dépôt/paiement et état des fonds.</w:t>
            </w:r>
          </w:p>
        </w:tc>
      </w:tr>
      <w:tr>
        <w:tc>
          <w:tcPr>
            <w:tcW w:type="dxa" w:w="5083"/>
            <w:vAlign w:val="top"/>
          </w:tcPr>
          <w:p>
            <w:pPr>
              <w:spacing w:after="20"/>
            </w:pPr>
            <w:r>
              <w:rPr>
                <w:sz w:val="16"/>
              </w:rPr>
              <w:t>Litiges / remboursements</w:t>
            </w:r>
          </w:p>
        </w:tc>
        <w:tc>
          <w:tcPr>
            <w:tcW w:type="dxa" w:w="5083"/>
            <w:vAlign w:val="top"/>
          </w:tcPr>
          <w:p>
            <w:pPr>
              <w:spacing w:after="20"/>
            </w:pPr>
            <w:r>
              <w:rPr>
                <w:sz w:val="16"/>
              </w:rPr>
              <w:t>Ouverture, suivi et remboursements selon le workflow.</w:t>
            </w:r>
          </w:p>
        </w:tc>
      </w:tr>
      <w:tr>
        <w:tc>
          <w:tcPr>
            <w:tcW w:type="dxa" w:w="5083"/>
            <w:vAlign w:val="top"/>
            <w:shd w:fill="F7F8FA"/>
          </w:tcPr>
          <w:p>
            <w:pPr>
              <w:spacing w:after="20"/>
            </w:pPr>
            <w:r>
              <w:rPr>
                <w:sz w:val="16"/>
              </w:rPr>
              <w:t>Contenu</w:t>
            </w:r>
          </w:p>
        </w:tc>
        <w:tc>
          <w:tcPr>
            <w:tcW w:type="dxa" w:w="5083"/>
            <w:vAlign w:val="top"/>
            <w:shd w:fill="F7F8FA"/>
          </w:tcPr>
          <w:p>
            <w:pPr>
              <w:spacing w:after="20"/>
            </w:pPr>
            <w:r>
              <w:rPr>
                <w:sz w:val="16"/>
              </w:rPr>
              <w:t>Feed social, live shopping, messagerie.</w:t>
            </w:r>
          </w:p>
        </w:tc>
      </w:tr>
    </w:tbl>
    <w:p>
      <w:pPr>
        <w:spacing w:after="20"/>
      </w:pPr>
    </w:p>
    <w:p>
      <w:pPr>
        <w:pStyle w:val="Heading1"/>
        <w:keepNext/>
      </w:pPr>
      <w:r>
        <w:t>17. Administration et contrôle</w:t>
      </w:r>
    </w:p>
    <w:p>
      <w:r>
        <w:t>Le tableau de bord administrateur est le hub de contrôle. La V58 y ajoute la configuration des délais de livraison urbaine et de l’interville.</w:t>
      </w:r>
    </w:p>
    <w:tbl>
      <w:tblPr>
        <w:tblStyle w:val="TableGrid"/>
        <w:tblW w:type="auto" w:w="0"/>
        <w:jc w:val="center"/>
        <w:tblLook w:firstColumn="1" w:firstRow="1" w:lastColumn="0" w:lastRow="0" w:noHBand="0" w:noVBand="1" w:val="04A0"/>
        <w:tblBorders>
          <w:top w:val="single" w:sz="4" w:space="0" w:color="D8DDE5"/>
          <w:left w:val="single" w:sz="4" w:space="0" w:color="D8DDE5"/>
          <w:bottom w:val="single" w:sz="4" w:space="0" w:color="D8DDE5"/>
          <w:right w:val="single" w:sz="4" w:space="0" w:color="D8DDE5"/>
          <w:insideH w:val="single" w:sz="4" w:space="0" w:color="D8DDE5"/>
          <w:insideV w:val="single" w:sz="4" w:space="0" w:color="D8DDE5"/>
        </w:tblBorders>
      </w:tblPr>
      <w:tblGrid>
        <w:gridCol w:w="5083"/>
        <w:gridCol w:w="5083"/>
      </w:tblGrid>
      <w:tr>
        <w:trPr>
          <w:tblHeader w:val="true"/>
        </w:trPr>
        <w:tc>
          <w:tcPr>
            <w:tcW w:type="dxa" w:w="5083"/>
            <w:shd w:fill="1F355B"/>
            <w:vAlign w:val="center"/>
          </w:tcPr>
          <w:p>
            <w:pPr>
              <w:jc w:val="left"/>
            </w:pPr>
            <w:r>
              <w:rPr>
                <w:b/>
                <w:color w:val="FFFFFF"/>
                <w:sz w:val="16"/>
              </w:rPr>
              <w:t>Domaine</w:t>
            </w:r>
          </w:p>
        </w:tc>
        <w:tc>
          <w:tcPr>
            <w:tcW w:type="dxa" w:w="5083"/>
            <w:shd w:fill="1F355B"/>
            <w:vAlign w:val="center"/>
          </w:tcPr>
          <w:p>
            <w:pPr>
              <w:jc w:val="left"/>
            </w:pPr>
            <w:r>
              <w:rPr>
                <w:b/>
                <w:color w:val="FFFFFF"/>
                <w:sz w:val="16"/>
              </w:rPr>
              <w:t>Contrôles</w:t>
            </w:r>
          </w:p>
        </w:tc>
      </w:tr>
      <w:tr>
        <w:tc>
          <w:tcPr>
            <w:tcW w:type="dxa" w:w="5083"/>
            <w:vAlign w:val="top"/>
            <w:shd w:fill="F7F8FA"/>
          </w:tcPr>
          <w:p>
            <w:pPr>
              <w:spacing w:after="20"/>
            </w:pPr>
            <w:r>
              <w:rPr>
                <w:sz w:val="16"/>
              </w:rPr>
              <w:t>Comptes</w:t>
            </w:r>
          </w:p>
        </w:tc>
        <w:tc>
          <w:tcPr>
            <w:tcW w:type="dxa" w:w="5083"/>
            <w:vAlign w:val="top"/>
            <w:shd w:fill="F7F8FA"/>
          </w:tcPr>
          <w:p>
            <w:pPr>
              <w:spacing w:after="20"/>
            </w:pPr>
            <w:r>
              <w:rPr>
                <w:sz w:val="16"/>
              </w:rPr>
              <w:t>Utilisateurs, vendeurs, transporteurs, KYC.</w:t>
            </w:r>
          </w:p>
        </w:tc>
      </w:tr>
      <w:tr>
        <w:tc>
          <w:tcPr>
            <w:tcW w:type="dxa" w:w="5083"/>
            <w:vAlign w:val="top"/>
          </w:tcPr>
          <w:p>
            <w:pPr>
              <w:spacing w:after="20"/>
            </w:pPr>
            <w:r>
              <w:rPr>
                <w:sz w:val="16"/>
              </w:rPr>
              <w:t>Commerce</w:t>
            </w:r>
          </w:p>
        </w:tc>
        <w:tc>
          <w:tcPr>
            <w:tcW w:type="dxa" w:w="5083"/>
            <w:vAlign w:val="top"/>
          </w:tcPr>
          <w:p>
            <w:pPr>
              <w:spacing w:after="20"/>
            </w:pPr>
            <w:r>
              <w:rPr>
                <w:sz w:val="16"/>
              </w:rPr>
              <w:t>Commandes, produits, missions, litiges.</w:t>
            </w:r>
          </w:p>
        </w:tc>
      </w:tr>
      <w:tr>
        <w:tc>
          <w:tcPr>
            <w:tcW w:type="dxa" w:w="5083"/>
            <w:vAlign w:val="top"/>
            <w:shd w:fill="F7F8FA"/>
          </w:tcPr>
          <w:p>
            <w:pPr>
              <w:spacing w:after="20"/>
            </w:pPr>
            <w:r>
              <w:rPr>
                <w:sz w:val="16"/>
              </w:rPr>
              <w:t>Finance</w:t>
            </w:r>
          </w:p>
        </w:tc>
        <w:tc>
          <w:tcPr>
            <w:tcW w:type="dxa" w:w="5083"/>
            <w:vAlign w:val="top"/>
            <w:shd w:fill="F7F8FA"/>
          </w:tcPr>
          <w:p>
            <w:pPr>
              <w:spacing w:after="20"/>
            </w:pPr>
            <w:r>
              <w:rPr>
                <w:sz w:val="16"/>
              </w:rPr>
              <w:t>Paiements, escrow, retraits, finance, réconciliation.</w:t>
            </w:r>
          </w:p>
        </w:tc>
      </w:tr>
      <w:tr>
        <w:tc>
          <w:tcPr>
            <w:tcW w:type="dxa" w:w="5083"/>
            <w:vAlign w:val="top"/>
          </w:tcPr>
          <w:p>
            <w:pPr>
              <w:spacing w:after="20"/>
            </w:pPr>
            <w:r>
              <w:rPr>
                <w:sz w:val="16"/>
              </w:rPr>
              <w:t>Intégrité</w:t>
            </w:r>
          </w:p>
        </w:tc>
        <w:tc>
          <w:tcPr>
            <w:tcW w:type="dxa" w:w="5083"/>
            <w:vAlign w:val="top"/>
          </w:tcPr>
          <w:p>
            <w:pPr>
              <w:spacing w:after="20"/>
            </w:pPr>
            <w:r>
              <w:rPr>
                <w:sz w:val="16"/>
              </w:rPr>
              <w:t>Contrôles ledger et incohérences escrow.</w:t>
            </w:r>
          </w:p>
        </w:tc>
      </w:tr>
      <w:tr>
        <w:tc>
          <w:tcPr>
            <w:tcW w:type="dxa" w:w="5083"/>
            <w:vAlign w:val="top"/>
            <w:shd w:fill="F7F8FA"/>
          </w:tcPr>
          <w:p>
            <w:pPr>
              <w:spacing w:after="20"/>
            </w:pPr>
            <w:r>
              <w:rPr>
                <w:sz w:val="16"/>
              </w:rPr>
              <w:t>Opérations</w:t>
            </w:r>
          </w:p>
        </w:tc>
        <w:tc>
          <w:tcPr>
            <w:tcW w:type="dxa" w:w="5083"/>
            <w:vAlign w:val="top"/>
            <w:shd w:fill="F7F8FA"/>
          </w:tcPr>
          <w:p>
            <w:pPr>
              <w:spacing w:after="20"/>
            </w:pPr>
            <w:r>
              <w:rPr>
                <w:sz w:val="16"/>
              </w:rPr>
              <w:t>Support, logs, analytics.</w:t>
            </w:r>
          </w:p>
        </w:tc>
      </w:tr>
      <w:tr>
        <w:tc>
          <w:tcPr>
            <w:tcW w:type="dxa" w:w="5083"/>
            <w:vAlign w:val="top"/>
          </w:tcPr>
          <w:p>
            <w:pPr>
              <w:spacing w:after="20"/>
            </w:pPr>
            <w:r>
              <w:rPr>
                <w:sz w:val="16"/>
              </w:rPr>
              <w:t>Délais urbains</w:t>
            </w:r>
          </w:p>
        </w:tc>
        <w:tc>
          <w:tcPr>
            <w:tcW w:type="dxa" w:w="5083"/>
            <w:vAlign w:val="top"/>
          </w:tcPr>
          <w:p>
            <w:pPr>
              <w:spacing w:after="20"/>
            </w:pPr>
            <w:r>
              <w:rPr>
                <w:sz w:val="16"/>
              </w:rPr>
              <w:t>Tranches distance → transit min/max ; sans valeur par défaut inventée.</w:t>
            </w:r>
          </w:p>
        </w:tc>
      </w:tr>
      <w:tr>
        <w:tc>
          <w:tcPr>
            <w:tcW w:type="dxa" w:w="5083"/>
            <w:vAlign w:val="top"/>
            <w:shd w:fill="F7F8FA"/>
          </w:tcPr>
          <w:p>
            <w:pPr>
              <w:spacing w:after="20"/>
            </w:pPr>
            <w:r>
              <w:rPr>
                <w:sz w:val="16"/>
              </w:rPr>
              <w:t>Interville</w:t>
            </w:r>
          </w:p>
        </w:tc>
        <w:tc>
          <w:tcPr>
            <w:tcW w:type="dxa" w:w="5083"/>
            <w:vAlign w:val="top"/>
            <w:shd w:fill="F7F8FA"/>
          </w:tcPr>
          <w:p>
            <w:pPr>
              <w:spacing w:after="20"/>
            </w:pPr>
            <w:r>
              <w:rPr>
                <w:sz w:val="16"/>
              </w:rPr>
              <w:t>Compagnies, points physiques, routes, carburant, charges, frais partenaire, transit.</w:t>
            </w:r>
          </w:p>
        </w:tc>
      </w:tr>
      <w:tr>
        <w:tc>
          <w:tcPr>
            <w:tcW w:type="dxa" w:w="5083"/>
            <w:vAlign w:val="top"/>
          </w:tcPr>
          <w:p>
            <w:pPr>
              <w:spacing w:after="20"/>
            </w:pPr>
            <w:r>
              <w:rPr>
                <w:sz w:val="16"/>
              </w:rPr>
              <w:t>Perte</w:t>
            </w:r>
          </w:p>
        </w:tc>
        <w:tc>
          <w:tcPr>
            <w:tcW w:type="dxa" w:w="5083"/>
            <w:vAlign w:val="top"/>
          </w:tcPr>
          <w:p>
            <w:pPr>
              <w:spacing w:after="20"/>
            </w:pPr>
            <w:r>
              <w:rPr>
                <w:sz w:val="16"/>
              </w:rPr>
              <w:t>Déclaration de perte interville et remboursement de garantie dans le workflow prévu.</w:t>
            </w:r>
          </w:p>
        </w:tc>
      </w:tr>
    </w:tbl>
    <w:p>
      <w:pPr>
        <w:spacing w:after="20"/>
      </w:pPr>
    </w:p>
    <w:p>
      <w:pPr>
        <w:pStyle w:val="Heading1"/>
        <w:keepNext/>
      </w:pPr>
      <w:r>
        <w:t>18. Sécurité, preuves et intégrité</w:t>
      </w:r>
    </w:p>
    <w:p>
      <w:pPr>
        <w:pStyle w:val="ListBullet"/>
        <w:spacing w:after="40"/>
        <w:ind w:left="317"/>
      </w:pPr>
      <w:r>
        <w:t>Validation d’entrées par Zod et transformation cohérente des erreurs de validation.</w:t>
      </w:r>
    </w:p>
    <w:p>
      <w:pPr>
        <w:pStyle w:val="ListBullet"/>
        <w:spacing w:after="40"/>
        <w:ind w:left="317"/>
      </w:pPr>
      <w:r>
        <w:t>`HttpError` utilisé avec code métier explicite pour les erreurs fonctionnelles.</w:t>
      </w:r>
    </w:p>
    <w:p>
      <w:pPr>
        <w:pStyle w:val="ListBullet"/>
        <w:spacing w:after="40"/>
        <w:ind w:left="317"/>
      </w:pPr>
      <w:r>
        <w:t>Authentification par session/JWT et gestion des sessions.</w:t>
      </w:r>
    </w:p>
    <w:p>
      <w:pPr>
        <w:pStyle w:val="ListBullet"/>
        <w:spacing w:after="40"/>
        <w:ind w:left="317"/>
      </w:pPr>
      <w:r>
        <w:t>KYC avec contrôles de documents et niveaux.</w:t>
      </w:r>
    </w:p>
    <w:p>
      <w:pPr>
        <w:pStyle w:val="ListBullet"/>
        <w:spacing w:after="40"/>
        <w:ind w:left="317"/>
      </w:pPr>
      <w:r>
        <w:t>Webhooks de paiement signés HMAC et idempotence par event_id.</w:t>
      </w:r>
    </w:p>
    <w:p>
      <w:pPr>
        <w:pStyle w:val="ListBullet"/>
        <w:spacing w:after="40"/>
        <w:ind w:left="317"/>
      </w:pPr>
      <w:r>
        <w:t>Preuves de pickup et delivery : hash, chiffrement au repos selon le module existant, PIN bcrypt, limite de tentatives, révocation et protection contre le rejeu.</w:t>
      </w:r>
    </w:p>
    <w:p>
      <w:pPr>
        <w:pStyle w:val="ListBullet"/>
        <w:spacing w:after="40"/>
        <w:ind w:left="317"/>
      </w:pPr>
      <w:r>
        <w:t>Idempotence des commandes sensibles et des remboursements.</w:t>
      </w:r>
    </w:p>
    <w:p>
      <w:pPr>
        <w:pStyle w:val="ListBullet"/>
        <w:spacing w:after="40"/>
        <w:ind w:left="317"/>
      </w:pPr>
      <w:r>
        <w:t>Ledger équilibré par construction.</w:t>
      </w:r>
    </w:p>
    <w:p>
      <w:pPr>
        <w:pStyle w:val="ListBullet"/>
        <w:spacing w:after="40"/>
        <w:ind w:left="317"/>
      </w:pPr>
      <w:r>
        <w:t>Contrainte base de données empêchant la libération escrow avant la preuve de livraison.</w:t>
      </w:r>
    </w:p>
    <w:p>
      <w:pPr>
        <w:pStyle w:val="ListBullet"/>
        <w:spacing w:after="40"/>
        <w:ind w:left="317"/>
      </w:pPr>
      <w:r>
        <w:t>Verrouillage des stocks et protections de concurrence sur les missions transporteur.</w:t>
      </w:r>
    </w:p>
    <w:tbl>
      <w:tblPr>
        <w:tblStyle w:val="TableGrid"/>
        <w:tblW w:type="auto" w:w="0"/>
        <w:tblLook w:firstColumn="1" w:firstRow="1" w:lastColumn="0" w:lastRow="0" w:noHBand="0" w:noVBand="1" w:val="04A0"/>
        <w:tblBorders>
          <w:top w:val="single" w:sz="4" w:space="0" w:color="C9D2DF"/>
          <w:left w:val="single" w:sz="4" w:space="0" w:color="C9D2DF"/>
          <w:bottom w:val="single" w:sz="4" w:space="0" w:color="C9D2DF"/>
          <w:right w:val="single" w:sz="4" w:space="0" w:color="C9D2DF"/>
          <w:insideH w:val="single" w:sz="4" w:space="0" w:color="C9D2DF"/>
          <w:insideV w:val="single" w:sz="4" w:space="0" w:color="C9D2DF"/>
        </w:tblBorders>
      </w:tblPr>
      <w:tblGrid>
        <w:gridCol w:w="10166"/>
      </w:tblGrid>
      <w:tr>
        <w:tc>
          <w:tcPr>
            <w:tcW w:type="dxa" w:w="10166"/>
            <w:shd w:fill="FFF7E7"/>
          </w:tcPr>
          <w:p>
            <w:r>
              <w:rPr>
                <w:b/>
                <w:color w:val="B78419"/>
              </w:rPr>
              <w:t xml:space="preserve">Stockage KYC — </w:t>
            </w:r>
            <w:r>
              <w:t>Le dépôt documente une limitation d’infrastructure : le stockage local n’est pas durable sur Render sans stratégie de disque/objet. Une intégration réelle Supabase Storage/S3 nécessite des credentials réels et un déploiement configuré.</w:t>
            </w:r>
          </w:p>
        </w:tc>
      </w:tr>
    </w:tbl>
    <w:p>
      <w:pPr>
        <w:spacing w:after="20"/>
      </w:pPr>
    </w:p>
    <w:p>
      <w:pPr>
        <w:pStyle w:val="Heading1"/>
        <w:keepNext/>
      </w:pPr>
      <w:r>
        <w:t>19. Backend et API</w:t>
      </w:r>
    </w:p>
    <w:p>
      <w:r>
        <w:t>Architecture : Express + PostgreSQL, avec un routeur principal qui agrège les domaines fonctionnels. Le projet possède des services dédiés aux commandes, lifecycle, pricing, mission dispatch, preuves, escrow, finance, wallet, retraits, notifications, réconciliation et partenaires.</w:t>
      </w:r>
    </w:p>
    <w:tbl>
      <w:tblPr>
        <w:tblStyle w:val="TableGrid"/>
        <w:tblW w:type="auto" w:w="0"/>
        <w:jc w:val="center"/>
        <w:tblLook w:firstColumn="1" w:firstRow="1" w:lastColumn="0" w:lastRow="0" w:noHBand="0" w:noVBand="1" w:val="04A0"/>
        <w:tblBorders>
          <w:top w:val="single" w:sz="4" w:space="0" w:color="D8DDE5"/>
          <w:left w:val="single" w:sz="4" w:space="0" w:color="D8DDE5"/>
          <w:bottom w:val="single" w:sz="4" w:space="0" w:color="D8DDE5"/>
          <w:right w:val="single" w:sz="4" w:space="0" w:color="D8DDE5"/>
          <w:insideH w:val="single" w:sz="4" w:space="0" w:color="D8DDE5"/>
          <w:insideV w:val="single" w:sz="4" w:space="0" w:color="D8DDE5"/>
        </w:tblBorders>
      </w:tblPr>
      <w:tblGrid>
        <w:gridCol w:w="5083"/>
        <w:gridCol w:w="5083"/>
      </w:tblGrid>
      <w:tr>
        <w:trPr>
          <w:tblHeader w:val="true"/>
        </w:trPr>
        <w:tc>
          <w:tcPr>
            <w:tcW w:type="dxa" w:w="5083"/>
            <w:shd w:fill="1F355B"/>
            <w:vAlign w:val="center"/>
          </w:tcPr>
          <w:p>
            <w:pPr>
              <w:jc w:val="left"/>
            </w:pPr>
            <w:r>
              <w:rPr>
                <w:b/>
                <w:color w:val="FFFFFF"/>
                <w:sz w:val="16"/>
              </w:rPr>
              <w:t>Route / service</w:t>
            </w:r>
          </w:p>
        </w:tc>
        <w:tc>
          <w:tcPr>
            <w:tcW w:type="dxa" w:w="5083"/>
            <w:shd w:fill="1F355B"/>
            <w:vAlign w:val="center"/>
          </w:tcPr>
          <w:p>
            <w:pPr>
              <w:jc w:val="left"/>
            </w:pPr>
            <w:r>
              <w:rPr>
                <w:b/>
                <w:color w:val="FFFFFF"/>
                <w:sz w:val="16"/>
              </w:rPr>
              <w:t>Fonctions principales</w:t>
            </w:r>
          </w:p>
        </w:tc>
      </w:tr>
      <w:tr>
        <w:tc>
          <w:tcPr>
            <w:tcW w:type="dxa" w:w="5083"/>
            <w:vAlign w:val="top"/>
            <w:shd w:fill="F7F8FA"/>
          </w:tcPr>
          <w:p>
            <w:pPr>
              <w:spacing w:after="20"/>
            </w:pPr>
            <w:r>
              <w:rPr>
                <w:sz w:val="16"/>
              </w:rPr>
              <w:t>`/auth`</w:t>
            </w:r>
          </w:p>
        </w:tc>
        <w:tc>
          <w:tcPr>
            <w:tcW w:type="dxa" w:w="5083"/>
            <w:vAlign w:val="top"/>
            <w:shd w:fill="F7F8FA"/>
          </w:tcPr>
          <w:p>
            <w:pPr>
              <w:spacing w:after="20"/>
            </w:pPr>
            <w:r>
              <w:rPr>
                <w:sz w:val="16"/>
              </w:rPr>
              <w:t>Inscription, connexion, sessions, mot de passe/OTP de récupération.</w:t>
            </w:r>
          </w:p>
        </w:tc>
      </w:tr>
      <w:tr>
        <w:tc>
          <w:tcPr>
            <w:tcW w:type="dxa" w:w="5083"/>
            <w:vAlign w:val="top"/>
          </w:tcPr>
          <w:p>
            <w:pPr>
              <w:spacing w:after="20"/>
            </w:pPr>
            <w:r>
              <w:rPr>
                <w:sz w:val="16"/>
              </w:rPr>
              <w:t>`/products`</w:t>
            </w:r>
          </w:p>
        </w:tc>
        <w:tc>
          <w:tcPr>
            <w:tcW w:type="dxa" w:w="5083"/>
            <w:vAlign w:val="top"/>
          </w:tcPr>
          <w:p>
            <w:pPr>
              <w:spacing w:after="20"/>
            </w:pPr>
            <w:r>
              <w:rPr>
                <w:sz w:val="16"/>
              </w:rPr>
              <w:t>Catalogue public, recherche, fiches, variantes et métadonnées produit.</w:t>
            </w:r>
          </w:p>
        </w:tc>
      </w:tr>
      <w:tr>
        <w:tc>
          <w:tcPr>
            <w:tcW w:type="dxa" w:w="5083"/>
            <w:vAlign w:val="top"/>
            <w:shd w:fill="F7F8FA"/>
          </w:tcPr>
          <w:p>
            <w:pPr>
              <w:spacing w:after="20"/>
            </w:pPr>
            <w:r>
              <w:rPr>
                <w:sz w:val="16"/>
              </w:rPr>
              <w:t>`/orders`</w:t>
            </w:r>
          </w:p>
        </w:tc>
        <w:tc>
          <w:tcPr>
            <w:tcW w:type="dxa" w:w="5083"/>
            <w:vAlign w:val="top"/>
            <w:shd w:fill="F7F8FA"/>
          </w:tcPr>
          <w:p>
            <w:pPr>
              <w:spacing w:after="20"/>
            </w:pPr>
            <w:r>
              <w:rPr>
                <w:sz w:val="16"/>
              </w:rPr>
              <w:t>Liste/détail, quote, création, annulation, avis.</w:t>
            </w:r>
          </w:p>
        </w:tc>
      </w:tr>
      <w:tr>
        <w:tc>
          <w:tcPr>
            <w:tcW w:type="dxa" w:w="5083"/>
            <w:vAlign w:val="top"/>
          </w:tcPr>
          <w:p>
            <w:pPr>
              <w:spacing w:after="20"/>
            </w:pPr>
            <w:r>
              <w:rPr>
                <w:sz w:val="16"/>
              </w:rPr>
              <w:t>`/escrow`</w:t>
            </w:r>
          </w:p>
        </w:tc>
        <w:tc>
          <w:tcPr>
            <w:tcW w:type="dxa" w:w="5083"/>
            <w:vAlign w:val="top"/>
          </w:tcPr>
          <w:p>
            <w:pPr>
              <w:spacing w:after="20"/>
            </w:pPr>
            <w:r>
              <w:rPr>
                <w:sz w:val="16"/>
              </w:rPr>
              <w:t>Paiement, dépôt, état escrow, transactions.</w:t>
            </w:r>
          </w:p>
        </w:tc>
      </w:tr>
      <w:tr>
        <w:tc>
          <w:tcPr>
            <w:tcW w:type="dxa" w:w="5083"/>
            <w:vAlign w:val="top"/>
            <w:shd w:fill="F7F8FA"/>
          </w:tcPr>
          <w:p>
            <w:pPr>
              <w:spacing w:after="20"/>
            </w:pPr>
            <w:r>
              <w:rPr>
                <w:sz w:val="16"/>
              </w:rPr>
              <w:t>`/deliveries`</w:t>
            </w:r>
          </w:p>
        </w:tc>
        <w:tc>
          <w:tcPr>
            <w:tcW w:type="dxa" w:w="5083"/>
            <w:vAlign w:val="top"/>
            <w:shd w:fill="F7F8FA"/>
          </w:tcPr>
          <w:p>
            <w:pPr>
              <w:spacing w:after="20"/>
            </w:pPr>
            <w:r>
              <w:rPr>
                <w:sz w:val="16"/>
              </w:rPr>
              <w:t>Flux de livraison et preuves.</w:t>
            </w:r>
          </w:p>
        </w:tc>
      </w:tr>
      <w:tr>
        <w:tc>
          <w:tcPr>
            <w:tcW w:type="dxa" w:w="5083"/>
            <w:vAlign w:val="top"/>
          </w:tcPr>
          <w:p>
            <w:pPr>
              <w:spacing w:after="20"/>
            </w:pPr>
            <w:r>
              <w:rPr>
                <w:sz w:val="16"/>
              </w:rPr>
              <w:t>`/intercity`</w:t>
            </w:r>
          </w:p>
        </w:tc>
        <w:tc>
          <w:tcPr>
            <w:tcW w:type="dxa" w:w="5083"/>
            <w:vAlign w:val="top"/>
          </w:tcPr>
          <w:p>
            <w:pPr>
              <w:spacing w:after="20"/>
            </w:pPr>
            <w:r>
              <w:rPr>
                <w:sz w:val="16"/>
              </w:rPr>
              <w:t>Routes, options, validation, partenaires, points, délais, lifecycle interville.</w:t>
            </w:r>
          </w:p>
        </w:tc>
      </w:tr>
      <w:tr>
        <w:tc>
          <w:tcPr>
            <w:tcW w:type="dxa" w:w="5083"/>
            <w:vAlign w:val="top"/>
            <w:shd w:fill="F7F8FA"/>
          </w:tcPr>
          <w:p>
            <w:pPr>
              <w:spacing w:after="20"/>
            </w:pPr>
            <w:r>
              <w:rPr>
                <w:sz w:val="16"/>
              </w:rPr>
              <w:t>`/admin`</w:t>
            </w:r>
          </w:p>
        </w:tc>
        <w:tc>
          <w:tcPr>
            <w:tcW w:type="dxa" w:w="5083"/>
            <w:vAlign w:val="top"/>
            <w:shd w:fill="F7F8FA"/>
          </w:tcPr>
          <w:p>
            <w:pPr>
              <w:spacing w:after="20"/>
            </w:pPr>
            <w:r>
              <w:rPr>
                <w:sz w:val="16"/>
              </w:rPr>
              <w:t>Administration générale, finance, intégrité et ressources.</w:t>
            </w:r>
          </w:p>
        </w:tc>
      </w:tr>
      <w:tr>
        <w:tc>
          <w:tcPr>
            <w:tcW w:type="dxa" w:w="5083"/>
            <w:vAlign w:val="top"/>
          </w:tcPr>
          <w:p>
            <w:pPr>
              <w:spacing w:after="20"/>
            </w:pPr>
            <w:r>
              <w:rPr>
                <w:sz w:val="16"/>
              </w:rPr>
              <w:t>`/webhooks/payments/:provider`</w:t>
            </w:r>
          </w:p>
        </w:tc>
        <w:tc>
          <w:tcPr>
            <w:tcW w:type="dxa" w:w="5083"/>
            <w:vAlign w:val="top"/>
          </w:tcPr>
          <w:p>
            <w:pPr>
              <w:spacing w:after="20"/>
            </w:pPr>
            <w:r>
              <w:rPr>
                <w:sz w:val="16"/>
              </w:rPr>
              <w:t>Confirmation asynchrone des paiements.</w:t>
            </w:r>
          </w:p>
        </w:tc>
      </w:tr>
      <w:tr>
        <w:tc>
          <w:tcPr>
            <w:tcW w:type="dxa" w:w="5083"/>
            <w:vAlign w:val="top"/>
            <w:shd w:fill="F7F8FA"/>
          </w:tcPr>
          <w:p>
            <w:pPr>
              <w:spacing w:after="20"/>
            </w:pPr>
            <w:r>
              <w:rPr>
                <w:sz w:val="16"/>
              </w:rPr>
              <w:t>`compatibility.js`</w:t>
            </w:r>
          </w:p>
        </w:tc>
        <w:tc>
          <w:tcPr>
            <w:tcW w:type="dxa" w:w="5083"/>
            <w:vAlign w:val="top"/>
            <w:shd w:fill="F7F8FA"/>
          </w:tcPr>
          <w:p>
            <w:pPr>
              <w:spacing w:after="20"/>
            </w:pPr>
            <w:r>
              <w:rPr>
                <w:sz w:val="16"/>
              </w:rPr>
              <w:t>Couche de compatibilité historique entre mobile et backend, progressivement réduite pour les domaines dont une route dédiée existe.</w:t>
            </w:r>
          </w:p>
        </w:tc>
      </w:tr>
    </w:tbl>
    <w:p>
      <w:pPr>
        <w:spacing w:after="20"/>
      </w:pPr>
    </w:p>
    <w:p>
      <w:r>
        <w:t>V58 normalise le fait que `products.js` soit la source publique enrichie du catalogue. Les anciennes routes catalogue interceptées par `compatibility.js` sont retirées au moment du patch afin d’éviter que la nouvelle logique périssable/timing ne soit contournée.</w:t>
      </w:r>
    </w:p>
    <w:p>
      <w:pPr>
        <w:pStyle w:val="Heading2"/>
        <w:keepNext/>
      </w:pPr>
      <w:r>
        <w:t>Endpoints V58 clés</w:t>
      </w:r>
    </w:p>
    <w:tbl>
      <w:tblPr>
        <w:tblStyle w:val="TableGrid"/>
        <w:tblW w:type="auto" w:w="0"/>
        <w:jc w:val="center"/>
        <w:tblLook w:firstColumn="1" w:firstRow="1" w:lastColumn="0" w:lastRow="0" w:noHBand="0" w:noVBand="1" w:val="04A0"/>
        <w:tblBorders>
          <w:top w:val="single" w:sz="4" w:space="0" w:color="D8DDE5"/>
          <w:left w:val="single" w:sz="4" w:space="0" w:color="D8DDE5"/>
          <w:bottom w:val="single" w:sz="4" w:space="0" w:color="D8DDE5"/>
          <w:right w:val="single" w:sz="4" w:space="0" w:color="D8DDE5"/>
          <w:insideH w:val="single" w:sz="4" w:space="0" w:color="D8DDE5"/>
          <w:insideV w:val="single" w:sz="4" w:space="0" w:color="D8DDE5"/>
        </w:tblBorders>
      </w:tblPr>
      <w:tblGrid>
        <w:gridCol w:w="5083"/>
        <w:gridCol w:w="5083"/>
      </w:tblGrid>
      <w:tr>
        <w:trPr>
          <w:tblHeader w:val="true"/>
        </w:trPr>
        <w:tc>
          <w:tcPr>
            <w:tcW w:type="dxa" w:w="5083"/>
            <w:shd w:fill="1F355B"/>
            <w:vAlign w:val="center"/>
          </w:tcPr>
          <w:p>
            <w:pPr>
              <w:jc w:val="left"/>
            </w:pPr>
            <w:r>
              <w:rPr>
                <w:b/>
                <w:color w:val="FFFFFF"/>
                <w:sz w:val="16"/>
              </w:rPr>
              <w:t>Endpoint</w:t>
            </w:r>
          </w:p>
        </w:tc>
        <w:tc>
          <w:tcPr>
            <w:tcW w:type="dxa" w:w="5083"/>
            <w:shd w:fill="1F355B"/>
            <w:vAlign w:val="center"/>
          </w:tcPr>
          <w:p>
            <w:pPr>
              <w:jc w:val="left"/>
            </w:pPr>
            <w:r>
              <w:rPr>
                <w:b/>
                <w:color w:val="FFFFFF"/>
                <w:sz w:val="16"/>
              </w:rPr>
              <w:t>But</w:t>
            </w:r>
          </w:p>
        </w:tc>
      </w:tr>
      <w:tr>
        <w:tc>
          <w:tcPr>
            <w:tcW w:type="dxa" w:w="5083"/>
            <w:vAlign w:val="top"/>
            <w:shd w:fill="F7F8FA"/>
          </w:tcPr>
          <w:p>
            <w:pPr>
              <w:spacing w:after="20"/>
            </w:pPr>
            <w:r>
              <w:rPr>
                <w:sz w:val="16"/>
              </w:rPr>
              <w:t>POST `/intercity/options`</w:t>
            </w:r>
          </w:p>
        </w:tc>
        <w:tc>
          <w:tcPr>
            <w:tcW w:type="dxa" w:w="5083"/>
            <w:vAlign w:val="top"/>
            <w:shd w:fill="F7F8FA"/>
          </w:tcPr>
          <w:p>
            <w:pPr>
              <w:spacing w:after="20"/>
            </w:pPr>
            <w:r>
              <w:rPr>
                <w:sz w:val="16"/>
              </w:rPr>
              <w:t>Proposer les liaisons compatibles avec l’origine/destination et identifier les conflits périssables.</w:t>
            </w:r>
          </w:p>
        </w:tc>
      </w:tr>
      <w:tr>
        <w:tc>
          <w:tcPr>
            <w:tcW w:type="dxa" w:w="5083"/>
            <w:vAlign w:val="top"/>
          </w:tcPr>
          <w:p>
            <w:pPr>
              <w:spacing w:after="20"/>
            </w:pPr>
            <w:r>
              <w:rPr>
                <w:sz w:val="16"/>
              </w:rPr>
              <w:t>POST `/intercity/validate`</w:t>
            </w:r>
          </w:p>
        </w:tc>
        <w:tc>
          <w:tcPr>
            <w:tcW w:type="dxa" w:w="5083"/>
            <w:vAlign w:val="top"/>
          </w:tcPr>
          <w:p>
            <w:pPr>
              <w:spacing w:after="20"/>
            </w:pPr>
            <w:r>
              <w:rPr>
                <w:sz w:val="16"/>
              </w:rPr>
              <w:t>Valider partenaire, point de retrait et compatibilité périssable.</w:t>
            </w:r>
          </w:p>
        </w:tc>
      </w:tr>
      <w:tr>
        <w:tc>
          <w:tcPr>
            <w:tcW w:type="dxa" w:w="5083"/>
            <w:vAlign w:val="top"/>
            <w:shd w:fill="F7F8FA"/>
          </w:tcPr>
          <w:p>
            <w:pPr>
              <w:spacing w:after="20"/>
            </w:pPr>
            <w:r>
              <w:rPr>
                <w:sz w:val="16"/>
              </w:rPr>
              <w:t>POST `/intercity/admin/urban-time-rules`</w:t>
            </w:r>
          </w:p>
        </w:tc>
        <w:tc>
          <w:tcPr>
            <w:tcW w:type="dxa" w:w="5083"/>
            <w:vAlign w:val="top"/>
            <w:shd w:fill="F7F8FA"/>
          </w:tcPr>
          <w:p>
            <w:pPr>
              <w:spacing w:after="20"/>
            </w:pPr>
            <w:r>
              <w:rPr>
                <w:sz w:val="16"/>
              </w:rPr>
              <w:t>Créer une règle de transit urbain.</w:t>
            </w:r>
          </w:p>
        </w:tc>
      </w:tr>
      <w:tr>
        <w:tc>
          <w:tcPr>
            <w:tcW w:type="dxa" w:w="5083"/>
            <w:vAlign w:val="top"/>
          </w:tcPr>
          <w:p>
            <w:pPr>
              <w:spacing w:after="20"/>
            </w:pPr>
            <w:r>
              <w:rPr>
                <w:sz w:val="16"/>
              </w:rPr>
              <w:t>POST `/intercity/shipments/:id/partner-pickup`</w:t>
            </w:r>
          </w:p>
        </w:tc>
        <w:tc>
          <w:tcPr>
            <w:tcW w:type="dxa" w:w="5083"/>
            <w:vAlign w:val="top"/>
          </w:tcPr>
          <w:p>
            <w:pPr>
              <w:spacing w:after="20"/>
            </w:pPr>
            <w:r>
              <w:rPr>
                <w:sz w:val="16"/>
              </w:rPr>
              <w:t>Enregistrer la prise en charge interville et démarrer ETA.</w:t>
            </w:r>
          </w:p>
        </w:tc>
      </w:tr>
      <w:tr>
        <w:tc>
          <w:tcPr>
            <w:tcW w:type="dxa" w:w="5083"/>
            <w:vAlign w:val="top"/>
            <w:shd w:fill="F7F8FA"/>
          </w:tcPr>
          <w:p>
            <w:pPr>
              <w:spacing w:after="20"/>
            </w:pPr>
            <w:r>
              <w:rPr>
                <w:sz w:val="16"/>
              </w:rPr>
              <w:t>POST `/intercity/shipments/:id/partner-arrive`</w:t>
            </w:r>
          </w:p>
        </w:tc>
        <w:tc>
          <w:tcPr>
            <w:tcW w:type="dxa" w:w="5083"/>
            <w:vAlign w:val="top"/>
            <w:shd w:fill="F7F8FA"/>
          </w:tcPr>
          <w:p>
            <w:pPr>
              <w:spacing w:after="20"/>
            </w:pPr>
            <w:r>
              <w:rPr>
                <w:sz w:val="16"/>
              </w:rPr>
              <w:t>Enregistrer l’arrivée au point de retrait.</w:t>
            </w:r>
          </w:p>
        </w:tc>
      </w:tr>
      <w:tr>
        <w:tc>
          <w:tcPr>
            <w:tcW w:type="dxa" w:w="5083"/>
            <w:vAlign w:val="top"/>
          </w:tcPr>
          <w:p>
            <w:pPr>
              <w:spacing w:after="20"/>
            </w:pPr>
            <w:r>
              <w:rPr>
                <w:sz w:val="16"/>
              </w:rPr>
              <w:t>POST `/intercity/shipments/:id/mark-lost`</w:t>
            </w:r>
          </w:p>
        </w:tc>
        <w:tc>
          <w:tcPr>
            <w:tcW w:type="dxa" w:w="5083"/>
            <w:vAlign w:val="top"/>
          </w:tcPr>
          <w:p>
            <w:pPr>
              <w:spacing w:after="20"/>
            </w:pPr>
            <w:r>
              <w:rPr>
                <w:sz w:val="16"/>
              </w:rPr>
              <w:t>Déclarer une perte et rembourser la garantie restante selon les conditions.</w:t>
            </w:r>
          </w:p>
        </w:tc>
      </w:tr>
      <w:tr>
        <w:tc>
          <w:tcPr>
            <w:tcW w:type="dxa" w:w="5083"/>
            <w:vAlign w:val="top"/>
            <w:shd w:fill="F7F8FA"/>
          </w:tcPr>
          <w:p>
            <w:pPr>
              <w:spacing w:after="20"/>
            </w:pPr>
            <w:r>
              <w:rPr>
                <w:sz w:val="16"/>
              </w:rPr>
              <w:t>POST `/intercity/shipments/:id/assign-partner`</w:t>
            </w:r>
          </w:p>
        </w:tc>
        <w:tc>
          <w:tcPr>
            <w:tcW w:type="dxa" w:w="5083"/>
            <w:vAlign w:val="top"/>
            <w:shd w:fill="F7F8FA"/>
          </w:tcPr>
          <w:p>
            <w:pPr>
              <w:spacing w:after="20"/>
            </w:pPr>
            <w:r>
              <w:rPr>
                <w:sz w:val="16"/>
              </w:rPr>
              <w:t>Associer partenaire et points physiques à une expédition.</w:t>
            </w:r>
          </w:p>
        </w:tc>
      </w:tr>
    </w:tbl>
    <w:p>
      <w:pPr>
        <w:spacing w:after="20"/>
      </w:pPr>
    </w:p>
    <w:p>
      <w:pPr>
        <w:pStyle w:val="Heading1"/>
        <w:keepNext/>
      </w:pPr>
      <w:r>
        <w:t>20. Base de données et migrations</w:t>
      </w:r>
    </w:p>
    <w:p>
      <w:r>
        <w:t>Le dépôt contient 42 migrations existantes avant V57/V58. La V57 préparée ajoute `043_v57_livi_market_model.sql`; la V58 ajoute `044_v58_timing_perishables_intercity_security.sql`.</w:t>
      </w:r>
    </w:p>
    <w:tbl>
      <w:tblPr>
        <w:tblStyle w:val="TableGrid"/>
        <w:tblW w:type="auto" w:w="0"/>
        <w:jc w:val="center"/>
        <w:tblLook w:firstColumn="1" w:firstRow="1" w:lastColumn="0" w:lastRow="0" w:noHBand="0" w:noVBand="1" w:val="04A0"/>
        <w:tblBorders>
          <w:top w:val="single" w:sz="4" w:space="0" w:color="D8DDE5"/>
          <w:left w:val="single" w:sz="4" w:space="0" w:color="D8DDE5"/>
          <w:bottom w:val="single" w:sz="4" w:space="0" w:color="D8DDE5"/>
          <w:right w:val="single" w:sz="4" w:space="0" w:color="D8DDE5"/>
          <w:insideH w:val="single" w:sz="4" w:space="0" w:color="D8DDE5"/>
          <w:insideV w:val="single" w:sz="4" w:space="0" w:color="D8DDE5"/>
        </w:tblBorders>
      </w:tblPr>
      <w:tblGrid>
        <w:gridCol w:w="5083"/>
        <w:gridCol w:w="5083"/>
      </w:tblGrid>
      <w:tr>
        <w:trPr>
          <w:tblHeader w:val="true"/>
        </w:trPr>
        <w:tc>
          <w:tcPr>
            <w:tcW w:type="dxa" w:w="5083"/>
            <w:shd w:fill="1F355B"/>
            <w:vAlign w:val="center"/>
          </w:tcPr>
          <w:p>
            <w:pPr>
              <w:jc w:val="left"/>
            </w:pPr>
            <w:r>
              <w:rPr>
                <w:b/>
                <w:color w:val="FFFFFF"/>
                <w:sz w:val="16"/>
              </w:rPr>
              <w:t>Migration</w:t>
            </w:r>
          </w:p>
        </w:tc>
        <w:tc>
          <w:tcPr>
            <w:tcW w:type="dxa" w:w="5083"/>
            <w:shd w:fill="1F355B"/>
            <w:vAlign w:val="center"/>
          </w:tcPr>
          <w:p>
            <w:pPr>
              <w:jc w:val="left"/>
            </w:pPr>
            <w:r>
              <w:rPr>
                <w:b/>
                <w:color w:val="FFFFFF"/>
                <w:sz w:val="16"/>
              </w:rPr>
              <w:t>Apport</w:t>
            </w:r>
          </w:p>
        </w:tc>
      </w:tr>
      <w:tr>
        <w:tc>
          <w:tcPr>
            <w:tcW w:type="dxa" w:w="5083"/>
            <w:vAlign w:val="top"/>
            <w:shd w:fill="F7F8FA"/>
          </w:tcPr>
          <w:p>
            <w:pPr>
              <w:spacing w:after="20"/>
            </w:pPr>
            <w:r>
              <w:rPr>
                <w:sz w:val="16"/>
              </w:rPr>
              <w:t>043 V57</w:t>
            </w:r>
          </w:p>
        </w:tc>
        <w:tc>
          <w:tcPr>
            <w:tcW w:type="dxa" w:w="5083"/>
            <w:vAlign w:val="top"/>
            <w:shd w:fill="F7F8FA"/>
          </w:tcPr>
          <w:p>
            <w:pPr>
              <w:spacing w:after="20"/>
            </w:pPr>
            <w:r>
              <w:rPr>
                <w:sz w:val="16"/>
              </w:rPr>
              <w:t>Types vendeur, catégories multiples, périssables, prix par quantité, mode urbain/interville, partenaires, points et routes.</w:t>
            </w:r>
          </w:p>
        </w:tc>
      </w:tr>
      <w:tr>
        <w:tc>
          <w:tcPr>
            <w:tcW w:type="dxa" w:w="5083"/>
            <w:vAlign w:val="top"/>
          </w:tcPr>
          <w:p>
            <w:pPr>
              <w:spacing w:after="20"/>
            </w:pPr>
            <w:r>
              <w:rPr>
                <w:sz w:val="16"/>
              </w:rPr>
              <w:t>044 V58</w:t>
            </w:r>
          </w:p>
        </w:tc>
        <w:tc>
          <w:tcPr>
            <w:tcW w:type="dxa" w:w="5083"/>
            <w:vAlign w:val="top"/>
          </w:tcPr>
          <w:p>
            <w:pPr>
              <w:spacing w:after="20"/>
            </w:pPr>
            <w:r>
              <w:rPr>
                <w:sz w:val="16"/>
              </w:rPr>
              <w:t>Préparation, conservation temporelle, disponibilité, transit, ETA, garantie, coûts interville, perte, passif partenaire.</w:t>
            </w:r>
          </w:p>
        </w:tc>
      </w:tr>
    </w:tbl>
    <w:p>
      <w:pPr>
        <w:spacing w:after="20"/>
      </w:pPr>
    </w:p>
    <w:p>
      <w:pPr>
        <w:pStyle w:val="Heading2"/>
        <w:keepNext/>
      </w:pPr>
      <w:r>
        <w:t>Principales tables touchées</w:t>
      </w:r>
    </w:p>
    <w:tbl>
      <w:tblPr>
        <w:tblStyle w:val="TableGrid"/>
        <w:tblW w:type="auto" w:w="0"/>
        <w:jc w:val="center"/>
        <w:tblLook w:firstColumn="1" w:firstRow="1" w:lastColumn="0" w:lastRow="0" w:noHBand="0" w:noVBand="1" w:val="04A0"/>
        <w:tblBorders>
          <w:top w:val="single" w:sz="4" w:space="0" w:color="D8DDE5"/>
          <w:left w:val="single" w:sz="4" w:space="0" w:color="D8DDE5"/>
          <w:bottom w:val="single" w:sz="4" w:space="0" w:color="D8DDE5"/>
          <w:right w:val="single" w:sz="4" w:space="0" w:color="D8DDE5"/>
          <w:insideH w:val="single" w:sz="4" w:space="0" w:color="D8DDE5"/>
          <w:insideV w:val="single" w:sz="4" w:space="0" w:color="D8DDE5"/>
        </w:tblBorders>
      </w:tblPr>
      <w:tblGrid>
        <w:gridCol w:w="5083"/>
        <w:gridCol w:w="5083"/>
      </w:tblGrid>
      <w:tr>
        <w:trPr>
          <w:tblHeader w:val="true"/>
        </w:trPr>
        <w:tc>
          <w:tcPr>
            <w:tcW w:type="dxa" w:w="5083"/>
            <w:shd w:fill="1F355B"/>
            <w:vAlign w:val="center"/>
          </w:tcPr>
          <w:p>
            <w:pPr>
              <w:jc w:val="left"/>
            </w:pPr>
            <w:r>
              <w:rPr>
                <w:b/>
                <w:color w:val="FFFFFF"/>
                <w:sz w:val="16"/>
              </w:rPr>
              <w:t>Table</w:t>
            </w:r>
          </w:p>
        </w:tc>
        <w:tc>
          <w:tcPr>
            <w:tcW w:type="dxa" w:w="5083"/>
            <w:shd w:fill="1F355B"/>
            <w:vAlign w:val="center"/>
          </w:tcPr>
          <w:p>
            <w:pPr>
              <w:jc w:val="left"/>
            </w:pPr>
            <w:r>
              <w:rPr>
                <w:b/>
                <w:color w:val="FFFFFF"/>
                <w:sz w:val="16"/>
              </w:rPr>
              <w:t>Extensions V58</w:t>
            </w:r>
          </w:p>
        </w:tc>
      </w:tr>
      <w:tr>
        <w:tc>
          <w:tcPr>
            <w:tcW w:type="dxa" w:w="5083"/>
            <w:vAlign w:val="top"/>
            <w:shd w:fill="F7F8FA"/>
          </w:tcPr>
          <w:p>
            <w:pPr>
              <w:spacing w:after="20"/>
            </w:pPr>
            <w:r>
              <w:rPr>
                <w:sz w:val="16"/>
              </w:rPr>
              <w:t>products</w:t>
            </w:r>
          </w:p>
        </w:tc>
        <w:tc>
          <w:tcPr>
            <w:tcW w:type="dxa" w:w="5083"/>
            <w:vAlign w:val="top"/>
            <w:shd w:fill="F7F8FA"/>
          </w:tcPr>
          <w:p>
            <w:pPr>
              <w:spacing w:after="20"/>
            </w:pPr>
            <w:r>
              <w:rPr>
                <w:sz w:val="16"/>
              </w:rPr>
              <w:t>preparation_time_hours, shelf_life_reference_at, contrôles périssables.</w:t>
            </w:r>
          </w:p>
        </w:tc>
      </w:tr>
      <w:tr>
        <w:tc>
          <w:tcPr>
            <w:tcW w:type="dxa" w:w="5083"/>
            <w:vAlign w:val="top"/>
          </w:tcPr>
          <w:p>
            <w:pPr>
              <w:spacing w:after="20"/>
            </w:pPr>
            <w:r>
              <w:rPr>
                <w:sz w:val="16"/>
              </w:rPr>
              <w:t>order_items</w:t>
            </w:r>
          </w:p>
        </w:tc>
        <w:tc>
          <w:tcPr>
            <w:tcW w:type="dxa" w:w="5083"/>
            <w:vAlign w:val="top"/>
          </w:tcPr>
          <w:p>
            <w:pPr>
              <w:spacing w:after="20"/>
            </w:pPr>
            <w:r>
              <w:rPr>
                <w:sz w:val="16"/>
              </w:rPr>
              <w:t>preparation_time_hours, shelf_life_reference_at, shelf_life_expires_at.</w:t>
            </w:r>
          </w:p>
        </w:tc>
      </w:tr>
      <w:tr>
        <w:tc>
          <w:tcPr>
            <w:tcW w:type="dxa" w:w="5083"/>
            <w:vAlign w:val="top"/>
            <w:shd w:fill="F7F8FA"/>
          </w:tcPr>
          <w:p>
            <w:pPr>
              <w:spacing w:after="20"/>
            </w:pPr>
            <w:r>
              <w:rPr>
                <w:sz w:val="16"/>
              </w:rPr>
              <w:t>orders</w:t>
            </w:r>
          </w:p>
        </w:tc>
        <w:tc>
          <w:tcPr>
            <w:tcW w:type="dxa" w:w="5083"/>
            <w:vAlign w:val="top"/>
            <w:shd w:fill="F7F8FA"/>
          </w:tcPr>
          <w:p>
            <w:pPr>
              <w:spacing w:after="20"/>
            </w:pPr>
            <w:r>
              <w:rPr>
                <w:sz w:val="16"/>
              </w:rPr>
              <w:t>préparation, transit min/max, ETA, valeur marchandise, coût transport, garantie et remboursement, origine partenaire.</w:t>
            </w:r>
          </w:p>
        </w:tc>
      </w:tr>
      <w:tr>
        <w:tc>
          <w:tcPr>
            <w:tcW w:type="dxa" w:w="5083"/>
            <w:vAlign w:val="top"/>
          </w:tcPr>
          <w:p>
            <w:pPr>
              <w:spacing w:after="20"/>
            </w:pPr>
            <w:r>
              <w:rPr>
                <w:sz w:val="16"/>
              </w:rPr>
              <w:t>escrow_transactions</w:t>
            </w:r>
          </w:p>
        </w:tc>
        <w:tc>
          <w:tcPr>
            <w:tcW w:type="dxa" w:w="5083"/>
            <w:vAlign w:val="top"/>
          </w:tcPr>
          <w:p>
            <w:pPr>
              <w:spacing w:after="20"/>
            </w:pPr>
            <w:r>
              <w:rPr>
                <w:sz w:val="16"/>
              </w:rPr>
              <w:t>garantie interville et garantie déjà remboursée.</w:t>
            </w:r>
          </w:p>
        </w:tc>
      </w:tr>
      <w:tr>
        <w:tc>
          <w:tcPr>
            <w:tcW w:type="dxa" w:w="5083"/>
            <w:vAlign w:val="top"/>
            <w:shd w:fill="F7F8FA"/>
          </w:tcPr>
          <w:p>
            <w:pPr>
              <w:spacing w:after="20"/>
            </w:pPr>
            <w:r>
              <w:rPr>
                <w:sz w:val="16"/>
              </w:rPr>
              <w:t>shipments</w:t>
            </w:r>
          </w:p>
        </w:tc>
        <w:tc>
          <w:tcPr>
            <w:tcW w:type="dxa" w:w="5083"/>
            <w:vAlign w:val="top"/>
            <w:shd w:fill="F7F8FA"/>
          </w:tcPr>
          <w:p>
            <w:pPr>
              <w:spacing w:after="20"/>
            </w:pPr>
            <w:r>
              <w:rPr>
                <w:sz w:val="16"/>
              </w:rPr>
              <w:t>pickup/arrival partenaire, état lost, motif et acteur de perte.</w:t>
            </w:r>
          </w:p>
        </w:tc>
      </w:tr>
      <w:tr>
        <w:tc>
          <w:tcPr>
            <w:tcW w:type="dxa" w:w="5083"/>
            <w:vAlign w:val="top"/>
          </w:tcPr>
          <w:p>
            <w:pPr>
              <w:spacing w:after="20"/>
            </w:pPr>
            <w:r>
              <w:rPr>
                <w:sz w:val="16"/>
              </w:rPr>
              <w:t>intercity_routes</w:t>
            </w:r>
          </w:p>
        </w:tc>
        <w:tc>
          <w:tcPr>
            <w:tcW w:type="dxa" w:w="5083"/>
            <w:vAlign w:val="top"/>
          </w:tcPr>
          <w:p>
            <w:pPr>
              <w:spacing w:after="20"/>
            </w:pPr>
            <w:r>
              <w:rPr>
                <w:sz w:val="16"/>
              </w:rPr>
              <w:t>minimum transport, carburant, charges, frais partenaire.</w:t>
            </w:r>
          </w:p>
        </w:tc>
      </w:tr>
      <w:tr>
        <w:tc>
          <w:tcPr>
            <w:tcW w:type="dxa" w:w="5083"/>
            <w:vAlign w:val="top"/>
            <w:shd w:fill="F7F8FA"/>
          </w:tcPr>
          <w:p>
            <w:pPr>
              <w:spacing w:after="20"/>
            </w:pPr>
            <w:r>
              <w:rPr>
                <w:sz w:val="16"/>
              </w:rPr>
              <w:t>intercity_pricing_rules</w:t>
            </w:r>
          </w:p>
        </w:tc>
        <w:tc>
          <w:tcPr>
            <w:tcW w:type="dxa" w:w="5083"/>
            <w:vAlign w:val="top"/>
            <w:shd w:fill="F7F8FA"/>
          </w:tcPr>
          <w:p>
            <w:pPr>
              <w:spacing w:after="20"/>
            </w:pPr>
            <w:r>
              <w:rPr>
                <w:sz w:val="16"/>
              </w:rPr>
              <w:t>garantie 10 % et minimum 1 000 XOF.</w:t>
            </w:r>
          </w:p>
        </w:tc>
      </w:tr>
      <w:tr>
        <w:tc>
          <w:tcPr>
            <w:tcW w:type="dxa" w:w="5083"/>
            <w:vAlign w:val="top"/>
          </w:tcPr>
          <w:p>
            <w:pPr>
              <w:spacing w:after="20"/>
            </w:pPr>
            <w:r>
              <w:rPr>
                <w:sz w:val="16"/>
              </w:rPr>
              <w:t>urban_delivery_time_rules</w:t>
            </w:r>
          </w:p>
        </w:tc>
        <w:tc>
          <w:tcPr>
            <w:tcW w:type="dxa" w:w="5083"/>
            <w:vAlign w:val="top"/>
          </w:tcPr>
          <w:p>
            <w:pPr>
              <w:spacing w:after="20"/>
            </w:pPr>
            <w:r>
              <w:rPr>
                <w:sz w:val="16"/>
              </w:rPr>
              <w:t>distance min/max et transit min/max.</w:t>
            </w:r>
          </w:p>
        </w:tc>
      </w:tr>
      <w:tr>
        <w:tc>
          <w:tcPr>
            <w:tcW w:type="dxa" w:w="5083"/>
            <w:vAlign w:val="top"/>
            <w:shd w:fill="F7F8FA"/>
          </w:tcPr>
          <w:p>
            <w:pPr>
              <w:spacing w:after="20"/>
            </w:pPr>
            <w:r>
              <w:rPr>
                <w:sz w:val="16"/>
              </w:rPr>
              <w:t>settlements</w:t>
            </w:r>
          </w:p>
        </w:tc>
        <w:tc>
          <w:tcPr>
            <w:tcW w:type="dxa" w:w="5083"/>
            <w:vAlign w:val="top"/>
            <w:shd w:fill="F7F8FA"/>
          </w:tcPr>
          <w:p>
            <w:pPr>
              <w:spacing w:after="20"/>
            </w:pPr>
            <w:r>
              <w:rPr>
                <w:sz w:val="16"/>
              </w:rPr>
              <w:t>bénéficiaire partenaire logistique.</w:t>
            </w:r>
          </w:p>
        </w:tc>
      </w:tr>
      <w:tr>
        <w:tc>
          <w:tcPr>
            <w:tcW w:type="dxa" w:w="5083"/>
            <w:vAlign w:val="top"/>
          </w:tcPr>
          <w:p>
            <w:pPr>
              <w:spacing w:after="20"/>
            </w:pPr>
            <w:r>
              <w:rPr>
                <w:sz w:val="16"/>
              </w:rPr>
              <w:t>ledger_accounts</w:t>
            </w:r>
          </w:p>
        </w:tc>
        <w:tc>
          <w:tcPr>
            <w:tcW w:type="dxa" w:w="5083"/>
            <w:vAlign w:val="top"/>
          </w:tcPr>
          <w:p>
            <w:pPr>
              <w:spacing w:after="20"/>
            </w:pPr>
            <w:r>
              <w:rPr>
                <w:sz w:val="16"/>
              </w:rPr>
              <w:t>compte de passif dédié au partenaire interville.</w:t>
            </w:r>
          </w:p>
        </w:tc>
      </w:tr>
    </w:tbl>
    <w:p>
      <w:pPr>
        <w:spacing w:after="20"/>
      </w:pPr>
    </w:p>
    <w:p>
      <w:pPr>
        <w:pStyle w:val="Heading1"/>
        <w:keepNext/>
      </w:pPr>
      <w:r>
        <w:t>21. Matrice front-end / back-end</w:t>
      </w:r>
    </w:p>
    <w:tbl>
      <w:tblPr>
        <w:tblStyle w:val="TableGrid"/>
        <w:tblW w:type="auto" w:w="0"/>
        <w:jc w:val="center"/>
        <w:tblLook w:firstColumn="1" w:firstRow="1" w:lastColumn="0" w:lastRow="0" w:noHBand="0" w:noVBand="1" w:val="04A0"/>
        <w:tblBorders>
          <w:top w:val="single" w:sz="4" w:space="0" w:color="D8DDE5"/>
          <w:left w:val="single" w:sz="4" w:space="0" w:color="D8DDE5"/>
          <w:bottom w:val="single" w:sz="4" w:space="0" w:color="D8DDE5"/>
          <w:right w:val="single" w:sz="4" w:space="0" w:color="D8DDE5"/>
          <w:insideH w:val="single" w:sz="4" w:space="0" w:color="D8DDE5"/>
          <w:insideV w:val="single" w:sz="4" w:space="0" w:color="D8DDE5"/>
        </w:tblBorders>
      </w:tblPr>
      <w:tblGrid>
        <w:gridCol w:w="2541"/>
        <w:gridCol w:w="2541"/>
        <w:gridCol w:w="2541"/>
        <w:gridCol w:w="2541"/>
      </w:tblGrid>
      <w:tr>
        <w:trPr>
          <w:tblHeader w:val="true"/>
        </w:trPr>
        <w:tc>
          <w:tcPr>
            <w:tcW w:type="dxa" w:w="2541"/>
            <w:shd w:fill="1F355B"/>
            <w:vAlign w:val="center"/>
          </w:tcPr>
          <w:p>
            <w:pPr>
              <w:jc w:val="left"/>
            </w:pPr>
            <w:r>
              <w:rPr>
                <w:b/>
                <w:color w:val="FFFFFF"/>
                <w:sz w:val="16"/>
              </w:rPr>
              <w:t>Parcours</w:t>
            </w:r>
          </w:p>
        </w:tc>
        <w:tc>
          <w:tcPr>
            <w:tcW w:type="dxa" w:w="2541"/>
            <w:shd w:fill="1F355B"/>
            <w:vAlign w:val="center"/>
          </w:tcPr>
          <w:p>
            <w:pPr>
              <w:jc w:val="left"/>
            </w:pPr>
            <w:r>
              <w:rPr>
                <w:b/>
                <w:color w:val="FFFFFF"/>
                <w:sz w:val="16"/>
              </w:rPr>
              <w:t>Écran mobile</w:t>
            </w:r>
          </w:p>
        </w:tc>
        <w:tc>
          <w:tcPr>
            <w:tcW w:type="dxa" w:w="2541"/>
            <w:shd w:fill="1F355B"/>
            <w:vAlign w:val="center"/>
          </w:tcPr>
          <w:p>
            <w:pPr>
              <w:jc w:val="left"/>
            </w:pPr>
            <w:r>
              <w:rPr>
                <w:b/>
                <w:color w:val="FFFFFF"/>
                <w:sz w:val="16"/>
              </w:rPr>
              <w:t>API / backend</w:t>
            </w:r>
          </w:p>
        </w:tc>
        <w:tc>
          <w:tcPr>
            <w:tcW w:type="dxa" w:w="2541"/>
            <w:shd w:fill="1F355B"/>
            <w:vAlign w:val="center"/>
          </w:tcPr>
          <w:p>
            <w:pPr>
              <w:jc w:val="left"/>
            </w:pPr>
            <w:r>
              <w:rPr>
                <w:b/>
                <w:color w:val="FFFFFF"/>
                <w:sz w:val="16"/>
              </w:rPr>
              <w:t>V58 renforcé</w:t>
            </w:r>
          </w:p>
        </w:tc>
      </w:tr>
      <w:tr>
        <w:tc>
          <w:tcPr>
            <w:tcW w:type="dxa" w:w="2541"/>
            <w:vAlign w:val="top"/>
            <w:shd w:fill="F7F8FA"/>
          </w:tcPr>
          <w:p>
            <w:pPr>
              <w:spacing w:after="20"/>
            </w:pPr>
            <w:r>
              <w:rPr>
                <w:sz w:val="16"/>
              </w:rPr>
              <w:t>Création produit</w:t>
            </w:r>
          </w:p>
        </w:tc>
        <w:tc>
          <w:tcPr>
            <w:tcW w:type="dxa" w:w="2541"/>
            <w:vAlign w:val="top"/>
            <w:shd w:fill="F7F8FA"/>
          </w:tcPr>
          <w:p>
            <w:pPr>
              <w:spacing w:after="20"/>
            </w:pPr>
            <w:r>
              <w:rPr>
                <w:sz w:val="16"/>
              </w:rPr>
              <w:t>SellerProductEditor + Logistics + Categories</w:t>
            </w:r>
          </w:p>
        </w:tc>
        <w:tc>
          <w:tcPr>
            <w:tcW w:type="dxa" w:w="2541"/>
            <w:vAlign w:val="top"/>
            <w:shd w:fill="F7F8FA"/>
          </w:tcPr>
          <w:p>
            <w:pPr>
              <w:spacing w:after="20"/>
            </w:pPr>
            <w:r>
              <w:rPr>
                <w:sz w:val="16"/>
              </w:rPr>
              <w:t>/vendor/products + services product</w:t>
            </w:r>
          </w:p>
        </w:tc>
        <w:tc>
          <w:tcPr>
            <w:tcW w:type="dxa" w:w="2541"/>
            <w:vAlign w:val="top"/>
            <w:shd w:fill="F7F8FA"/>
          </w:tcPr>
          <w:p>
            <w:pPr>
              <w:spacing w:after="20"/>
            </w:pPr>
            <w:r>
              <w:rPr>
                <w:sz w:val="16"/>
              </w:rPr>
              <w:t>Préparation, conservation, catégories multiples</w:t>
            </w:r>
          </w:p>
        </w:tc>
      </w:tr>
      <w:tr>
        <w:tc>
          <w:tcPr>
            <w:tcW w:type="dxa" w:w="2541"/>
            <w:vAlign w:val="top"/>
          </w:tcPr>
          <w:p>
            <w:pPr>
              <w:spacing w:after="20"/>
            </w:pPr>
            <w:r>
              <w:rPr>
                <w:sz w:val="16"/>
              </w:rPr>
              <w:t>Checkout urbain</w:t>
            </w:r>
          </w:p>
        </w:tc>
        <w:tc>
          <w:tcPr>
            <w:tcW w:type="dxa" w:w="2541"/>
            <w:vAlign w:val="top"/>
          </w:tcPr>
          <w:p>
            <w:pPr>
              <w:spacing w:after="20"/>
            </w:pPr>
            <w:r>
              <w:rPr>
                <w:sz w:val="16"/>
              </w:rPr>
              <w:t>CheckoutScreen</w:t>
            </w:r>
          </w:p>
        </w:tc>
        <w:tc>
          <w:tcPr>
            <w:tcW w:type="dxa" w:w="2541"/>
            <w:vAlign w:val="top"/>
          </w:tcPr>
          <w:p>
            <w:pPr>
              <w:spacing w:after="20"/>
            </w:pPr>
            <w:r>
              <w:rPr>
                <w:sz w:val="16"/>
              </w:rPr>
              <w:t>/orders/quote + /orders</w:t>
            </w:r>
          </w:p>
        </w:tc>
        <w:tc>
          <w:tcPr>
            <w:tcW w:type="dxa" w:w="2541"/>
            <w:vAlign w:val="top"/>
          </w:tcPr>
          <w:p>
            <w:pPr>
              <w:spacing w:after="20"/>
            </w:pPr>
            <w:r>
              <w:rPr>
                <w:sz w:val="16"/>
              </w:rPr>
              <w:t>Transit urbain configuré et ETA au pickup</w:t>
            </w:r>
          </w:p>
        </w:tc>
      </w:tr>
      <w:tr>
        <w:tc>
          <w:tcPr>
            <w:tcW w:type="dxa" w:w="2541"/>
            <w:vAlign w:val="top"/>
            <w:shd w:fill="F7F8FA"/>
          </w:tcPr>
          <w:p>
            <w:pPr>
              <w:spacing w:after="20"/>
            </w:pPr>
            <w:r>
              <w:rPr>
                <w:sz w:val="16"/>
              </w:rPr>
              <w:t>Checkout interville</w:t>
            </w:r>
          </w:p>
        </w:tc>
        <w:tc>
          <w:tcPr>
            <w:tcW w:type="dxa" w:w="2541"/>
            <w:vAlign w:val="top"/>
            <w:shd w:fill="F7F8FA"/>
          </w:tcPr>
          <w:p>
            <w:pPr>
              <w:spacing w:after="20"/>
            </w:pPr>
            <w:r>
              <w:rPr>
                <w:sz w:val="16"/>
              </w:rPr>
              <w:t>CheckoutScreen</w:t>
            </w:r>
          </w:p>
        </w:tc>
        <w:tc>
          <w:tcPr>
            <w:tcW w:type="dxa" w:w="2541"/>
            <w:vAlign w:val="top"/>
            <w:shd w:fill="F7F8FA"/>
          </w:tcPr>
          <w:p>
            <w:pPr>
              <w:spacing w:after="20"/>
            </w:pPr>
            <w:r>
              <w:rPr>
                <w:sz w:val="16"/>
              </w:rPr>
              <w:t>/intercity/options + /intercity/validate + /orders</w:t>
            </w:r>
          </w:p>
        </w:tc>
        <w:tc>
          <w:tcPr>
            <w:tcW w:type="dxa" w:w="2541"/>
            <w:vAlign w:val="top"/>
            <w:shd w:fill="F7F8FA"/>
          </w:tcPr>
          <w:p>
            <w:pPr>
              <w:spacing w:after="20"/>
            </w:pPr>
            <w:r>
              <w:rPr>
                <w:sz w:val="16"/>
              </w:rPr>
              <w:t>Route, point destination, valeur, garantie 10 %, coût opérationnel</w:t>
            </w:r>
          </w:p>
        </w:tc>
      </w:tr>
      <w:tr>
        <w:tc>
          <w:tcPr>
            <w:tcW w:type="dxa" w:w="2541"/>
            <w:vAlign w:val="top"/>
          </w:tcPr>
          <w:p>
            <w:pPr>
              <w:spacing w:after="20"/>
            </w:pPr>
            <w:r>
              <w:rPr>
                <w:sz w:val="16"/>
              </w:rPr>
              <w:t>Préparation</w:t>
            </w:r>
          </w:p>
        </w:tc>
        <w:tc>
          <w:tcPr>
            <w:tcW w:type="dxa" w:w="2541"/>
            <w:vAlign w:val="top"/>
          </w:tcPr>
          <w:p>
            <w:pPr>
              <w:spacing w:after="20"/>
            </w:pPr>
            <w:r>
              <w:rPr>
                <w:sz w:val="16"/>
              </w:rPr>
              <w:t>SellerOrderDetails</w:t>
            </w:r>
          </w:p>
        </w:tc>
        <w:tc>
          <w:tcPr>
            <w:tcW w:type="dxa" w:w="2541"/>
            <w:vAlign w:val="top"/>
          </w:tcPr>
          <w:p>
            <w:pPr>
              <w:spacing w:after="20"/>
            </w:pPr>
            <w:r>
              <w:rPr>
                <w:sz w:val="16"/>
              </w:rPr>
              <w:t>/vendor orders compatibility routes</w:t>
            </w:r>
          </w:p>
        </w:tc>
        <w:tc>
          <w:tcPr>
            <w:tcW w:type="dxa" w:w="2541"/>
            <w:vAlign w:val="top"/>
          </w:tcPr>
          <w:p>
            <w:pPr>
              <w:spacing w:after="20"/>
            </w:pPr>
            <w:r>
              <w:rPr>
                <w:sz w:val="16"/>
              </w:rPr>
              <w:t>Gate serveur avant expédition</w:t>
            </w:r>
          </w:p>
        </w:tc>
      </w:tr>
      <w:tr>
        <w:tc>
          <w:tcPr>
            <w:tcW w:type="dxa" w:w="2541"/>
            <w:vAlign w:val="top"/>
            <w:shd w:fill="F7F8FA"/>
          </w:tcPr>
          <w:p>
            <w:pPr>
              <w:spacing w:after="20"/>
            </w:pPr>
            <w:r>
              <w:rPr>
                <w:sz w:val="16"/>
              </w:rPr>
              <w:t>Suivi acheteur</w:t>
            </w:r>
          </w:p>
        </w:tc>
        <w:tc>
          <w:tcPr>
            <w:tcW w:type="dxa" w:w="2541"/>
            <w:vAlign w:val="top"/>
            <w:shd w:fill="F7F8FA"/>
          </w:tcPr>
          <w:p>
            <w:pPr>
              <w:spacing w:after="20"/>
            </w:pPr>
            <w:r>
              <w:rPr>
                <w:sz w:val="16"/>
              </w:rPr>
              <w:t>OrderDetails + DeliveryTracking</w:t>
            </w:r>
          </w:p>
        </w:tc>
        <w:tc>
          <w:tcPr>
            <w:tcW w:type="dxa" w:w="2541"/>
            <w:vAlign w:val="top"/>
            <w:shd w:fill="F7F8FA"/>
          </w:tcPr>
          <w:p>
            <w:pPr>
              <w:spacing w:after="20"/>
            </w:pPr>
            <w:r>
              <w:rPr>
                <w:sz w:val="16"/>
              </w:rPr>
              <w:t>GET /orders/:id</w:t>
            </w:r>
          </w:p>
        </w:tc>
        <w:tc>
          <w:tcPr>
            <w:tcW w:type="dxa" w:w="2541"/>
            <w:vAlign w:val="top"/>
            <w:shd w:fill="F7F8FA"/>
          </w:tcPr>
          <w:p>
            <w:pPr>
              <w:spacing w:after="20"/>
            </w:pPr>
            <w:r>
              <w:rPr>
                <w:sz w:val="16"/>
              </w:rPr>
              <w:t>Préparation + transit + ETA</w:t>
            </w:r>
          </w:p>
        </w:tc>
      </w:tr>
      <w:tr>
        <w:tc>
          <w:tcPr>
            <w:tcW w:type="dxa" w:w="2541"/>
            <w:vAlign w:val="top"/>
          </w:tcPr>
          <w:p>
            <w:pPr>
              <w:spacing w:after="20"/>
            </w:pPr>
            <w:r>
              <w:rPr>
                <w:sz w:val="16"/>
              </w:rPr>
              <w:t>Pickup urbain</w:t>
            </w:r>
          </w:p>
        </w:tc>
        <w:tc>
          <w:tcPr>
            <w:tcW w:type="dxa" w:w="2541"/>
            <w:vAlign w:val="top"/>
          </w:tcPr>
          <w:p>
            <w:pPr>
              <w:spacing w:after="20"/>
            </w:pPr>
            <w:r>
              <w:rPr>
                <w:sz w:val="16"/>
              </w:rPr>
              <w:t>Transporter mission</w:t>
            </w:r>
          </w:p>
        </w:tc>
        <w:tc>
          <w:tcPr>
            <w:tcW w:type="dxa" w:w="2541"/>
            <w:vAlign w:val="top"/>
          </w:tcPr>
          <w:p>
            <w:pPr>
              <w:spacing w:after="20"/>
            </w:pPr>
            <w:r>
              <w:rPr>
                <w:sz w:val="16"/>
              </w:rPr>
              <w:t>/transporter/missions/:id/pickup</w:t>
            </w:r>
          </w:p>
        </w:tc>
        <w:tc>
          <w:tcPr>
            <w:tcW w:type="dxa" w:w="2541"/>
            <w:vAlign w:val="top"/>
          </w:tcPr>
          <w:p>
            <w:pPr>
              <w:spacing w:after="20"/>
            </w:pPr>
            <w:r>
              <w:rPr>
                <w:sz w:val="16"/>
              </w:rPr>
              <w:t>Début de l’horloge transit</w:t>
            </w:r>
          </w:p>
        </w:tc>
      </w:tr>
      <w:tr>
        <w:tc>
          <w:tcPr>
            <w:tcW w:type="dxa" w:w="2541"/>
            <w:vAlign w:val="top"/>
            <w:shd w:fill="F7F8FA"/>
          </w:tcPr>
          <w:p>
            <w:pPr>
              <w:spacing w:after="20"/>
            </w:pPr>
            <w:r>
              <w:rPr>
                <w:sz w:val="16"/>
              </w:rPr>
              <w:t>Pickup interville</w:t>
            </w:r>
          </w:p>
        </w:tc>
        <w:tc>
          <w:tcPr>
            <w:tcW w:type="dxa" w:w="2541"/>
            <w:vAlign w:val="top"/>
            <w:shd w:fill="F7F8FA"/>
          </w:tcPr>
          <w:p>
            <w:pPr>
              <w:spacing w:after="20"/>
            </w:pPr>
            <w:r>
              <w:rPr>
                <w:sz w:val="16"/>
              </w:rPr>
              <w:t>Admin/interne partenaire</w:t>
            </w:r>
          </w:p>
        </w:tc>
        <w:tc>
          <w:tcPr>
            <w:tcW w:type="dxa" w:w="2541"/>
            <w:vAlign w:val="top"/>
            <w:shd w:fill="F7F8FA"/>
          </w:tcPr>
          <w:p>
            <w:pPr>
              <w:spacing w:after="20"/>
            </w:pPr>
            <w:r>
              <w:rPr>
                <w:sz w:val="16"/>
              </w:rPr>
              <w:t>/intercity/shipments/:id/partner-pickup</w:t>
            </w:r>
          </w:p>
        </w:tc>
        <w:tc>
          <w:tcPr>
            <w:tcW w:type="dxa" w:w="2541"/>
            <w:vAlign w:val="top"/>
            <w:shd w:fill="F7F8FA"/>
          </w:tcPr>
          <w:p>
            <w:pPr>
              <w:spacing w:after="20"/>
            </w:pPr>
            <w:r>
              <w:rPr>
                <w:sz w:val="16"/>
              </w:rPr>
              <w:t>Début de l’ETA interville</w:t>
            </w:r>
          </w:p>
        </w:tc>
      </w:tr>
      <w:tr>
        <w:tc>
          <w:tcPr>
            <w:tcW w:type="dxa" w:w="2541"/>
            <w:vAlign w:val="top"/>
          </w:tcPr>
          <w:p>
            <w:pPr>
              <w:spacing w:after="20"/>
            </w:pPr>
            <w:r>
              <w:rPr>
                <w:sz w:val="16"/>
              </w:rPr>
              <w:t>Perte interville</w:t>
            </w:r>
          </w:p>
        </w:tc>
        <w:tc>
          <w:tcPr>
            <w:tcW w:type="dxa" w:w="2541"/>
            <w:vAlign w:val="top"/>
          </w:tcPr>
          <w:p>
            <w:pPr>
              <w:spacing w:after="20"/>
            </w:pPr>
            <w:r>
              <w:rPr>
                <w:sz w:val="16"/>
              </w:rPr>
              <w:t>Admin</w:t>
            </w:r>
          </w:p>
        </w:tc>
        <w:tc>
          <w:tcPr>
            <w:tcW w:type="dxa" w:w="2541"/>
            <w:vAlign w:val="top"/>
          </w:tcPr>
          <w:p>
            <w:pPr>
              <w:spacing w:after="20"/>
            </w:pPr>
            <w:r>
              <w:rPr>
                <w:sz w:val="16"/>
              </w:rPr>
              <w:t>/intercity/shipments/:id/mark-lost</w:t>
            </w:r>
          </w:p>
        </w:tc>
        <w:tc>
          <w:tcPr>
            <w:tcW w:type="dxa" w:w="2541"/>
            <w:vAlign w:val="top"/>
          </w:tcPr>
          <w:p>
            <w:pPr>
              <w:spacing w:after="20"/>
            </w:pPr>
            <w:r>
              <w:rPr>
                <w:sz w:val="16"/>
              </w:rPr>
              <w:t>Remboursement de garantie</w:t>
            </w:r>
          </w:p>
        </w:tc>
      </w:tr>
      <w:tr>
        <w:tc>
          <w:tcPr>
            <w:tcW w:type="dxa" w:w="2541"/>
            <w:vAlign w:val="top"/>
            <w:shd w:fill="F7F8FA"/>
          </w:tcPr>
          <w:p>
            <w:pPr>
              <w:spacing w:after="20"/>
            </w:pPr>
            <w:r>
              <w:rPr>
                <w:sz w:val="16"/>
              </w:rPr>
              <w:t>Paiement</w:t>
            </w:r>
          </w:p>
        </w:tc>
        <w:tc>
          <w:tcPr>
            <w:tcW w:type="dxa" w:w="2541"/>
            <w:vAlign w:val="top"/>
            <w:shd w:fill="F7F8FA"/>
          </w:tcPr>
          <w:p>
            <w:pPr>
              <w:spacing w:after="20"/>
            </w:pPr>
            <w:r>
              <w:rPr>
                <w:sz w:val="16"/>
              </w:rPr>
              <w:t>Checkout / Wallet</w:t>
            </w:r>
          </w:p>
        </w:tc>
        <w:tc>
          <w:tcPr>
            <w:tcW w:type="dxa" w:w="2541"/>
            <w:vAlign w:val="top"/>
            <w:shd w:fill="F7F8FA"/>
          </w:tcPr>
          <w:p>
            <w:pPr>
              <w:spacing w:after="20"/>
            </w:pPr>
            <w:r>
              <w:rPr>
                <w:sz w:val="16"/>
              </w:rPr>
              <w:t>/escrow, webhooks, finance</w:t>
            </w:r>
          </w:p>
        </w:tc>
        <w:tc>
          <w:tcPr>
            <w:tcW w:type="dxa" w:w="2541"/>
            <w:vAlign w:val="top"/>
            <w:shd w:fill="F7F8FA"/>
          </w:tcPr>
          <w:p>
            <w:pPr>
              <w:spacing w:after="20"/>
            </w:pPr>
            <w:r>
              <w:rPr>
                <w:sz w:val="16"/>
              </w:rPr>
              <w:t>Snapshots et idempotence existants</w:t>
            </w:r>
          </w:p>
        </w:tc>
      </w:tr>
    </w:tbl>
    <w:p>
      <w:pPr>
        <w:spacing w:after="20"/>
      </w:pPr>
    </w:p>
    <w:p>
      <w:pPr>
        <w:pStyle w:val="Heading1"/>
        <w:keepNext/>
      </w:pPr>
      <w:r>
        <w:t>22. Audit transversal et points fermés</w:t>
      </w:r>
    </w:p>
    <w:p>
      <w:r>
        <w:t>L’audit croisé du dépôt montre un ensemble déjà fortement durci par les sessions précédentes. Les corrections historiques comprennent notamment des problèmes d’authentification, de validation d’erreur, de commission, de paiement, de KYC, de transport, de preuves, de navigation admin et de cohérence catalogue.</w:t>
      </w:r>
    </w:p>
    <w:tbl>
      <w:tblPr>
        <w:tblStyle w:val="TableGrid"/>
        <w:tblW w:type="auto" w:w="0"/>
        <w:jc w:val="center"/>
        <w:tblLook w:firstColumn="1" w:firstRow="1" w:lastColumn="0" w:lastRow="0" w:noHBand="0" w:noVBand="1" w:val="04A0"/>
        <w:tblBorders>
          <w:top w:val="single" w:sz="4" w:space="0" w:color="D8DDE5"/>
          <w:left w:val="single" w:sz="4" w:space="0" w:color="D8DDE5"/>
          <w:bottom w:val="single" w:sz="4" w:space="0" w:color="D8DDE5"/>
          <w:right w:val="single" w:sz="4" w:space="0" w:color="D8DDE5"/>
          <w:insideH w:val="single" w:sz="4" w:space="0" w:color="D8DDE5"/>
          <w:insideV w:val="single" w:sz="4" w:space="0" w:color="D8DDE5"/>
        </w:tblBorders>
      </w:tblPr>
      <w:tblGrid>
        <w:gridCol w:w="5083"/>
        <w:gridCol w:w="5083"/>
      </w:tblGrid>
      <w:tr>
        <w:trPr>
          <w:tblHeader w:val="true"/>
        </w:trPr>
        <w:tc>
          <w:tcPr>
            <w:tcW w:type="dxa" w:w="5083"/>
            <w:shd w:fill="1F355B"/>
            <w:vAlign w:val="center"/>
          </w:tcPr>
          <w:p>
            <w:pPr>
              <w:jc w:val="left"/>
            </w:pPr>
            <w:r>
              <w:rPr>
                <w:b/>
                <w:color w:val="FFFFFF"/>
                <w:sz w:val="16"/>
              </w:rPr>
              <w:t>Point</w:t>
            </w:r>
          </w:p>
        </w:tc>
        <w:tc>
          <w:tcPr>
            <w:tcW w:type="dxa" w:w="5083"/>
            <w:shd w:fill="1F355B"/>
            <w:vAlign w:val="center"/>
          </w:tcPr>
          <w:p>
            <w:pPr>
              <w:jc w:val="left"/>
            </w:pPr>
            <w:r>
              <w:rPr>
                <w:b/>
                <w:color w:val="FFFFFF"/>
                <w:sz w:val="16"/>
              </w:rPr>
              <w:t>Constat / correction</w:t>
            </w:r>
          </w:p>
        </w:tc>
      </w:tr>
      <w:tr>
        <w:tc>
          <w:tcPr>
            <w:tcW w:type="dxa" w:w="5083"/>
            <w:vAlign w:val="top"/>
            <w:shd w:fill="F7F8FA"/>
          </w:tcPr>
          <w:p>
            <w:pPr>
              <w:spacing w:after="20"/>
            </w:pPr>
            <w:r>
              <w:rPr>
                <w:sz w:val="16"/>
              </w:rPr>
              <w:t>Préparation produit</w:t>
            </w:r>
          </w:p>
        </w:tc>
        <w:tc>
          <w:tcPr>
            <w:tcW w:type="dxa" w:w="5083"/>
            <w:vAlign w:val="top"/>
            <w:shd w:fill="F7F8FA"/>
          </w:tcPr>
          <w:p>
            <w:pPr>
              <w:spacing w:after="20"/>
            </w:pPr>
            <w:r>
              <w:rPr>
                <w:sz w:val="16"/>
              </w:rPr>
              <w:t>Manquait avant V58 : aucun SLA produit structuré. Ajouté.</w:t>
            </w:r>
          </w:p>
        </w:tc>
      </w:tr>
      <w:tr>
        <w:tc>
          <w:tcPr>
            <w:tcW w:type="dxa" w:w="5083"/>
            <w:vAlign w:val="top"/>
          </w:tcPr>
          <w:p>
            <w:pPr>
              <w:spacing w:after="20"/>
            </w:pPr>
            <w:r>
              <w:rPr>
                <w:sz w:val="16"/>
              </w:rPr>
              <w:t>Périssable</w:t>
            </w:r>
          </w:p>
        </w:tc>
        <w:tc>
          <w:tcPr>
            <w:tcW w:type="dxa" w:w="5083"/>
            <w:vAlign w:val="top"/>
          </w:tcPr>
          <w:p>
            <w:pPr>
              <w:spacing w:after="20"/>
            </w:pPr>
            <w:r>
              <w:rPr>
                <w:sz w:val="16"/>
              </w:rPr>
              <w:t>Avant V58 : simple durée de conservation. Désormais référence temporelle + durée + durée restante.</w:t>
            </w:r>
          </w:p>
        </w:tc>
      </w:tr>
      <w:tr>
        <w:tc>
          <w:tcPr>
            <w:tcW w:type="dxa" w:w="5083"/>
            <w:vAlign w:val="top"/>
            <w:shd w:fill="F7F8FA"/>
          </w:tcPr>
          <w:p>
            <w:pPr>
              <w:spacing w:after="20"/>
            </w:pPr>
            <w:r>
              <w:rPr>
                <w:sz w:val="16"/>
              </w:rPr>
              <w:t>Transit</w:t>
            </w:r>
          </w:p>
        </w:tc>
        <w:tc>
          <w:tcPr>
            <w:tcW w:type="dxa" w:w="5083"/>
            <w:vAlign w:val="top"/>
            <w:shd w:fill="F7F8FA"/>
          </w:tcPr>
          <w:p>
            <w:pPr>
              <w:spacing w:after="20"/>
            </w:pPr>
            <w:r>
              <w:rPr>
                <w:sz w:val="16"/>
              </w:rPr>
              <w:t>Avant V58 : pas de modèle explicite complet de temps de transit urbain. Désormais règle min/max administrable.</w:t>
            </w:r>
          </w:p>
        </w:tc>
      </w:tr>
      <w:tr>
        <w:tc>
          <w:tcPr>
            <w:tcW w:type="dxa" w:w="5083"/>
            <w:vAlign w:val="top"/>
          </w:tcPr>
          <w:p>
            <w:pPr>
              <w:spacing w:after="20"/>
            </w:pPr>
            <w:r>
              <w:rPr>
                <w:sz w:val="16"/>
              </w:rPr>
              <w:t>Interville</w:t>
            </w:r>
          </w:p>
        </w:tc>
        <w:tc>
          <w:tcPr>
            <w:tcW w:type="dxa" w:w="5083"/>
            <w:vAlign w:val="top"/>
          </w:tcPr>
          <w:p>
            <w:pPr>
              <w:spacing w:after="20"/>
            </w:pPr>
            <w:r>
              <w:rPr>
                <w:sz w:val="16"/>
              </w:rPr>
              <w:t>V57 préparait le réseau partenaire mais ne séparait pas totalement garantie, coût opérationnel et règlement partenaire. V58 complète ce modèle.</w:t>
            </w:r>
          </w:p>
        </w:tc>
      </w:tr>
      <w:tr>
        <w:tc>
          <w:tcPr>
            <w:tcW w:type="dxa" w:w="5083"/>
            <w:vAlign w:val="top"/>
            <w:shd w:fill="F7F8FA"/>
          </w:tcPr>
          <w:p>
            <w:pPr>
              <w:spacing w:after="20"/>
            </w:pPr>
            <w:r>
              <w:rPr>
                <w:sz w:val="16"/>
              </w:rPr>
              <w:t>Catalogue</w:t>
            </w:r>
          </w:p>
        </w:tc>
        <w:tc>
          <w:tcPr>
            <w:tcW w:type="dxa" w:w="5083"/>
            <w:vAlign w:val="top"/>
            <w:shd w:fill="F7F8FA"/>
          </w:tcPr>
          <w:p>
            <w:pPr>
              <w:spacing w:after="20"/>
            </w:pPr>
            <w:r>
              <w:rPr>
                <w:sz w:val="16"/>
              </w:rPr>
              <w:t>Risque de doublons de routes de compatibilité : V58 recentre les routes publiques enrichies sur `products.js`.</w:t>
            </w:r>
          </w:p>
        </w:tc>
      </w:tr>
      <w:tr>
        <w:tc>
          <w:tcPr>
            <w:tcW w:type="dxa" w:w="5083"/>
            <w:vAlign w:val="top"/>
          </w:tcPr>
          <w:p>
            <w:pPr>
              <w:spacing w:after="20"/>
            </w:pPr>
            <w:r>
              <w:rPr>
                <w:sz w:val="16"/>
              </w:rPr>
              <w:t>Suivi</w:t>
            </w:r>
          </w:p>
        </w:tc>
        <w:tc>
          <w:tcPr>
            <w:tcW w:type="dxa" w:w="5083"/>
            <w:vAlign w:val="top"/>
          </w:tcPr>
          <w:p>
            <w:pPr>
              <w:spacing w:after="20"/>
            </w:pPr>
            <w:r>
              <w:rPr>
                <w:sz w:val="16"/>
              </w:rPr>
              <w:t>V58 expose explicitement les horodatages de préparation et d’ETA via la commande.</w:t>
            </w:r>
          </w:p>
        </w:tc>
      </w:tr>
      <w:tr>
        <w:tc>
          <w:tcPr>
            <w:tcW w:type="dxa" w:w="5083"/>
            <w:vAlign w:val="top"/>
            <w:shd w:fill="F7F8FA"/>
          </w:tcPr>
          <w:p>
            <w:pPr>
              <w:spacing w:after="20"/>
            </w:pPr>
            <w:r>
              <w:rPr>
                <w:sz w:val="16"/>
              </w:rPr>
              <w:t>Comptabilité interville</w:t>
            </w:r>
          </w:p>
        </w:tc>
        <w:tc>
          <w:tcPr>
            <w:tcW w:type="dxa" w:w="5083"/>
            <w:vAlign w:val="top"/>
            <w:shd w:fill="F7F8FA"/>
          </w:tcPr>
          <w:p>
            <w:pPr>
              <w:spacing w:after="20"/>
            </w:pPr>
            <w:r>
              <w:rPr>
                <w:sz w:val="16"/>
              </w:rPr>
              <w:t>Compte de passif partenaire ajouté ; urban reste transporteur.</w:t>
            </w:r>
          </w:p>
        </w:tc>
      </w:tr>
      <w:tr>
        <w:tc>
          <w:tcPr>
            <w:tcW w:type="dxa" w:w="5083"/>
            <w:vAlign w:val="top"/>
          </w:tcPr>
          <w:p>
            <w:pPr>
              <w:spacing w:after="20"/>
            </w:pPr>
            <w:r>
              <w:rPr>
                <w:sz w:val="16"/>
              </w:rPr>
              <w:t>Perte</w:t>
            </w:r>
          </w:p>
        </w:tc>
        <w:tc>
          <w:tcPr>
            <w:tcW w:type="dxa" w:w="5083"/>
            <w:vAlign w:val="top"/>
          </w:tcPr>
          <w:p>
            <w:pPr>
              <w:spacing w:after="20"/>
            </w:pPr>
            <w:r>
              <w:rPr>
                <w:sz w:val="16"/>
              </w:rPr>
              <w:t>État `lost`, motif, remboursement garantie et anti-double-remboursement ajoutés.</w:t>
            </w:r>
          </w:p>
        </w:tc>
      </w:tr>
    </w:tbl>
    <w:p>
      <w:pPr>
        <w:spacing w:after="20"/>
      </w:pPr>
    </w:p>
    <w:p>
      <w:pPr>
        <w:pStyle w:val="Heading2"/>
        <w:keepNext/>
      </w:pPr>
      <w:r>
        <w:t>22.1 Ce qui n’est pas prétendu comme “terminé”</w:t>
      </w:r>
    </w:p>
    <w:p>
      <w:pPr>
        <w:pStyle w:val="ListBullet"/>
        <w:spacing w:after="40"/>
        <w:ind w:left="317"/>
      </w:pPr>
      <w:r>
        <w:t>Le dépôt GitHub n’a pas reçu le push V58 dans cette session ; le connecteur d’écriture a été refusé.</w:t>
      </w:r>
    </w:p>
    <w:p>
      <w:pPr>
        <w:pStyle w:val="ListBullet"/>
        <w:spacing w:after="40"/>
        <w:ind w:left="317"/>
      </w:pPr>
      <w:r>
        <w:t>Le build Expo complet et le `tsc --noEmit` sur l’ensemble du dépôt n’ont pas été exécutés dans ce bac à sable faute de checkout local avec dépendances installées.</w:t>
      </w:r>
    </w:p>
    <w:p>
      <w:pPr>
        <w:pStyle w:val="ListBullet"/>
        <w:spacing w:after="40"/>
        <w:ind w:left="317"/>
      </w:pPr>
      <w:r>
        <w:t>La migration PostgreSQL n’a pas été exécutée sur la base réelle.</w:t>
      </w:r>
    </w:p>
    <w:p>
      <w:pPr>
        <w:pStyle w:val="ListBullet"/>
        <w:spacing w:after="40"/>
        <w:ind w:left="317"/>
      </w:pPr>
      <w:r>
        <w:t>L’API/webhook spécifique de chaque compagnie interville n’est pas inventée : les handlers internes existent, mais le contrat fournisseur réel, les credentials et les signatures restent à brancher.</w:t>
      </w:r>
    </w:p>
    <w:p>
      <w:pPr>
        <w:pStyle w:val="ListBullet"/>
        <w:spacing w:after="40"/>
        <w:ind w:left="317"/>
      </w:pPr>
      <w:r>
        <w:t>Les valeurs de délais urbains ou de coûts par route doivent être renseignées par l’Administration/partenaire.</w:t>
      </w:r>
    </w:p>
    <w:p>
      <w:pPr>
        <w:pStyle w:val="Heading1"/>
        <w:keepNext/>
      </w:pPr>
      <w:r>
        <w:t>23. Tests à exécuter avant déploiement</w:t>
      </w:r>
    </w:p>
    <w:tbl>
      <w:tblPr>
        <w:tblStyle w:val="TableGrid"/>
        <w:tblW w:type="auto" w:w="0"/>
        <w:jc w:val="center"/>
        <w:tblLook w:firstColumn="1" w:firstRow="1" w:lastColumn="0" w:lastRow="0" w:noHBand="0" w:noVBand="1" w:val="04A0"/>
        <w:tblBorders>
          <w:top w:val="single" w:sz="4" w:space="0" w:color="D8DDE5"/>
          <w:left w:val="single" w:sz="4" w:space="0" w:color="D8DDE5"/>
          <w:bottom w:val="single" w:sz="4" w:space="0" w:color="D8DDE5"/>
          <w:right w:val="single" w:sz="4" w:space="0" w:color="D8DDE5"/>
          <w:insideH w:val="single" w:sz="4" w:space="0" w:color="D8DDE5"/>
          <w:insideV w:val="single" w:sz="4" w:space="0" w:color="D8DDE5"/>
        </w:tblBorders>
      </w:tblPr>
      <w:tblGrid>
        <w:gridCol w:w="5083"/>
        <w:gridCol w:w="5083"/>
      </w:tblGrid>
      <w:tr>
        <w:trPr>
          <w:tblHeader w:val="true"/>
        </w:trPr>
        <w:tc>
          <w:tcPr>
            <w:tcW w:type="dxa" w:w="5083"/>
            <w:shd w:fill="1F355B"/>
            <w:vAlign w:val="center"/>
          </w:tcPr>
          <w:p>
            <w:pPr>
              <w:jc w:val="left"/>
            </w:pPr>
            <w:r>
              <w:rPr>
                <w:b/>
                <w:color w:val="FFFFFF"/>
                <w:sz w:val="16"/>
              </w:rPr>
              <w:t>Test</w:t>
            </w:r>
          </w:p>
        </w:tc>
        <w:tc>
          <w:tcPr>
            <w:tcW w:type="dxa" w:w="5083"/>
            <w:shd w:fill="1F355B"/>
            <w:vAlign w:val="center"/>
          </w:tcPr>
          <w:p>
            <w:pPr>
              <w:jc w:val="left"/>
            </w:pPr>
            <w:r>
              <w:rPr>
                <w:b/>
                <w:color w:val="FFFFFF"/>
                <w:sz w:val="16"/>
              </w:rPr>
              <w:t>Critère</w:t>
            </w:r>
          </w:p>
        </w:tc>
      </w:tr>
      <w:tr>
        <w:tc>
          <w:tcPr>
            <w:tcW w:type="dxa" w:w="5083"/>
            <w:vAlign w:val="top"/>
            <w:shd w:fill="F7F8FA"/>
          </w:tcPr>
          <w:p>
            <w:pPr>
              <w:spacing w:after="20"/>
            </w:pPr>
            <w:r>
              <w:rPr>
                <w:sz w:val="16"/>
              </w:rPr>
              <w:t>Produit actif sans délai</w:t>
            </w:r>
          </w:p>
        </w:tc>
        <w:tc>
          <w:tcPr>
            <w:tcW w:type="dxa" w:w="5083"/>
            <w:vAlign w:val="top"/>
            <w:shd w:fill="F7F8FA"/>
          </w:tcPr>
          <w:p>
            <w:pPr>
              <w:spacing w:after="20"/>
            </w:pPr>
            <w:r>
              <w:rPr>
                <w:sz w:val="16"/>
              </w:rPr>
              <w:t>Rejet `PREPARATION_TIME_REQUIRED`.</w:t>
            </w:r>
          </w:p>
        </w:tc>
      </w:tr>
      <w:tr>
        <w:tc>
          <w:tcPr>
            <w:tcW w:type="dxa" w:w="5083"/>
            <w:vAlign w:val="top"/>
          </w:tcPr>
          <w:p>
            <w:pPr>
              <w:spacing w:after="20"/>
            </w:pPr>
            <w:r>
              <w:rPr>
                <w:sz w:val="16"/>
              </w:rPr>
              <w:t>Délai hors liste</w:t>
            </w:r>
          </w:p>
        </w:tc>
        <w:tc>
          <w:tcPr>
            <w:tcW w:type="dxa" w:w="5083"/>
            <w:vAlign w:val="top"/>
          </w:tcPr>
          <w:p>
            <w:pPr>
              <w:spacing w:after="20"/>
            </w:pPr>
            <w:r>
              <w:rPr>
                <w:sz w:val="16"/>
              </w:rPr>
              <w:t>Rejet ; seuls 1/2/3/4/12/24 sont acceptés.</w:t>
            </w:r>
          </w:p>
        </w:tc>
      </w:tr>
      <w:tr>
        <w:tc>
          <w:tcPr>
            <w:tcW w:type="dxa" w:w="5083"/>
            <w:vAlign w:val="top"/>
            <w:shd w:fill="F7F8FA"/>
          </w:tcPr>
          <w:p>
            <w:pPr>
              <w:spacing w:after="20"/>
            </w:pPr>
            <w:r>
              <w:rPr>
                <w:sz w:val="16"/>
              </w:rPr>
              <w:t>Produit périssable incomplet</w:t>
            </w:r>
          </w:p>
        </w:tc>
        <w:tc>
          <w:tcPr>
            <w:tcW w:type="dxa" w:w="5083"/>
            <w:vAlign w:val="top"/>
            <w:shd w:fill="F7F8FA"/>
          </w:tcPr>
          <w:p>
            <w:pPr>
              <w:spacing w:after="20"/>
            </w:pPr>
            <w:r>
              <w:rPr>
                <w:sz w:val="16"/>
              </w:rPr>
              <w:t>Rejet en publication/commande selon les données manquantes.</w:t>
            </w:r>
          </w:p>
        </w:tc>
      </w:tr>
      <w:tr>
        <w:tc>
          <w:tcPr>
            <w:tcW w:type="dxa" w:w="5083"/>
            <w:vAlign w:val="top"/>
          </w:tcPr>
          <w:p>
            <w:pPr>
              <w:spacing w:after="20"/>
            </w:pPr>
            <w:r>
              <w:rPr>
                <w:sz w:val="16"/>
              </w:rPr>
              <w:t>Produit expiré</w:t>
            </w:r>
          </w:p>
        </w:tc>
        <w:tc>
          <w:tcPr>
            <w:tcW w:type="dxa" w:w="5083"/>
            <w:vAlign w:val="top"/>
          </w:tcPr>
          <w:p>
            <w:pPr>
              <w:spacing w:after="20"/>
            </w:pPr>
            <w:r>
              <w:rPr>
                <w:sz w:val="16"/>
              </w:rPr>
              <w:t>Masqué / non commandable.</w:t>
            </w:r>
          </w:p>
        </w:tc>
      </w:tr>
      <w:tr>
        <w:tc>
          <w:tcPr>
            <w:tcW w:type="dxa" w:w="5083"/>
            <w:vAlign w:val="top"/>
            <w:shd w:fill="F7F8FA"/>
          </w:tcPr>
          <w:p>
            <w:pPr>
              <w:spacing w:after="20"/>
            </w:pPr>
            <w:r>
              <w:rPr>
                <w:sz w:val="16"/>
              </w:rPr>
              <w:t>Produit futur</w:t>
            </w:r>
          </w:p>
        </w:tc>
        <w:tc>
          <w:tcPr>
            <w:tcW w:type="dxa" w:w="5083"/>
            <w:vAlign w:val="top"/>
            <w:shd w:fill="F7F8FA"/>
          </w:tcPr>
          <w:p>
            <w:pPr>
              <w:spacing w:after="20"/>
            </w:pPr>
            <w:r>
              <w:rPr>
                <w:sz w:val="16"/>
              </w:rPr>
              <w:t>Masqué / non commandable.</w:t>
            </w:r>
          </w:p>
        </w:tc>
      </w:tr>
      <w:tr>
        <w:tc>
          <w:tcPr>
            <w:tcW w:type="dxa" w:w="5083"/>
            <w:vAlign w:val="top"/>
          </w:tcPr>
          <w:p>
            <w:pPr>
              <w:spacing w:after="20"/>
            </w:pPr>
            <w:r>
              <w:rPr>
                <w:sz w:val="16"/>
              </w:rPr>
              <w:t>Perissable + transit trop long</w:t>
            </w:r>
          </w:p>
        </w:tc>
        <w:tc>
          <w:tcPr>
            <w:tcW w:type="dxa" w:w="5083"/>
            <w:vAlign w:val="top"/>
          </w:tcPr>
          <w:p>
            <w:pPr>
              <w:spacing w:after="20"/>
            </w:pPr>
            <w:r>
              <w:rPr>
                <w:sz w:val="16"/>
              </w:rPr>
              <w:t>Quote/commande rejetée.</w:t>
            </w:r>
          </w:p>
        </w:tc>
      </w:tr>
      <w:tr>
        <w:tc>
          <w:tcPr>
            <w:tcW w:type="dxa" w:w="5083"/>
            <w:vAlign w:val="top"/>
            <w:shd w:fill="F7F8FA"/>
          </w:tcPr>
          <w:p>
            <w:pPr>
              <w:spacing w:after="20"/>
            </w:pPr>
            <w:r>
              <w:rPr>
                <w:sz w:val="16"/>
              </w:rPr>
              <w:t>Vendeur “prêt” trop tôt</w:t>
            </w:r>
          </w:p>
        </w:tc>
        <w:tc>
          <w:tcPr>
            <w:tcW w:type="dxa" w:w="5083"/>
            <w:vAlign w:val="top"/>
            <w:shd w:fill="F7F8FA"/>
          </w:tcPr>
          <w:p>
            <w:pPr>
              <w:spacing w:after="20"/>
            </w:pPr>
            <w:r>
              <w:rPr>
                <w:sz w:val="16"/>
              </w:rPr>
              <w:t>Rejet `PREPARATION_MINIMUM_NOT_REACHED`.</w:t>
            </w:r>
          </w:p>
        </w:tc>
      </w:tr>
      <w:tr>
        <w:tc>
          <w:tcPr>
            <w:tcW w:type="dxa" w:w="5083"/>
            <w:vAlign w:val="top"/>
          </w:tcPr>
          <w:p>
            <w:pPr>
              <w:spacing w:after="20"/>
            </w:pPr>
            <w:r>
              <w:rPr>
                <w:sz w:val="16"/>
              </w:rPr>
              <w:t>Pickup urbain</w:t>
            </w:r>
          </w:p>
        </w:tc>
        <w:tc>
          <w:tcPr>
            <w:tcW w:type="dxa" w:w="5083"/>
            <w:vAlign w:val="top"/>
          </w:tcPr>
          <w:p>
            <w:pPr>
              <w:spacing w:after="20"/>
            </w:pPr>
            <w:r>
              <w:rPr>
                <w:sz w:val="16"/>
              </w:rPr>
              <w:t>ETA calculée à partir du pickup réel.</w:t>
            </w:r>
          </w:p>
        </w:tc>
      </w:tr>
      <w:tr>
        <w:tc>
          <w:tcPr>
            <w:tcW w:type="dxa" w:w="5083"/>
            <w:vAlign w:val="top"/>
            <w:shd w:fill="F7F8FA"/>
          </w:tcPr>
          <w:p>
            <w:pPr>
              <w:spacing w:after="20"/>
            </w:pPr>
            <w:r>
              <w:rPr>
                <w:sz w:val="16"/>
              </w:rPr>
              <w:t>Interville</w:t>
            </w:r>
          </w:p>
        </w:tc>
        <w:tc>
          <w:tcPr>
            <w:tcW w:type="dxa" w:w="5083"/>
            <w:vAlign w:val="top"/>
            <w:shd w:fill="F7F8FA"/>
          </w:tcPr>
          <w:p>
            <w:pPr>
              <w:spacing w:after="20"/>
            </w:pPr>
            <w:r>
              <w:rPr>
                <w:sz w:val="16"/>
              </w:rPr>
              <w:t>Garantie = 10 % avec plancher 1 000 ; transport = max(carburant+charges+partenaire,1 000) ; total = transport + garantie.</w:t>
            </w:r>
          </w:p>
        </w:tc>
      </w:tr>
      <w:tr>
        <w:tc>
          <w:tcPr>
            <w:tcW w:type="dxa" w:w="5083"/>
            <w:vAlign w:val="top"/>
          </w:tcPr>
          <w:p>
            <w:pPr>
              <w:spacing w:after="20"/>
            </w:pPr>
            <w:r>
              <w:rPr>
                <w:sz w:val="16"/>
              </w:rPr>
              <w:t>Perte interville</w:t>
            </w:r>
          </w:p>
        </w:tc>
        <w:tc>
          <w:tcPr>
            <w:tcW w:type="dxa" w:w="5083"/>
            <w:vAlign w:val="top"/>
          </w:tcPr>
          <w:p>
            <w:pPr>
              <w:spacing w:after="20"/>
            </w:pPr>
            <w:r>
              <w:rPr>
                <w:sz w:val="16"/>
              </w:rPr>
              <w:t>Shipment lost + garantie remboursée une fois + commande disputed.</w:t>
            </w:r>
          </w:p>
        </w:tc>
      </w:tr>
      <w:tr>
        <w:tc>
          <w:tcPr>
            <w:tcW w:type="dxa" w:w="5083"/>
            <w:vAlign w:val="top"/>
            <w:shd w:fill="F7F8FA"/>
          </w:tcPr>
          <w:p>
            <w:pPr>
              <w:spacing w:after="20"/>
            </w:pPr>
            <w:r>
              <w:rPr>
                <w:sz w:val="16"/>
              </w:rPr>
              <w:t>Refund après perte</w:t>
            </w:r>
          </w:p>
        </w:tc>
        <w:tc>
          <w:tcPr>
            <w:tcW w:type="dxa" w:w="5083"/>
            <w:vAlign w:val="top"/>
            <w:shd w:fill="F7F8FA"/>
          </w:tcPr>
          <w:p>
            <w:pPr>
              <w:spacing w:after="20"/>
            </w:pPr>
            <w:r>
              <w:rPr>
                <w:sz w:val="16"/>
              </w:rPr>
              <w:t>Garantie déjà remboursée exclue du second remboursement.</w:t>
            </w:r>
          </w:p>
        </w:tc>
      </w:tr>
      <w:tr>
        <w:tc>
          <w:tcPr>
            <w:tcW w:type="dxa" w:w="5083"/>
            <w:vAlign w:val="top"/>
          </w:tcPr>
          <w:p>
            <w:pPr>
              <w:spacing w:after="20"/>
            </w:pPr>
            <w:r>
              <w:rPr>
                <w:sz w:val="16"/>
              </w:rPr>
              <w:t>Double webhook</w:t>
            </w:r>
          </w:p>
        </w:tc>
        <w:tc>
          <w:tcPr>
            <w:tcW w:type="dxa" w:w="5083"/>
            <w:vAlign w:val="top"/>
          </w:tcPr>
          <w:p>
            <w:pPr>
              <w:spacing w:after="20"/>
            </w:pPr>
            <w:r>
              <w:rPr>
                <w:sz w:val="16"/>
              </w:rPr>
              <w:t>Une seule écriture financière.</w:t>
            </w:r>
          </w:p>
        </w:tc>
      </w:tr>
      <w:tr>
        <w:tc>
          <w:tcPr>
            <w:tcW w:type="dxa" w:w="5083"/>
            <w:vAlign w:val="top"/>
            <w:shd w:fill="F7F8FA"/>
          </w:tcPr>
          <w:p>
            <w:pPr>
              <w:spacing w:after="20"/>
            </w:pPr>
            <w:r>
              <w:rPr>
                <w:sz w:val="16"/>
              </w:rPr>
              <w:t>Double acceptation mission</w:t>
            </w:r>
          </w:p>
        </w:tc>
        <w:tc>
          <w:tcPr>
            <w:tcW w:type="dxa" w:w="5083"/>
            <w:vAlign w:val="top"/>
            <w:shd w:fill="F7F8FA"/>
          </w:tcPr>
          <w:p>
            <w:pPr>
              <w:spacing w:after="20"/>
            </w:pPr>
            <w:r>
              <w:rPr>
                <w:sz w:val="16"/>
              </w:rPr>
              <w:t>Un seul transporteur actif.</w:t>
            </w:r>
          </w:p>
        </w:tc>
      </w:tr>
      <w:tr>
        <w:tc>
          <w:tcPr>
            <w:tcW w:type="dxa" w:w="5083"/>
            <w:vAlign w:val="top"/>
          </w:tcPr>
          <w:p>
            <w:pPr>
              <w:spacing w:after="20"/>
            </w:pPr>
            <w:r>
              <w:rPr>
                <w:sz w:val="16"/>
              </w:rPr>
              <w:t>Escrow avant preuve</w:t>
            </w:r>
          </w:p>
        </w:tc>
        <w:tc>
          <w:tcPr>
            <w:tcW w:type="dxa" w:w="5083"/>
            <w:vAlign w:val="top"/>
          </w:tcPr>
          <w:p>
            <w:pPr>
              <w:spacing w:after="20"/>
            </w:pPr>
            <w:r>
              <w:rPr>
                <w:sz w:val="16"/>
              </w:rPr>
              <w:t>Refus de libération.</w:t>
            </w:r>
          </w:p>
        </w:tc>
      </w:tr>
      <w:tr>
        <w:tc>
          <w:tcPr>
            <w:tcW w:type="dxa" w:w="5083"/>
            <w:vAlign w:val="top"/>
            <w:shd w:fill="F7F8FA"/>
          </w:tcPr>
          <w:p>
            <w:pPr>
              <w:spacing w:after="20"/>
            </w:pPr>
            <w:r>
              <w:rPr>
                <w:sz w:val="16"/>
              </w:rPr>
              <w:t>Checkout frontend</w:t>
            </w:r>
          </w:p>
        </w:tc>
        <w:tc>
          <w:tcPr>
            <w:tcW w:type="dxa" w:w="5083"/>
            <w:vAlign w:val="top"/>
            <w:shd w:fill="F7F8FA"/>
          </w:tcPr>
          <w:p>
            <w:pPr>
              <w:spacing w:after="20"/>
            </w:pPr>
            <w:r>
              <w:rPr>
                <w:sz w:val="16"/>
              </w:rPr>
              <w:t>Affiche préparation, transit, coût et garantie.</w:t>
            </w:r>
          </w:p>
        </w:tc>
      </w:tr>
    </w:tbl>
    <w:p>
      <w:pPr>
        <w:spacing w:after="20"/>
      </w:pPr>
    </w:p>
    <w:p>
      <w:pPr>
        <w:pStyle w:val="Heading1"/>
        <w:keepNext/>
      </w:pPr>
      <w:r>
        <w:t>24. Décisions métier restant à confirmer</w:t>
      </w:r>
    </w:p>
    <w:p>
      <w:r>
        <w:t>Les éléments suivants ne doivent pas être “inventés” par le code :</w:t>
      </w:r>
    </w:p>
    <w:p>
      <w:pPr>
        <w:pStyle w:val="ListBullet"/>
        <w:spacing w:after="40"/>
        <w:ind w:left="317"/>
      </w:pPr>
      <w:r>
        <w:t>Qui supporte contractuellement la garantie de 10 % en cas de perte : partenaire, assureur ou mécanisme interne ? Le code V58 la suit et la rembourse, mais le contrat économique précis doit être arrêté.</w:t>
      </w:r>
    </w:p>
    <w:p>
      <w:pPr>
        <w:pStyle w:val="ListBullet"/>
        <w:spacing w:after="40"/>
        <w:ind w:left="317"/>
      </w:pPr>
      <w:r>
        <w:t>En cas de succès, à quel bénéficiaire exact la garantie est-elle affectée : partenaire transport, réserve sécurité ou autre ? V58 la garde dans le périmètre du règlement logistique jusqu’au traitement partenaire.</w:t>
      </w:r>
    </w:p>
    <w:p>
      <w:pPr>
        <w:pStyle w:val="ListBullet"/>
        <w:spacing w:after="40"/>
        <w:ind w:left="317"/>
      </w:pPr>
      <w:r>
        <w:t>Le périmètre de remboursement de la valeur marchandise après perte : remboursement automatique intégral, enquête, plafond ou litige. Le code ne tranche pas cette politique sans règle explicite.</w:t>
      </w:r>
    </w:p>
    <w:p>
      <w:pPr>
        <w:pStyle w:val="ListBullet"/>
        <w:spacing w:after="40"/>
        <w:ind w:left="317"/>
      </w:pPr>
      <w:r>
        <w:t>Les délais urbains par tranche de distance, les coûts carburant, charges et frais partenaire par route doivent être saisis avec les données opérationnelles réelles.</w:t>
      </w:r>
    </w:p>
    <w:p>
      <w:pPr>
        <w:pStyle w:val="ListBullet"/>
        <w:spacing w:after="40"/>
        <w:ind w:left="317"/>
      </w:pPr>
      <w:r>
        <w:t>Chaque compagnie interville devra fournir son protocole de confirmation pickup/arrivée/perte et son mode de paiement ou webhook signé.</w:t>
      </w:r>
    </w:p>
    <w:p>
      <w:pPr>
        <w:pStyle w:val="Heading1"/>
        <w:keepNext/>
      </w:pPr>
      <w:r>
        <w:t>25. État réel de l’intégration et livrables</w:t>
      </w:r>
    </w:p>
    <w:p>
      <w:r>
        <w:t>Le travail fourni dans cette session produit deux livrables complémentaires : ce dossier de référence et un paquet de patch V57/V58. Le paquet contient un script orchestrateur, les migrations, le module timing, les écrans vendeur/admin et les modifications nécessaires au checkout, suivi, finance et interville.</w:t>
      </w:r>
    </w:p>
    <w:tbl>
      <w:tblPr>
        <w:tblStyle w:val="TableGrid"/>
        <w:tblW w:type="auto" w:w="0"/>
        <w:jc w:val="center"/>
        <w:tblLook w:firstColumn="1" w:firstRow="1" w:lastColumn="0" w:lastRow="0" w:noHBand="0" w:noVBand="1" w:val="04A0"/>
        <w:tblBorders>
          <w:top w:val="single" w:sz="4" w:space="0" w:color="D8DDE5"/>
          <w:left w:val="single" w:sz="4" w:space="0" w:color="D8DDE5"/>
          <w:bottom w:val="single" w:sz="4" w:space="0" w:color="D8DDE5"/>
          <w:right w:val="single" w:sz="4" w:space="0" w:color="D8DDE5"/>
          <w:insideH w:val="single" w:sz="4" w:space="0" w:color="D8DDE5"/>
          <w:insideV w:val="single" w:sz="4" w:space="0" w:color="D8DDE5"/>
        </w:tblBorders>
      </w:tblPr>
      <w:tblGrid>
        <w:gridCol w:w="5083"/>
        <w:gridCol w:w="5083"/>
      </w:tblGrid>
      <w:tr>
        <w:trPr>
          <w:tblHeader w:val="true"/>
        </w:trPr>
        <w:tc>
          <w:tcPr>
            <w:tcW w:type="dxa" w:w="5083"/>
            <w:shd w:fill="1F355B"/>
            <w:vAlign w:val="center"/>
          </w:tcPr>
          <w:p>
            <w:pPr>
              <w:jc w:val="left"/>
            </w:pPr>
            <w:r>
              <w:rPr>
                <w:b/>
                <w:color w:val="FFFFFF"/>
                <w:sz w:val="16"/>
              </w:rPr>
              <w:t>Élément</w:t>
            </w:r>
          </w:p>
        </w:tc>
        <w:tc>
          <w:tcPr>
            <w:tcW w:type="dxa" w:w="5083"/>
            <w:shd w:fill="1F355B"/>
            <w:vAlign w:val="center"/>
          </w:tcPr>
          <w:p>
            <w:pPr>
              <w:jc w:val="left"/>
            </w:pPr>
            <w:r>
              <w:rPr>
                <w:b/>
                <w:color w:val="FFFFFF"/>
                <w:sz w:val="16"/>
              </w:rPr>
              <w:t>Statut</w:t>
            </w:r>
          </w:p>
        </w:tc>
      </w:tr>
      <w:tr>
        <w:tc>
          <w:tcPr>
            <w:tcW w:type="dxa" w:w="5083"/>
            <w:vAlign w:val="top"/>
            <w:shd w:fill="F7F8FA"/>
          </w:tcPr>
          <w:p>
            <w:pPr>
              <w:spacing w:after="20"/>
            </w:pPr>
            <w:r>
              <w:rPr>
                <w:sz w:val="16"/>
              </w:rPr>
              <w:t>Dossier fonctionnel et technique</w:t>
            </w:r>
          </w:p>
        </w:tc>
        <w:tc>
          <w:tcPr>
            <w:tcW w:type="dxa" w:w="5083"/>
            <w:vAlign w:val="top"/>
            <w:shd w:fill="F7F8FA"/>
          </w:tcPr>
          <w:p>
            <w:pPr>
              <w:spacing w:after="20"/>
            </w:pPr>
            <w:r>
              <w:rPr>
                <w:sz w:val="16"/>
              </w:rPr>
              <w:t>Créé et révisé V58.</w:t>
            </w:r>
          </w:p>
        </w:tc>
      </w:tr>
      <w:tr>
        <w:tc>
          <w:tcPr>
            <w:tcW w:type="dxa" w:w="5083"/>
            <w:vAlign w:val="top"/>
          </w:tcPr>
          <w:p>
            <w:pPr>
              <w:spacing w:after="20"/>
            </w:pPr>
            <w:r>
              <w:rPr>
                <w:sz w:val="16"/>
              </w:rPr>
              <w:t>Règles préparation 1/2/3/4/12/24 h</w:t>
            </w:r>
          </w:p>
        </w:tc>
        <w:tc>
          <w:tcPr>
            <w:tcW w:type="dxa" w:w="5083"/>
            <w:vAlign w:val="top"/>
          </w:tcPr>
          <w:p>
            <w:pPr>
              <w:spacing w:after="20"/>
            </w:pPr>
            <w:r>
              <w:rPr>
                <w:sz w:val="16"/>
              </w:rPr>
              <w:t>Modélisées.</w:t>
            </w:r>
          </w:p>
        </w:tc>
      </w:tr>
      <w:tr>
        <w:tc>
          <w:tcPr>
            <w:tcW w:type="dxa" w:w="5083"/>
            <w:vAlign w:val="top"/>
            <w:shd w:fill="F7F8FA"/>
          </w:tcPr>
          <w:p>
            <w:pPr>
              <w:spacing w:after="20"/>
            </w:pPr>
            <w:r>
              <w:rPr>
                <w:sz w:val="16"/>
              </w:rPr>
              <w:t>Périssables + durée restante</w:t>
            </w:r>
          </w:p>
        </w:tc>
        <w:tc>
          <w:tcPr>
            <w:tcW w:type="dxa" w:w="5083"/>
            <w:vAlign w:val="top"/>
            <w:shd w:fill="F7F8FA"/>
          </w:tcPr>
          <w:p>
            <w:pPr>
              <w:spacing w:after="20"/>
            </w:pPr>
            <w:r>
              <w:rPr>
                <w:sz w:val="16"/>
              </w:rPr>
              <w:t>Modélisés.</w:t>
            </w:r>
          </w:p>
        </w:tc>
      </w:tr>
      <w:tr>
        <w:tc>
          <w:tcPr>
            <w:tcW w:type="dxa" w:w="5083"/>
            <w:vAlign w:val="top"/>
          </w:tcPr>
          <w:p>
            <w:pPr>
              <w:spacing w:after="20"/>
            </w:pPr>
            <w:r>
              <w:rPr>
                <w:sz w:val="16"/>
              </w:rPr>
              <w:t>Transit séparé de la préparation</w:t>
            </w:r>
          </w:p>
        </w:tc>
        <w:tc>
          <w:tcPr>
            <w:tcW w:type="dxa" w:w="5083"/>
            <w:vAlign w:val="top"/>
          </w:tcPr>
          <w:p>
            <w:pPr>
              <w:spacing w:after="20"/>
            </w:pPr>
            <w:r>
              <w:rPr>
                <w:sz w:val="16"/>
              </w:rPr>
              <w:t>Modélisé.</w:t>
            </w:r>
          </w:p>
        </w:tc>
      </w:tr>
      <w:tr>
        <w:tc>
          <w:tcPr>
            <w:tcW w:type="dxa" w:w="5083"/>
            <w:vAlign w:val="top"/>
            <w:shd w:fill="F7F8FA"/>
          </w:tcPr>
          <w:p>
            <w:pPr>
              <w:spacing w:after="20"/>
            </w:pPr>
            <w:r>
              <w:rPr>
                <w:sz w:val="16"/>
              </w:rPr>
              <w:t>10 % garantie interville</w:t>
            </w:r>
          </w:p>
        </w:tc>
        <w:tc>
          <w:tcPr>
            <w:tcW w:type="dxa" w:w="5083"/>
            <w:vAlign w:val="top"/>
            <w:shd w:fill="F7F8FA"/>
          </w:tcPr>
          <w:p>
            <w:pPr>
              <w:spacing w:after="20"/>
            </w:pPr>
            <w:r>
              <w:rPr>
                <w:sz w:val="16"/>
              </w:rPr>
              <w:t>Modélisé et fixé à 10 %.</w:t>
            </w:r>
          </w:p>
        </w:tc>
      </w:tr>
      <w:tr>
        <w:tc>
          <w:tcPr>
            <w:tcW w:type="dxa" w:w="5083"/>
            <w:vAlign w:val="top"/>
          </w:tcPr>
          <w:p>
            <w:pPr>
              <w:spacing w:after="20"/>
            </w:pPr>
            <w:r>
              <w:rPr>
                <w:sz w:val="16"/>
              </w:rPr>
              <w:t>Minimum 1 000 XOF</w:t>
            </w:r>
          </w:p>
        </w:tc>
        <w:tc>
          <w:tcPr>
            <w:tcW w:type="dxa" w:w="5083"/>
            <w:vAlign w:val="top"/>
          </w:tcPr>
          <w:p>
            <w:pPr>
              <w:spacing w:after="20"/>
            </w:pPr>
            <w:r>
              <w:rPr>
                <w:sz w:val="16"/>
              </w:rPr>
              <w:t>Modélisé pour garantie et coût opérationnel.</w:t>
            </w:r>
          </w:p>
        </w:tc>
      </w:tr>
      <w:tr>
        <w:tc>
          <w:tcPr>
            <w:tcW w:type="dxa" w:w="5083"/>
            <w:vAlign w:val="top"/>
            <w:shd w:fill="F7F8FA"/>
          </w:tcPr>
          <w:p>
            <w:pPr>
              <w:spacing w:after="20"/>
            </w:pPr>
            <w:r>
              <w:rPr>
                <w:sz w:val="16"/>
              </w:rPr>
              <w:t>Carburant + charges + partenaire</w:t>
            </w:r>
          </w:p>
        </w:tc>
        <w:tc>
          <w:tcPr>
            <w:tcW w:type="dxa" w:w="5083"/>
            <w:vAlign w:val="top"/>
            <w:shd w:fill="F7F8FA"/>
          </w:tcPr>
          <w:p>
            <w:pPr>
              <w:spacing w:after="20"/>
            </w:pPr>
            <w:r>
              <w:rPr>
                <w:sz w:val="16"/>
              </w:rPr>
              <w:t>Modélisé.</w:t>
            </w:r>
          </w:p>
        </w:tc>
      </w:tr>
      <w:tr>
        <w:tc>
          <w:tcPr>
            <w:tcW w:type="dxa" w:w="5083"/>
            <w:vAlign w:val="top"/>
          </w:tcPr>
          <w:p>
            <w:pPr>
              <w:spacing w:after="20"/>
            </w:pPr>
            <w:r>
              <w:rPr>
                <w:sz w:val="16"/>
              </w:rPr>
              <w:t>Perte et remboursement garantie</w:t>
            </w:r>
          </w:p>
        </w:tc>
        <w:tc>
          <w:tcPr>
            <w:tcW w:type="dxa" w:w="5083"/>
            <w:vAlign w:val="top"/>
          </w:tcPr>
          <w:p>
            <w:pPr>
              <w:spacing w:after="20"/>
            </w:pPr>
            <w:r>
              <w:rPr>
                <w:sz w:val="16"/>
              </w:rPr>
              <w:t>Modélisé.</w:t>
            </w:r>
          </w:p>
        </w:tc>
      </w:tr>
      <w:tr>
        <w:tc>
          <w:tcPr>
            <w:tcW w:type="dxa" w:w="5083"/>
            <w:vAlign w:val="top"/>
            <w:shd w:fill="F7F8FA"/>
          </w:tcPr>
          <w:p>
            <w:pPr>
              <w:spacing w:after="20"/>
            </w:pPr>
            <w:r>
              <w:rPr>
                <w:sz w:val="16"/>
              </w:rPr>
              <w:t>Règlement partenaire interville</w:t>
            </w:r>
          </w:p>
        </w:tc>
        <w:tc>
          <w:tcPr>
            <w:tcW w:type="dxa" w:w="5083"/>
            <w:vAlign w:val="top"/>
            <w:shd w:fill="F7F8FA"/>
          </w:tcPr>
          <w:p>
            <w:pPr>
              <w:spacing w:after="20"/>
            </w:pPr>
            <w:r>
              <w:rPr>
                <w:sz w:val="16"/>
              </w:rPr>
              <w:t>Compte comptable dédié modélisé.</w:t>
            </w:r>
          </w:p>
        </w:tc>
      </w:tr>
      <w:tr>
        <w:tc>
          <w:tcPr>
            <w:tcW w:type="dxa" w:w="5083"/>
            <w:vAlign w:val="top"/>
          </w:tcPr>
          <w:p>
            <w:pPr>
              <w:spacing w:after="20"/>
            </w:pPr>
            <w:r>
              <w:rPr>
                <w:sz w:val="16"/>
              </w:rPr>
              <w:t>GitHub push</w:t>
            </w:r>
          </w:p>
        </w:tc>
        <w:tc>
          <w:tcPr>
            <w:tcW w:type="dxa" w:w="5083"/>
            <w:vAlign w:val="top"/>
          </w:tcPr>
          <w:p>
            <w:pPr>
              <w:spacing w:after="20"/>
            </w:pPr>
            <w:r>
              <w:rPr>
                <w:sz w:val="16"/>
              </w:rPr>
              <w:t>Non effectué dans cette session.</w:t>
            </w:r>
          </w:p>
        </w:tc>
      </w:tr>
      <w:tr>
        <w:tc>
          <w:tcPr>
            <w:tcW w:type="dxa" w:w="5083"/>
            <w:vAlign w:val="top"/>
            <w:shd w:fill="F7F8FA"/>
          </w:tcPr>
          <w:p>
            <w:pPr>
              <w:spacing w:after="20"/>
            </w:pPr>
            <w:r>
              <w:rPr>
                <w:sz w:val="16"/>
              </w:rPr>
              <w:t>Build global</w:t>
            </w:r>
          </w:p>
        </w:tc>
        <w:tc>
          <w:tcPr>
            <w:tcW w:type="dxa" w:w="5083"/>
            <w:vAlign w:val="top"/>
            <w:shd w:fill="F7F8FA"/>
          </w:tcPr>
          <w:p>
            <w:pPr>
              <w:spacing w:after="20"/>
            </w:pPr>
            <w:r>
              <w:rPr>
                <w:sz w:val="16"/>
              </w:rPr>
              <w:t>À exécuter dans un checkout réel avec dépendances.</w:t>
            </w:r>
          </w:p>
        </w:tc>
      </w:tr>
      <w:tr>
        <w:tc>
          <w:tcPr>
            <w:tcW w:type="dxa" w:w="5083"/>
            <w:vAlign w:val="top"/>
          </w:tcPr>
          <w:p>
            <w:pPr>
              <w:spacing w:after="20"/>
            </w:pPr>
            <w:r>
              <w:rPr>
                <w:sz w:val="16"/>
              </w:rPr>
              <w:t>Migration réelle</w:t>
            </w:r>
          </w:p>
        </w:tc>
        <w:tc>
          <w:tcPr>
            <w:tcW w:type="dxa" w:w="5083"/>
            <w:vAlign w:val="top"/>
          </w:tcPr>
          <w:p>
            <w:pPr>
              <w:spacing w:after="20"/>
            </w:pPr>
            <w:r>
              <w:rPr>
                <w:sz w:val="16"/>
              </w:rPr>
              <w:t>À exécuter sur PostgreSQL/Supabase.</w:t>
            </w:r>
          </w:p>
        </w:tc>
      </w:tr>
    </w:tbl>
    <w:p>
      <w:pPr>
        <w:spacing w:after="20"/>
      </w:pPr>
    </w:p>
    <w:tbl>
      <w:tblPr>
        <w:tblStyle w:val="TableGrid"/>
        <w:tblW w:type="auto" w:w="0"/>
        <w:tblLook w:firstColumn="1" w:firstRow="1" w:lastColumn="0" w:lastRow="0" w:noHBand="0" w:noVBand="1" w:val="04A0"/>
        <w:tblBorders>
          <w:top w:val="single" w:sz="4" w:space="0" w:color="C9D2DF"/>
          <w:left w:val="single" w:sz="4" w:space="0" w:color="C9D2DF"/>
          <w:bottom w:val="single" w:sz="4" w:space="0" w:color="C9D2DF"/>
          <w:right w:val="single" w:sz="4" w:space="0" w:color="C9D2DF"/>
          <w:insideH w:val="single" w:sz="4" w:space="0" w:color="C9D2DF"/>
          <w:insideV w:val="single" w:sz="4" w:space="0" w:color="C9D2DF"/>
        </w:tblBorders>
      </w:tblPr>
      <w:tblGrid>
        <w:gridCol w:w="10166"/>
      </w:tblGrid>
      <w:tr>
        <w:tc>
          <w:tcPr>
            <w:tcW w:type="dxa" w:w="10166"/>
            <w:shd w:fill="EEF3F9"/>
          </w:tcPr>
          <w:p>
            <w:r>
              <w:rPr>
                <w:b/>
                <w:color w:val="182741"/>
              </w:rPr>
              <w:t xml:space="preserve">Document de référence — </w:t>
            </w:r>
            <w:r>
              <w:t>Ce document doit servir de base commune pour le développement, l’API, le design des écrans, les tests QA, la configuration d’administration et les contrats des partenaires logistiques.</w:t>
            </w:r>
          </w:p>
        </w:tc>
      </w:tr>
    </w:tbl>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C636C"/>
        <w:sz w:val="16"/>
      </w:rPr>
      <w:t xml:space="preserve">LIVI — Référence fonctionnelle et technique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C636C"/>
        <w:sz w:val="16"/>
      </w:rPr>
      <w:t>LIVI • DOSSIER V58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color w:val="2D3136"/>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82741"/>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B78419"/>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18274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82741"/>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Aptos" w:hAnsi="Aptos"/>
      <w:i/>
      <w:color w:val="5C636C"/>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LIVI — Dossier fonctionnel, métier, logistique et spécifications techniques V58</dc:title>
  <dc:subject>Référence complète du fonctionnement LIVI, incluant agriculture, produits périssables, préparation, livraison urbaine/interville, paiements et sécurité.</dc:subject>
  <dc:creator>LIVI</dc:creator>
  <cp:keywords>LIVI, V58, agriculture, périssables, préparation, livraison, interville, escrow, paiement, transport, sécurité</cp:keywords>
  <dc:description>generated by python-docx</dc:description>
  <cp:lastModifiedBy/>
  <cp:revision>1</cp:revision>
  <dcterms:created xsi:type="dcterms:W3CDTF">2013-12-23T23:15:00Z</dcterms:created>
  <dcterms:modified xsi:type="dcterms:W3CDTF">2013-12-23T23:15:00Z</dcterms:modified>
  <cp:category/>
</cp:coreProperties>
</file>