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sz w:val="40"/>
        </w:rPr>
        <w:t>LIENZO LEAN CANVAS</w:t>
      </w:r>
    </w:p>
    <w:tbl xmlns:w14="http://schemas.microsoft.com/office/word/2010/wordml">
      <w:tblPr>
        <w:tblStyle w:val="Tablaconcuadrcula"/>
        <w:tblpPr w:leftFromText="141" w:rightFromText="141" w:horzAnchor="margin" w:tblpY="472"/>
        <w:tblW w:w="15492" w:type="dxa"/>
        <w:tblLook w:val="04A0" w:firstRow="1" w:lastRow="0" w:firstColumn="1" w:lastColumn="0" w:noHBand="0" w:noVBand="1"/>
      </w:tblPr>
      <w:tblGrid>
        <w:gridCol w:w="3096"/>
        <w:gridCol w:w="3099"/>
        <w:gridCol w:w="3098"/>
        <w:gridCol w:w="3098"/>
        <w:gridCol w:w="3101"/>
      </w:tblGrid>
      <w:tr w:rsidR="002F1582" w:rsidRPr="00712083" w14:paraId="5FFDBF74" w14:textId="77777777" w:rsidTr="004219BB">
        <w:trPr>
          <w:trHeight w:val="2844"/>
        </w:trPr>
        <w:tc>
          <w:tcPr>
            <w:tcW w:w="3096" w:type="dxa"/>
            <w:vMerge w:val="restart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20" w:line="221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7"/>
              </w:rPr>
              <w:t>PROBLEMA</w:t>
              <w:br/>
            </w:r>
            <w:r>
              <w:rPr>
                <w:rFonts w:ascii="Arial" w:hAnsi="Arial"/>
                <w:b w:val="0"/>
                <w:sz w:val="12"/>
              </w:rPr>
              <w:t>Santa Cruz genera aprox. 971 t/día de residuos orgánicos compostables, pero instituciones y empresas no tienen datos locales suficientes para decidir cómo valorizarlos energéticamente.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 w:val="0"/>
                <w:sz w:val="12"/>
              </w:rPr>
              <w:t>Invertir sin medir aumenta el riesgo de sobredimensionar infraestructura o prometer ahorros inviables.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 w:val="0"/>
                <w:sz w:val="12"/>
              </w:rPr>
              <w:t>Los residuos varían por origen, composición y contaminación; se necesitan métricas verificables.</w:t>
            </w:r>
          </w:p>
        </w:tc>
        <w:tc>
          <w:tcPr>
            <w:tcW w:w="3098" w:type="dxa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20" w:line="221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7"/>
              </w:rPr>
              <w:t>SOLUCIÓN</w:t>
              <w:br/>
            </w:r>
            <w:r>
              <w:rPr>
                <w:rFonts w:ascii="Arial" w:hAnsi="Arial"/>
                <w:b w:val="0"/>
                <w:sz w:val="12"/>
              </w:rPr>
              <w:t>Ruta gradual: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 w:val="0"/>
                <w:sz w:val="12"/>
              </w:rPr>
              <w:t>• Simulación MFC asistida por IA.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 w:val="0"/>
                <w:sz w:val="12"/>
              </w:rPr>
              <w:t>• Diseño experimental y priorización de escenarios.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 w:val="0"/>
                <w:sz w:val="12"/>
              </w:rPr>
              <w:t>• Piloto MFC instrumentado.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 w:val="0"/>
                <w:sz w:val="12"/>
              </w:rPr>
              <w:t>• Evaluación de biodigestores o solución híbrida sólo si el volumen y los datos lo justifican.</w:t>
            </w:r>
          </w:p>
        </w:tc>
        <w:tc>
          <w:tcPr>
            <w:tcW w:w="3098" w:type="dxa"/>
            <w:vMerge w:val="restart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20" w:line="221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7"/>
              </w:rPr>
              <w:t>PROPOSICIÓN DE VALOR ÚNICA</w:t>
              <w:br/>
            </w:r>
            <w:r>
              <w:rPr>
                <w:rFonts w:ascii="Arial" w:hAnsi="Arial"/>
                <w:b w:val="0"/>
                <w:sz w:val="13"/>
              </w:rPr>
              <w:t>“Convertimos residuos bioorgánicos en decisiones energéticas medibles.”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 w:val="0"/>
                <w:sz w:val="13"/>
              </w:rPr>
              <w:t>GreenSpark permite investigar, simular, reportar y escalar con evidencia local, separando hipótesis, simulación y medición real.</w:t>
            </w:r>
          </w:p>
        </w:tc>
        <w:tc>
          <w:tcPr>
            <w:tcW w:w="3098" w:type="dxa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20" w:line="221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7"/>
              </w:rPr>
              <w:t>VENTAJA ESPECIAL</w:t>
              <w:br/>
            </w:r>
            <w:r>
              <w:rPr>
                <w:rFonts w:ascii="Arial" w:hAnsi="Arial"/>
                <w:b w:val="0"/>
                <w:sz w:val="12"/>
              </w:rPr>
              <w:t>Dataset local acumulativo + protocolo MFC aplicado a Santa Cruz.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 w:val="0"/>
                <w:sz w:val="12"/>
              </w:rPr>
              <w:t>Reportes de sostenibilidad trazables y recomendaciones de escalamiento basadas en mediciones, no en promesas.</w:t>
            </w:r>
          </w:p>
        </w:tc>
        <w:tc>
          <w:tcPr>
            <w:tcW w:w="3100" w:type="dxa"/>
            <w:vMerge w:val="restart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20" w:line="221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7"/>
              </w:rPr>
              <w:t>SEGMENTO DE CLIENTES</w:t>
              <w:br/>
            </w:r>
            <w:r>
              <w:rPr>
                <w:rFonts w:ascii="Arial" w:hAnsi="Arial"/>
                <w:b w:val="0"/>
                <w:sz w:val="12"/>
              </w:rPr>
              <w:t>Cliente inicial/pagador: universidades privadas.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 w:val="0"/>
                <w:sz w:val="12"/>
              </w:rPr>
              <w:t>Usuario principal: equipos de investigación, sostenibilidad o innovación.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 w:val="0"/>
                <w:sz w:val="12"/>
              </w:rPr>
              <w:t>Fase 2: colegios privados y restaurantes.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 w:val="0"/>
                <w:sz w:val="12"/>
              </w:rPr>
              <w:t>Fase 3: agroindustrias.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 w:val="0"/>
                <w:sz w:val="12"/>
              </w:rPr>
              <w:t>Beneficiarios: sector agropecuario y ciudadanía.</w:t>
            </w:r>
          </w:p>
        </w:tc>
      </w:tr>
      <w:tr w:rsidR="002F1582" w:rsidRPr="00712083" w14:paraId="617593C1" w14:textId="77777777" w:rsidTr="004219BB">
        <w:trPr>
          <w:trHeight w:val="3125"/>
        </w:trPr>
        <w:tc>
          <w:tcPr>
            <w:tcW w:w="3096" w:type="dxa"/>
            <w:vMerge/>
          </w:tcPr>
          <w:p w14:paraId="24A6AF64" w14:textId="77777777" w:rsidR="002F1582" w:rsidRPr="002F1582" w:rsidRDefault="002F1582" w:rsidP="004219B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98" w:type="dxa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20" w:line="221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7"/>
              </w:rPr>
              <w:t>MÉTRICAS CLAVE</w:t>
              <w:br/>
            </w:r>
            <w:r>
              <w:rPr>
                <w:rFonts w:ascii="Arial" w:hAnsi="Arial"/>
                <w:b w:val="0"/>
                <w:sz w:val="11"/>
              </w:rPr>
              <w:t>• Instituciones interesadas y cartas de interés.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 w:val="0"/>
                <w:sz w:val="11"/>
              </w:rPr>
              <w:t>• Residuos segregables medidos.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 w:val="0"/>
                <w:sz w:val="11"/>
              </w:rPr>
              <w:t>• Escenarios evaluados y reportes generados.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 w:val="0"/>
                <w:sz w:val="11"/>
              </w:rPr>
              <w:t>• Error frente a baseline.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 w:val="0"/>
                <w:sz w:val="11"/>
              </w:rPr>
              <w:t>• Voltaje, corriente, potencia y estabilidad.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 w:val="0"/>
                <w:sz w:val="11"/>
              </w:rPr>
              <w:t>• Cobertura de carga seleccionada.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 w:val="0"/>
                <w:sz w:val="11"/>
              </w:rPr>
              <w:t>• Conversión a piloto o convenio.</w:t>
            </w:r>
          </w:p>
        </w:tc>
        <w:tc>
          <w:tcPr>
            <w:tcW w:w="3098" w:type="dxa"/>
            <w:vMerge/>
          </w:tcPr>
          <w:p w14:paraId="7A884500" w14:textId="77777777" w:rsidR="002F1582" w:rsidRPr="00712083" w:rsidRDefault="002F1582" w:rsidP="004219BB">
            <w:pPr>
              <w:rPr>
                <w:b/>
                <w:bCs/>
              </w:rPr>
            </w:pPr>
          </w:p>
        </w:tc>
        <w:tc>
          <w:tcPr>
            <w:tcW w:w="3098" w:type="dxa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20" w:line="221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7"/>
              </w:rPr>
              <w:t>CANALES</w:t>
              <w:br/>
            </w:r>
            <w:r>
              <w:rPr>
                <w:rFonts w:ascii="Arial" w:hAnsi="Arial"/>
                <w:b w:val="0"/>
                <w:sz w:val="11"/>
              </w:rPr>
              <w:t>• Convenios universitarios.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 w:val="0"/>
                <w:sz w:val="11"/>
              </w:rPr>
              <w:t>• Alianzas académicas.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 w:val="0"/>
                <w:sz w:val="11"/>
              </w:rPr>
              <w:t>• Demo del simulador y protocolo experimental.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 w:val="0"/>
                <w:sz w:val="11"/>
              </w:rPr>
              <w:t>• Venta directa B2B.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 w:val="0"/>
                <w:sz w:val="11"/>
              </w:rPr>
              <w:t>• Asociaciones sectoriales.</w:t>
            </w:r>
            <w:r>
              <w:rPr>
                <w:rFonts w:ascii="Arial" w:hAnsi="Arial"/>
              </w:rPr>
              <w:br/>
            </w:r>
            <w:r>
              <w:rPr>
                <w:rFonts w:ascii="Arial" w:hAnsi="Arial"/>
                <w:b w:val="0"/>
                <w:sz w:val="11"/>
              </w:rPr>
              <w:t>• Casos de estudio con datos del piloto.</w:t>
            </w:r>
          </w:p>
        </w:tc>
        <w:tc>
          <w:tcPr>
            <w:tcW w:w="3100" w:type="dxa"/>
            <w:vMerge/>
          </w:tcPr>
          <w:p w14:paraId="26CB5481" w14:textId="77777777" w:rsidR="002F1582" w:rsidRPr="00712083" w:rsidRDefault="002F1582" w:rsidP="004219BB">
            <w:pPr>
              <w:rPr>
                <w:b/>
                <w:bCs/>
              </w:rPr>
            </w:pPr>
          </w:p>
        </w:tc>
      </w:tr>
      <w:tr w:rsidR="00712083" w:rsidRPr="00712083" w14:paraId="088DBC1D" w14:textId="77777777" w:rsidTr="004219BB">
        <w:trPr>
          <w:trHeight w:val="2698"/>
        </w:trPr>
        <w:tc>
          <w:tcPr>
            <w:tcW w:w="6195" w:type="dxa"/>
            <w:gridSpan w:val="2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20" w:line="221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7"/>
              </w:rPr>
              <w:t>ESTRUCTURA DE COSTES</w:t>
              <w:br/>
            </w:r>
            <w:r>
              <w:rPr>
                <w:rFonts w:ascii="Arial" w:hAnsi="Arial"/>
                <w:b w:val="0"/>
                <w:sz w:val="12"/>
              </w:rPr>
              <w:t>Investigación y diseño experimental; desarrollo, hosting y mantenimiento del simulador; APIs de IA opcionales; materiales del piloto MFC; electrodos, sensores y ensamblaje; caracterización del sustrato/subproducto; soporte, monitoreo y prefactibilidad de escalamiento.</w:t>
            </w:r>
          </w:p>
        </w:tc>
        <w:tc>
          <w:tcPr>
            <w:tcW w:w="9297" w:type="dxa"/>
            <w:gridSpan w:val="3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before="0" w:after="20" w:line="221" w:lineRule="auto"/>
            </w:pPr>
            <w:r>
              <w:rPr>
                <w:rFonts w:ascii="Arial" w:hAnsi="Arial"/>
              </w:rPr>
            </w:r>
            <w:r>
              <w:rPr>
                <w:rFonts w:ascii="Arial" w:hAnsi="Arial"/>
                <w:b/>
                <w:sz w:val="17"/>
              </w:rPr>
              <w:t>FLUJO DE INGRESOS</w:t>
              <w:br/>
            </w:r>
            <w:r>
              <w:rPr>
                <w:rFonts w:ascii="Arial" w:hAnsi="Arial"/>
                <w:b w:val="0"/>
                <w:sz w:val="12"/>
              </w:rPr>
              <w:t>Convenios de investigación aplicada; licencia institucional del simulador y reportes; diseño e implementación de pilotos MFC; monitoreo y mantenimiento periódico; estudios de prefactibilidad; proyectos de escalamiento y posible participación futura en valor energético generado.</w:t>
            </w:r>
          </w:p>
        </w:tc>
      </w:tr>
    </w:tbl>
    <w:p xmlns:w14="http://schemas.microsoft.com/office/word/2010/wordml" w14:paraId="7076DE9B" w14:textId="1374D0C0" w:rsidR="00E0770F" w:rsidRPr="00712083" w:rsidRDefault="004219BB">
      <w:pPr>
        <w:spacing w:before="0" w:after="120"/>
        <w:rPr>
          <w:b/>
          <w:bCs/>
        </w:rPr>
      </w:pPr>
      <w:r>
        <w:rPr>
          <w:b/>
          <w:bCs/>
        </w:rPr>
      </w:r>
      <w:r>
        <w:rPr>
          <w:rFonts w:ascii="Arial" w:hAnsi="Arial"/>
          <w:b/>
          <w:sz w:val="21"/>
        </w:rPr>
        <w:t xml:space="preserve">Nombre del equipo: </w:t>
      </w:r>
      <w:r>
        <w:rPr>
          <w:rFonts w:ascii="Arial" w:hAnsi="Arial"/>
          <w:sz w:val="21"/>
        </w:rPr>
        <w:t>HackHeroes</w:t>
      </w:r>
    </w:p>
    <w:p>
      <w:pPr>
        <w:sectPr>
          <w:type w:val="nextPage"/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>
      <w:pPr>
        <w:pStyle w:val="Heading1"/>
      </w:pPr>
      <w:r>
        <w:t>Anexo: respuestas completas del Lean Canvas</w:t>
      </w:r>
    </w:p>
    <w:p>
      <w:r>
        <w:t>Nota: la primera página conserva el formato visual solicitado. La sección “Vista visual de una página” del markdown queda representada allí; el resto del anexo mantiene las respuestas completas: supuestos, evidencia, métricas, riesgos y fuentes.</w:t>
      </w:r>
    </w:p>
    <w:bookmarkStart w:id="54" w:name="greenspark-lean-canvas"/>
    <w:p>
      <w:pPr>
        <w:pStyle w:val="Heading1"/>
      </w:pPr>
      <w:r>
        <w:t xml:space="preserve">GreenSpark: Lean Canvas</w:t>
      </w:r>
    </w:p>
    <w:p>
      <w:pPr>
        <w:pStyle w:val="FirstParagraph"/>
      </w:pPr>
      <w:r>
        <w:rPr>
          <w:b/>
          <w:bCs/>
        </w:rPr>
        <w:t xml:space="preserve">Equipo:</w:t>
      </w:r>
      <w:r>
        <w:t xml:space="preserve"> </w:t>
      </w:r>
      <w:r>
        <w:t xml:space="preserve">HackHeroes ·</w:t>
      </w:r>
      <w:r>
        <w:t xml:space="preserve"> </w:t>
      </w:r>
      <w:r>
        <w:rPr>
          <w:b/>
          <w:bCs/>
        </w:rPr>
        <w:t xml:space="preserve">Mención:</w:t>
      </w:r>
      <w:r>
        <w:t xml:space="preserve"> </w:t>
      </w:r>
      <w:r>
        <w:t xml:space="preserve">Energía ·</w:t>
      </w:r>
      <w:r>
        <w:t xml:space="preserve"> </w:t>
      </w:r>
      <w:r>
        <w:rPr>
          <w:b/>
          <w:bCs/>
        </w:rPr>
        <w:t xml:space="preserve">Lugar:</w:t>
      </w:r>
      <w:r>
        <w:t xml:space="preserve"> </w:t>
      </w:r>
      <w:r>
        <w:t xml:space="preserve">Santa Cruz de la Sierra, Bolivia</w:t>
      </w:r>
    </w:p>
    <w:p>
      <w:pPr>
        <w:pStyle w:val="BodyText"/>
      </w:pPr>
      <w:r>
        <w:rPr>
          <w:b/>
          <w:bCs/>
        </w:rPr>
        <w:t xml:space="preserve">Fecha:</w:t>
      </w:r>
      <w:r>
        <w:t xml:space="preserve"> </w:t>
      </w:r>
      <w:r>
        <w:t xml:space="preserve">31 de mayo de 2026 ·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lockText"/>
      </w:pPr>
      <w:r>
        <w:rPr>
          <w:b/>
          <w:bCs/>
        </w:rPr>
        <w:t xml:space="preserve">Criterio de honestidad:</w:t>
      </w:r>
      <w:r>
        <w:t xml:space="preserve"> </w:t>
      </w:r>
      <w:r>
        <w:t xml:space="preserve">este Lean Canvas describe hipótesis de problema, adopción y sostenibilidad. GreenSpark todavía no presenta un reactor físico, electricidad medida ni contratos comerciales. La propuesta separa el MVP documental de la validación futura.</w:t>
      </w:r>
    </w:p>
    <w:bookmarkStart w:id="20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GreenSpark ayuda inicialmente a universidades privadas de Santa Cruz de la Sierra a investigar cómo convertir residuos bioorgánicos en electricidad mediante celdas de combustible microbianas (MFC). La propuesta combina diseño experimental, simulación asistida por IA y reportes trazables para decidir qué escenarios validar antes de invertir en infraestructura.</w:t>
      </w:r>
    </w:p>
    <w:p>
      <w:pPr>
        <w:pStyle w:val="BodyText"/>
      </w:pPr>
      <w:r>
        <w:t xml:space="preserve">El proyecto comienza con investigación universitaria, avanza hacia pilotos MFC instrumentados con actores privados y evalúa biodigestores o soluciones híbridas cuando el volumen segregado justifica mayor capacidad. Esta ruta reduce el riesgo de prometer ahorros sin mediciones y construye evidencia local para escalar.</w:t>
      </w:r>
    </w:p>
    <w:bookmarkEnd w:id="20"/>
    <w:bookmarkStart w:id="21" w:name="vista-visual-de-una-página"/>
    <w:p>
      <w:pPr>
        <w:pStyle w:val="Heading2"/>
      </w:pPr>
      <w:r>
        <w:t xml:space="preserve">2. Vista visual de una página</w:t>
      </w:r>
    </w:p>
    <w:p>
      <w:pPr>
        <w:pStyle w:val="FirstParagraph"/>
      </w:pPr>
      <w:r>
        <w:t xml:space="preserve">La vista visual solicitada se presenta en la primera página del documento con el formato de Lean Canvas requerido.</w:t>
      </w:r>
    </w:p>
    <w:bookmarkEnd w:id="21"/>
    <w:bookmarkStart w:id="30" w:name="problema"/>
    <w:p>
      <w:pPr>
        <w:pStyle w:val="Heading2"/>
      </w:pPr>
      <w:r>
        <w:t xml:space="preserve">3. Problema</w:t>
      </w:r>
    </w:p>
    <w:bookmarkStart w:id="23" w:name="problema-principal"/>
    <w:p>
      <w:pPr>
        <w:pStyle w:val="Heading3"/>
      </w:pPr>
      <w:r>
        <w:t xml:space="preserve">3.1 Problema principal</w:t>
      </w:r>
    </w:p>
    <w:p>
      <w:pPr>
        <w:pStyle w:val="FirstParagraph"/>
      </w:pPr>
      <w:r>
        <w:t xml:space="preserve">Santa Cruz de la Sierra genera aproximadamente</w:t>
      </w:r>
      <w:r>
        <w:t xml:space="preserve"> </w:t>
      </w:r>
      <w:r>
        <w:rPr>
          <w:b/>
          <w:bCs/>
        </w:rPr>
        <w:t xml:space="preserve">970,97 t/día</w:t>
      </w:r>
      <w:r>
        <w:t xml:space="preserve">, redondeadas a</w:t>
      </w:r>
      <w:r>
        <w:t xml:space="preserve"> </w:t>
      </w:r>
      <w:r>
        <w:rPr>
          <w:b/>
          <w:bCs/>
        </w:rPr>
        <w:t xml:space="preserve">971 t/día</w:t>
      </w:r>
      <w:r>
        <w:t xml:space="preserve">, de residuos orgánicos compostables [DATO + CÁLCULO:</w:t>
      </w:r>
      <w:r>
        <w:t xml:space="preserve"> </w:t>
      </w:r>
      <w:r>
        <w:rPr>
          <w:rStyle w:val="VerbatimChar"/>
        </w:rPr>
        <w:t xml:space="preserve">1.909,86 × 0,5084 = 970,97</w:t>
      </w:r>
      <w:r>
        <w:t xml:space="preserve">], pero las instituciones no cuentan con datos locales suficientes para decidir qué sustratos priorizar, qué rendimiento energético esperar ni cuándo conviene escalar.</w:t>
      </w:r>
      <w:r>
        <w:t xml:space="preserve"> </w:t>
      </w:r>
      <w:hyperlink r:id="rId22">
        <w:r>
          <w:rPr>
            <w:rStyle w:val="Hyperlink"/>
          </w:rPr>
          <w:t xml:space="preserve">Fuente</w:t>
        </w:r>
      </w:hyperlink>
    </w:p>
    <w:bookmarkEnd w:id="23"/>
    <w:bookmarkStart w:id="24" w:name="problemas-secundarios"/>
    <w:p>
      <w:pPr>
        <w:pStyle w:val="Heading3"/>
      </w:pPr>
      <w:r>
        <w:t xml:space="preserve">3.2 Problemas secundarios</w:t>
      </w:r>
    </w:p>
    <w:p>
      <w:pPr>
        <w:pStyle w:val="Compact"/>
        <w:numPr>
          <w:ilvl w:val="0"/>
          <w:numId w:val="1001"/>
        </w:numPr>
      </w:pPr>
      <w:r>
        <w:t xml:space="preserve">Los residuos cambian según origen, composición y contaminación.</w:t>
      </w:r>
    </w:p>
    <w:p>
      <w:pPr>
        <w:pStyle w:val="Compact"/>
        <w:numPr>
          <w:ilvl w:val="0"/>
          <w:numId w:val="1001"/>
        </w:numPr>
      </w:pPr>
      <w:r>
        <w:t xml:space="preserve">Las MFC y los biodigestores responden a escalas y objetivos diferentes.</w:t>
      </w:r>
    </w:p>
    <w:p>
      <w:pPr>
        <w:pStyle w:val="Compact"/>
        <w:numPr>
          <w:ilvl w:val="0"/>
          <w:numId w:val="1001"/>
        </w:numPr>
      </w:pPr>
      <w:r>
        <w:t xml:space="preserve">Los negocios necesitan métricas de sostenibilidad verificables, no afirmaciones genéricas.</w:t>
      </w:r>
    </w:p>
    <w:p>
      <w:pPr>
        <w:pStyle w:val="Compact"/>
        <w:numPr>
          <w:ilvl w:val="0"/>
          <w:numId w:val="1001"/>
        </w:numPr>
      </w:pPr>
      <w:r>
        <w:t xml:space="preserve">Invertir sin mediciones aumenta el riesgo de sobredimensionar infraestructura.</w:t>
      </w:r>
    </w:p>
    <w:bookmarkEnd w:id="24"/>
    <w:bookmarkStart w:id="25" w:name="consecuencias"/>
    <w:p>
      <w:pPr>
        <w:pStyle w:val="Heading3"/>
      </w:pPr>
      <w:r>
        <w:t xml:space="preserve">3.3 Consecuencias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Dimensión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Consecuencia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del flujo bioorgánico todavía no se evalúa como recurso circular.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Energética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desconoce qué configuraciones pueden aportar a cargas seleccionadas.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Económica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instituciones pueden invertir sin conocer rendimiento, costo ni retorno.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Educativa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desaprovecha la oportunidad de construir conocimiento local aplicado.</w:t>
            </w:r>
          </w:p>
        </w:tc>
      </w:tr>
    </w:tbl>
    <w:bookmarkEnd w:id="25"/>
    <w:bookmarkStart w:id="29" w:name="evidencia-local-verificada"/>
    <w:p>
      <w:pPr>
        <w:pStyle w:val="Heading3"/>
      </w:pPr>
      <w:r>
        <w:t xml:space="preserve">3.4 Evidencia local verificada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Interpretación para el Canvas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GAMSC publica</w:t>
            </w:r>
            <w:r>
              <w:t xml:space="preserve"> </w:t>
            </w:r>
            <w:r>
              <w:rPr>
                <w:b/>
                <w:bCs/>
              </w:rPr>
              <w:t xml:space="preserve">1.909,86 t/día</w:t>
            </w:r>
            <w:r>
              <w:t xml:space="preserve"> </w:t>
            </w:r>
            <w:r>
              <w:t xml:space="preserve">de residuos y</w:t>
            </w:r>
            <w:r>
              <w:t xml:space="preserve"> </w:t>
            </w:r>
            <w:r>
              <w:rPr>
                <w:b/>
                <w:bCs/>
              </w:rPr>
              <w:t xml:space="preserve">50,84%</w:t>
            </w:r>
            <w:r>
              <w:t xml:space="preserve"> </w:t>
            </w:r>
            <w:r>
              <w:t xml:space="preserve">de orgánicos compostables.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Fuente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Las</w:t>
            </w:r>
            <w:r>
              <w:t xml:space="preserve"> </w:t>
            </w:r>
            <w:r>
              <w:rPr>
                <w:b/>
                <w:bCs/>
              </w:rPr>
              <w:t xml:space="preserve">971 t/día</w:t>
            </w:r>
            <w:r>
              <w:t xml:space="preserve"> </w:t>
            </w:r>
            <w:r>
              <w:t xml:space="preserve">son contexto municipal, no residuo disponible automáticamente para GreenSpark.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Swisscontact publica una planta municipal de compostaje de hasta</w:t>
            </w:r>
            <w:r>
              <w:t xml:space="preserve"> </w:t>
            </w:r>
            <w:r>
              <w:rPr>
                <w:b/>
                <w:bCs/>
              </w:rPr>
              <w:t xml:space="preserve">7 t/día</w:t>
            </w:r>
            <w:r>
              <w:t xml:space="preserve">.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Fuente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El proyecto debe presentarse como ruta complementaria de investigación y valorización energética.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Swisscontact reporta más de</w:t>
            </w:r>
            <w:r>
              <w:t xml:space="preserve"> </w:t>
            </w:r>
            <w:r>
              <w:rPr>
                <w:b/>
                <w:bCs/>
              </w:rPr>
              <w:t xml:space="preserve">20 t/día</w:t>
            </w:r>
            <w:r>
              <w:t xml:space="preserve"> </w:t>
            </w:r>
            <w:r>
              <w:t xml:space="preserve">de residuos bioorgánicos en el Mercado Nuevo Abasto.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Fuente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Los generadores concentrados justifican estudios futuros, pero cada piloto debe pesar y caracterizar su propio sustrato.</w:t>
            </w:r>
          </w:p>
        </w:tc>
      </w:tr>
    </w:tbl>
    <w:p>
      <w:pPr>
        <w:pStyle w:val="BodyText"/>
      </w:pPr>
      <w:r>
        <w:t xml:space="preserve">Consulta la evidencia ampliada en</w:t>
      </w:r>
      <w:r>
        <w:t xml:space="preserve"> </w:t>
      </w:r>
      <w:hyperlink r:id="rId28">
        <w:r>
          <w:rPr>
            <w:rStyle w:val="Hyperlink"/>
          </w:rPr>
          <w:t xml:space="preserve">problema identificado</w:t>
        </w:r>
      </w:hyperlink>
      <w:r>
        <w:t xml:space="preserve">.</w:t>
      </w:r>
    </w:p>
    <w:bookmarkEnd w:id="29"/>
    <w:bookmarkEnd w:id="30"/>
    <w:bookmarkStart w:id="31" w:name="segmentos-de-clientes-y-usuarios"/>
    <w:p>
      <w:pPr>
        <w:pStyle w:val="Heading2"/>
      </w:pPr>
      <w:r>
        <w:t xml:space="preserve">4. Segmentos de clientes y usuarios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Cliente inicial y pagador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Universidades privadas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Financiar investigación aplicada, innovación visible y reporte institucional.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Usuario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Equipos universitarios de investigación, sostenibilidad o innovación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Comparar escenarios y priorizar experimentos.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Early adopter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Universidad privada con interés en sostenibilidad, participación estudiantil y capacidad para impulsar un piloto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un convenio exploratorio y utilizar su campus como laboratorio vivo.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Cliente de fase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Colegios privados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Educación ambiental y pilotos demostrativos medibles.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Cliente de fase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Trazabilidad de residuos frecuentes y reporte de circularidad.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Cliente de fases 2 y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Agroindustrias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energético, valorización de residuos concentrados y escalamiento.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Beneficiario indirecto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agropecuario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Evaluar subproductos estabilizados con potencial agronómico.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Beneficiario indirecto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Ciudadanía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Impulsar cultura circular y menor presión futura sobre disposición final.</w:t>
            </w:r>
          </w:p>
        </w:tc>
      </w:tr>
    </w:tbl>
    <w:bookmarkEnd w:id="31"/>
    <w:bookmarkStart w:id="32" w:name="propuesta-de-valor-única"/>
    <w:p>
      <w:pPr>
        <w:pStyle w:val="Heading2"/>
      </w:pPr>
      <w:r>
        <w:t xml:space="preserve">5. Propuesta de valor única</w:t>
      </w:r>
    </w:p>
    <w:p>
      <w:pPr>
        <w:pStyle w:val="BlockText"/>
      </w:pPr>
      <w:r>
        <w:rPr>
          <w:b/>
          <w:bCs/>
        </w:rPr>
        <w:t xml:space="preserve">“</w:t>
      </w:r>
      <w:r>
        <w:rPr>
          <w:b/>
          <w:bCs/>
        </w:rPr>
        <w:t xml:space="preserve">Convertimos residuos bioorgánicos en decisiones energéticas medibles: investigamos con MFC, validamos con datos y escalamos cuando la evidencia lo justifica.</w:t>
      </w:r>
      <w:r>
        <w:rPr>
          <w:b/>
          <w:bCs/>
        </w:rPr>
        <w:t xml:space="preserve">”</w:t>
      </w:r>
    </w:p>
    <w:p>
      <w:pPr>
        <w:pStyle w:val="FirstParagraph"/>
      </w:pPr>
      <w:r>
        <w:t xml:space="preserve">GreenSpark reduce el riesgo de invertir por intuición. La institución recibe escenarios comparables, supuestos visibles, métricas de sostenibilidad y una hoja de ruta experimental.</w:t>
      </w:r>
    </w:p>
    <w:bookmarkEnd w:id="32"/>
    <w:bookmarkStart w:id="39" w:name="solución"/>
    <w:p>
      <w:pPr>
        <w:pStyle w:val="Heading2"/>
      </w:pPr>
      <w:r>
        <w:t xml:space="preserve">6. Solución</w:t>
      </w:r>
    </w:p>
    <w:bookmarkStart w:id="33" w:name="tres-propuestas-de-innovación"/>
    <w:p>
      <w:pPr>
        <w:pStyle w:val="Heading3"/>
      </w:pPr>
      <w:r>
        <w:t xml:space="preserve">6.1 Tres propuestas de innovación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Investigación MFC aplicada al contexto cruceño:</w:t>
      </w:r>
      <w:r>
        <w:t xml:space="preserve"> </w:t>
      </w:r>
      <w:r>
        <w:t xml:space="preserve">estudiar generación eléctrica directa a partir de residuos bioorgánicos locales.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IA para priorizar decisiones:</w:t>
      </w:r>
      <w:r>
        <w:t xml:space="preserve"> </w:t>
      </w:r>
      <w:r>
        <w:t xml:space="preserve">simular escenarios, recomendar experimentos y traducir resultados en métricas institucionales.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Escalamiento circular gradual:</w:t>
      </w:r>
      <w:r>
        <w:t xml:space="preserve"> </w:t>
      </w:r>
      <w:r>
        <w:t xml:space="preserve">evaluar biodigestores y oportunidades de generación distribuida cuando los datos, el volumen y la revisión regulatoria lo permitan.</w:t>
      </w:r>
    </w:p>
    <w:bookmarkEnd w:id="33"/>
    <w:bookmarkStart w:id="34" w:name="alcance-actual-del-mvp-documental"/>
    <w:p>
      <w:pPr>
        <w:pStyle w:val="Heading3"/>
      </w:pPr>
      <w:r>
        <w:t xml:space="preserve">6.2 Alcance actual del MVP documental</w:t>
      </w:r>
    </w:p>
    <w:p>
      <w:pPr>
        <w:pStyle w:val="Compact"/>
        <w:numPr>
          <w:ilvl w:val="0"/>
          <w:numId w:val="1003"/>
        </w:numPr>
      </w:pPr>
      <w:r>
        <w:t xml:space="preserve">registrar el diseño de variables del sustrato, la operación y el reactor;</w:t>
      </w:r>
    </w:p>
    <w:p>
      <w:pPr>
        <w:pStyle w:val="Compact"/>
        <w:numPr>
          <w:ilvl w:val="0"/>
          <w:numId w:val="1003"/>
        </w:numPr>
      </w:pPr>
      <w:r>
        <w:t xml:space="preserve">comparar conceptualmente escenarios MFC asistidos por IA;</w:t>
      </w:r>
    </w:p>
    <w:p>
      <w:pPr>
        <w:pStyle w:val="Compact"/>
        <w:numPr>
          <w:ilvl w:val="0"/>
          <w:numId w:val="1003"/>
        </w:numPr>
      </w:pPr>
      <w:r>
        <w:t xml:space="preserve">recomendar qué experimento físico conviene validar primero;</w:t>
      </w:r>
    </w:p>
    <w:p>
      <w:pPr>
        <w:pStyle w:val="Compact"/>
        <w:numPr>
          <w:ilvl w:val="0"/>
          <w:numId w:val="1003"/>
        </w:numPr>
      </w:pPr>
      <w:r>
        <w:t xml:space="preserve">generar métricas y reportes trazables;</w:t>
      </w:r>
    </w:p>
    <w:p>
      <w:pPr>
        <w:pStyle w:val="Compact"/>
        <w:numPr>
          <w:ilvl w:val="0"/>
          <w:numId w:val="1003"/>
        </w:numPr>
      </w:pPr>
      <w:r>
        <w:t xml:space="preserve">diferenciar simulación, medición y meta exploratoria.</w:t>
      </w:r>
    </w:p>
    <w:bookmarkEnd w:id="34"/>
    <w:bookmarkStart w:id="35" w:name="evolución-futura"/>
    <w:p>
      <w:pPr>
        <w:pStyle w:val="Heading3"/>
      </w:pPr>
      <w:r>
        <w:t xml:space="preserve">6.3 Evolución futura</w:t>
      </w:r>
    </w:p>
    <w:p>
      <w:pPr>
        <w:pStyle w:val="Compact"/>
        <w:numPr>
          <w:ilvl w:val="0"/>
          <w:numId w:val="1004"/>
        </w:numPr>
      </w:pPr>
      <w:r>
        <w:t xml:space="preserve">Construir e instrumentar un piloto MFC.</w:t>
      </w:r>
    </w:p>
    <w:p>
      <w:pPr>
        <w:pStyle w:val="Compact"/>
        <w:numPr>
          <w:ilvl w:val="0"/>
          <w:numId w:val="1004"/>
        </w:numPr>
      </w:pPr>
      <w:r>
        <w:t xml:space="preserve">Incorporar sensores de voltaje, corriente, pH y temperatura.</w:t>
      </w:r>
    </w:p>
    <w:p>
      <w:pPr>
        <w:pStyle w:val="Compact"/>
        <w:numPr>
          <w:ilvl w:val="0"/>
          <w:numId w:val="1004"/>
        </w:numPr>
      </w:pPr>
      <w:r>
        <w:t xml:space="preserve">Sustituir supuestos con mediciones locales.</w:t>
      </w:r>
    </w:p>
    <w:p>
      <w:pPr>
        <w:pStyle w:val="Compact"/>
        <w:numPr>
          <w:ilvl w:val="0"/>
          <w:numId w:val="1004"/>
        </w:numPr>
      </w:pPr>
      <w:r>
        <w:t xml:space="preserve">Evaluar biodigestores o soluciones híbridas al superar umbrales técnicos y operativos.</w:t>
      </w:r>
    </w:p>
    <w:bookmarkEnd w:id="35"/>
    <w:bookmarkStart w:id="38" w:name="fuera-del-alcance-actual"/>
    <w:p>
      <w:pPr>
        <w:pStyle w:val="Heading3"/>
      </w:pPr>
      <w:r>
        <w:t xml:space="preserve">6.4 Fuera del alcance actual</w:t>
      </w:r>
    </w:p>
    <w:p>
      <w:pPr>
        <w:pStyle w:val="Compact"/>
        <w:numPr>
          <w:ilvl w:val="0"/>
          <w:numId w:val="1005"/>
        </w:numPr>
      </w:pPr>
      <w:r>
        <w:t xml:space="preserve">electricidad medida localmente;</w:t>
      </w:r>
    </w:p>
    <w:p>
      <w:pPr>
        <w:pStyle w:val="Compact"/>
        <w:numPr>
          <w:ilvl w:val="0"/>
          <w:numId w:val="1005"/>
        </w:numPr>
      </w:pPr>
      <w:r>
        <w:t xml:space="preserve">garantía de ahorro;</w:t>
      </w:r>
    </w:p>
    <w:p>
      <w:pPr>
        <w:pStyle w:val="Compact"/>
        <w:numPr>
          <w:ilvl w:val="0"/>
          <w:numId w:val="1005"/>
        </w:numPr>
      </w:pPr>
      <w:r>
        <w:t xml:space="preserve">conexión o venta de energía a la red;</w:t>
      </w:r>
    </w:p>
    <w:p>
      <w:pPr>
        <w:pStyle w:val="Compact"/>
        <w:numPr>
          <w:ilvl w:val="0"/>
          <w:numId w:val="1005"/>
        </w:numPr>
      </w:pPr>
      <w:r>
        <w:t xml:space="preserve">fertilizante comercial certificado;</w:t>
      </w:r>
    </w:p>
    <w:p>
      <w:pPr>
        <w:pStyle w:val="Compact"/>
        <w:numPr>
          <w:ilvl w:val="0"/>
          <w:numId w:val="1005"/>
        </w:numPr>
      </w:pPr>
      <w:r>
        <w:t xml:space="preserve">créditos de carbono.</w:t>
      </w:r>
    </w:p>
    <w:p>
      <w:pPr>
        <w:pStyle w:val="FirstParagraph"/>
      </w:pPr>
      <w:r>
        <w:t xml:space="preserve">Consulta el detalle en</w:t>
      </w:r>
      <w:r>
        <w:t xml:space="preserve"> </w:t>
      </w:r>
      <w:hyperlink r:id="rId36">
        <w:r>
          <w:rPr>
            <w:rStyle w:val="Hyperlink"/>
          </w:rPr>
          <w:t xml:space="preserve">solución propuesta</w:t>
        </w:r>
      </w:hyperlink>
      <w:r>
        <w:t xml:space="preserve"> </w:t>
      </w:r>
      <w:r>
        <w:t xml:space="preserve">y</w:t>
      </w:r>
      <w:r>
        <w:t xml:space="preserve"> </w:t>
      </w:r>
      <w:hyperlink r:id="rId37">
        <w:r>
          <w:rPr>
            <w:rStyle w:val="Hyperlink"/>
          </w:rPr>
          <w:t xml:space="preserve">documento técnico con investigación</w:t>
        </w:r>
      </w:hyperlink>
      <w:r>
        <w:t xml:space="preserve">.</w:t>
      </w:r>
    </w:p>
    <w:bookmarkEnd w:id="38"/>
    <w:bookmarkEnd w:id="39"/>
    <w:bookmarkStart w:id="42" w:name="canales"/>
    <w:p>
      <w:pPr>
        <w:pStyle w:val="Heading2"/>
      </w:pPr>
      <w:r>
        <w:t xml:space="preserve">7. Canales</w:t>
      </w:r>
    </w:p>
    <w:bookmarkStart w:id="40" w:name="canales-iniciales"/>
    <w:p>
      <w:pPr>
        <w:pStyle w:val="Heading3"/>
      </w:pPr>
      <w:r>
        <w:t xml:space="preserve">7.1 Canales iniciales</w:t>
      </w:r>
    </w:p>
    <w:p>
      <w:pPr>
        <w:pStyle w:val="Compact"/>
        <w:numPr>
          <w:ilvl w:val="0"/>
          <w:numId w:val="1006"/>
        </w:numPr>
      </w:pPr>
      <w:r>
        <w:t xml:space="preserve">convenios de investigación y extensión universitaria;</w:t>
      </w:r>
    </w:p>
    <w:p>
      <w:pPr>
        <w:pStyle w:val="Compact"/>
        <w:numPr>
          <w:ilvl w:val="0"/>
          <w:numId w:val="1006"/>
        </w:numPr>
      </w:pPr>
      <w:r>
        <w:t xml:space="preserve">contacto directo con responsables de sostenibilidad e innovación;</w:t>
      </w:r>
    </w:p>
    <w:p>
      <w:pPr>
        <w:pStyle w:val="Compact"/>
        <w:numPr>
          <w:ilvl w:val="0"/>
          <w:numId w:val="1006"/>
        </w:numPr>
      </w:pPr>
      <w:r>
        <w:t xml:space="preserve">demostración del simulador y protocolo experimental;</w:t>
      </w:r>
    </w:p>
    <w:p>
      <w:pPr>
        <w:pStyle w:val="Compact"/>
        <w:numPr>
          <w:ilvl w:val="0"/>
          <w:numId w:val="1006"/>
        </w:numPr>
      </w:pPr>
      <w:r>
        <w:t xml:space="preserve">carta de interés o convenio exploratorio con una universidad.</w:t>
      </w:r>
    </w:p>
    <w:bookmarkEnd w:id="40"/>
    <w:bookmarkStart w:id="41" w:name="canales-futuros"/>
    <w:p>
      <w:pPr>
        <w:pStyle w:val="Heading3"/>
      </w:pPr>
      <w:r>
        <w:t xml:space="preserve">7.2 Canales futuros</w:t>
      </w:r>
    </w:p>
    <w:p>
      <w:pPr>
        <w:pStyle w:val="Compact"/>
        <w:numPr>
          <w:ilvl w:val="0"/>
          <w:numId w:val="1007"/>
        </w:numPr>
      </w:pPr>
      <w:r>
        <w:t xml:space="preserve">alianzas con colegios privados y asociaciones gastronómicas;</w:t>
      </w:r>
    </w:p>
    <w:p>
      <w:pPr>
        <w:pStyle w:val="Compact"/>
        <w:numPr>
          <w:ilvl w:val="0"/>
          <w:numId w:val="1007"/>
        </w:numPr>
      </w:pPr>
      <w:r>
        <w:t xml:space="preserve">relación con cámaras y empresas agroindustriales;</w:t>
      </w:r>
    </w:p>
    <w:p>
      <w:pPr>
        <w:pStyle w:val="Compact"/>
        <w:numPr>
          <w:ilvl w:val="0"/>
          <w:numId w:val="1007"/>
        </w:numPr>
      </w:pPr>
      <w:r>
        <w:t xml:space="preserve">casos de estudio construidos con mediciones del piloto;</w:t>
      </w:r>
    </w:p>
    <w:p>
      <w:pPr>
        <w:pStyle w:val="Compact"/>
        <w:numPr>
          <w:ilvl w:val="0"/>
          <w:numId w:val="1007"/>
        </w:numPr>
      </w:pPr>
      <w:r>
        <w:t xml:space="preserve">venta directa B2B de monitoreo, reportes y prefactibilidad.</w:t>
      </w:r>
    </w:p>
    <w:bookmarkEnd w:id="41"/>
    <w:bookmarkEnd w:id="42"/>
    <w:bookmarkStart w:id="44" w:name="fuentes-de-ingresos-y-sostenibilidad"/>
    <w:p>
      <w:pPr>
        <w:pStyle w:val="Heading2"/>
      </w:pPr>
      <w:r>
        <w:t xml:space="preserve">8. Fuentes de ingresos y sostenibilidad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Fuente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Convenio de investigación aplicada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Hipótesis prioritaria a validar.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Licencia institucional del simulador y reporte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Hipótesis a validar.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Diseño e implementación de piloto MFC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costos de prototipo y materiales.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Monitoreo, mantenimiento y reporte periódico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Requiere validar disposición a pagar.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Estudio de prefactibilidad e implementación de biodigestor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 volumen, demanda y regulación.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Participación en valor energético generado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Opción futura sujeta a medición y contrato.</w:t>
            </w:r>
          </w:p>
        </w:tc>
      </w:tr>
    </w:tbl>
    <w:p>
      <w:pPr>
        <w:pStyle w:val="BodyText"/>
      </w:pPr>
      <w:r>
        <w:t xml:space="preserve">Consulta supuestos, break-even y flujo de caja en</w:t>
      </w:r>
      <w:r>
        <w:t xml:space="preserve"> </w:t>
      </w:r>
      <w:hyperlink r:id="rId43">
        <w:r>
          <w:rPr>
            <w:rStyle w:val="Hyperlink"/>
          </w:rPr>
          <w:t xml:space="preserve">análisis financiero</w:t>
        </w:r>
      </w:hyperlink>
      <w:r>
        <w:t xml:space="preserve">.</w:t>
      </w:r>
    </w:p>
    <w:bookmarkEnd w:id="44"/>
    <w:bookmarkStart w:id="45" w:name="estructura-de-costos"/>
    <w:p>
      <w:pPr>
        <w:pStyle w:val="Heading2"/>
      </w:pPr>
      <w:r>
        <w:t xml:space="preserve">9. Estructura de costos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Costos principales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Tecnológicos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Hosting, almacenamiento, API de IA opcional, mantenimiento del simulador y respaldos.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Investigación, curación de datos, acompañamiento institucional, soporte y gestión comercial.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Piloto físico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Materiales, electrodos, sensores, ensamblaje y caracterización del sustrato y subproducto.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Escalamiento futuro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Prefactibilidad, biodigestor o solución híbrida, adecuaciones y cumplimiento aplicable.</w:t>
            </w:r>
          </w:p>
        </w:tc>
      </w:tr>
    </w:tbl>
    <w:bookmarkEnd w:id="45"/>
    <w:bookmarkStart w:id="46" w:name="métricas-clave"/>
    <w:p>
      <w:pPr>
        <w:pStyle w:val="Heading2"/>
      </w:pPr>
      <w:r>
        <w:t xml:space="preserve">10. Métricas clave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demuestra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escenarios evaluados, reportes generados, instituciones activas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Adopción del flujo investigativo.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Investigación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experimentos priorizados, error frente a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Utilidad verificable de la simulación y la 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Técnica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voltaje, corriente, potencia, densidad de potencia, estabilidad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Rendimiento del piloto físico.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Circularidad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masa segregada, masa procesada, contaminación, destino del subproducto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Trazabilidad ambiental.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entrevistas, cartas de interés, convenios, pilotos contratados, renovaciones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Viabilidad comercial.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Energía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cobertura proyectada y medida de cargas seleccionadas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energético sin confundir meta con resultado.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Económica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CAC, margen bruto, break-even, ROI y payback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Sostenibilidad financiera.</w:t>
            </w:r>
          </w:p>
        </w:tc>
      </w:tr>
    </w:tbl>
    <w:bookmarkEnd w:id="46"/>
    <w:bookmarkStart w:id="47" w:name="ventaja-especial"/>
    <w:p>
      <w:pPr>
        <w:pStyle w:val="Heading2"/>
      </w:pPr>
      <w:r>
        <w:t xml:space="preserve">11. Ventaja especial</w:t>
      </w:r>
    </w:p>
    <w:p>
      <w:pPr>
        <w:pStyle w:val="FirstParagraph"/>
      </w:pPr>
      <w:r>
        <w:t xml:space="preserve">La ventaja no es solamente el software. Es el dataset local que se acumula con cada escenario y piloto, junto con el protocolo para traducir residuos bioorgánicos heterogéneos en decisiones de investigación, inversión y sostenibilidad. Esta evidencia mejora progresivamente la capacidad de recomendar qué tecnología aplicar y cuándo escalar.</w:t>
      </w:r>
    </w:p>
    <w:bookmarkEnd w:id="47"/>
    <w:bookmarkStart w:id="48" w:name="hipótesis-principales"/>
    <w:p>
      <w:pPr>
        <w:pStyle w:val="Heading2"/>
      </w:pPr>
      <w:r>
        <w:t xml:space="preserve">12. Hipótesis principales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Hipótesis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valida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 universidad privada pagaría por una fase de investigación aplicada.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Entrevistas, carta de interés y propuesta de convenio.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Existen residuos bioorgánicos segregables para alimentar experimentos MFC.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Pesaje, frecuencia y contaminación por generador.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modelo puede priorizar escenarios mejor que una regla fija.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MAE, RMSE y R² frente a baseline.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piloto físico puede construir un dataset local útil.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Telemetría y registro experimental.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volumen segregado puede justificar evaluar biodigestores.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por generador y prefactibilidad.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subproducto puede tener potencial agronómico después del tratamiento correspondiente.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Caracterización, estabilización y revisión aplicable.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bookmarkEnd w:id="48"/>
    <w:bookmarkStart w:id="49" w:name="riesgos-y-mitigaciones"/>
    <w:p>
      <w:pPr>
        <w:pStyle w:val="Heading2"/>
      </w:pPr>
      <w:r>
        <w:t xml:space="preserve">13. Riesgos y mitigaciones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Datos iniciales insuficientes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baseline, literatura trazable y telemetría local cuando exista piloto.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Simulaciones confundidas con resultados físicos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Etiquetar datos, cálculos, simulaciones y metas exploratorias.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Sustrato variable o contaminado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Registrar composición, fuente y criterios de aceptación.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Baja disposición a pagar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Entrevistar universidades antes de fijar alcance y precio.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Costo elevado del piloto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Económico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Cotizar materiales, sensores y caracterización antes de vender fase 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Potencia MFC insuficiente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Técnico y económico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Limitar metas a cargas seleccionadas y evaluar biodigestores al escalar.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Uso agronómico prematuro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Ambiental y regulatorio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Caracterizar y estabilizar el subproducto antes de ofrecerlo.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Conexión a red asumida sin revisión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Priorizar medición y autoconsumo; validar fuente, escala y modalidad con la AETN y la empresa distribuidora antes de diseñar una conexión.</w:t>
            </w:r>
          </w:p>
        </w:tc>
      </w:tr>
    </w:tbl>
    <w:bookmarkEnd w:id="49"/>
    <w:bookmarkStart w:id="52" w:name="fuentes-consultadas"/>
    <w:p>
      <w:pPr>
        <w:pStyle w:val="Heading2"/>
      </w:pPr>
      <w:r>
        <w:t xml:space="preserve">14. Fuentes consultadas</w:t>
      </w:r>
    </w:p>
    <w:p>
      <w:pPr>
        <w:pStyle w:val="Compact"/>
        <w:numPr>
          <w:ilvl w:val="0"/>
          <w:numId w:val="1008"/>
        </w:numPr>
      </w:pPr>
      <w:hyperlink r:id="rId22">
        <w:r>
          <w:rPr>
            <w:rStyle w:val="Hyperlink"/>
          </w:rPr>
          <w:t xml:space="preserve">GAMSC: campaña CompostArte y datos del PMGIRS 2023</w:t>
        </w:r>
      </w:hyperlink>
    </w:p>
    <w:p>
      <w:pPr>
        <w:pStyle w:val="Compact"/>
        <w:numPr>
          <w:ilvl w:val="0"/>
          <w:numId w:val="1008"/>
        </w:numPr>
      </w:pPr>
      <w:hyperlink r:id="rId26">
        <w:r>
          <w:rPr>
            <w:rStyle w:val="Hyperlink"/>
          </w:rPr>
          <w:t xml:space="preserve">Swisscontact: planta municipal de compostaje, 14/05/2026</w:t>
        </w:r>
      </w:hyperlink>
    </w:p>
    <w:p>
      <w:pPr>
        <w:pStyle w:val="Compact"/>
        <w:numPr>
          <w:ilvl w:val="0"/>
          <w:numId w:val="1008"/>
        </w:numPr>
      </w:pPr>
      <w:hyperlink r:id="rId27">
        <w:r>
          <w:rPr>
            <w:rStyle w:val="Hyperlink"/>
          </w:rPr>
          <w:t xml:space="preserve">Swisscontact: Semilla Urbana, 28/04/2026</w:t>
        </w:r>
      </w:hyperlink>
    </w:p>
    <w:p>
      <w:pPr>
        <w:pStyle w:val="Compact"/>
        <w:numPr>
          <w:ilvl w:val="0"/>
          <w:numId w:val="1008"/>
        </w:numPr>
      </w:pPr>
      <w:hyperlink r:id="rId50">
        <w:r>
          <w:rPr>
            <w:rStyle w:val="Hyperlink"/>
          </w:rPr>
          <w:t xml:space="preserve">AETN: Decreto Supremo N.º 5549, promulgado el 18/02/2026</w:t>
        </w:r>
      </w:hyperlink>
    </w:p>
    <w:p>
      <w:pPr>
        <w:pStyle w:val="Compact"/>
        <w:numPr>
          <w:ilvl w:val="0"/>
          <w:numId w:val="1008"/>
        </w:numPr>
      </w:pPr>
      <w:hyperlink r:id="rId51">
        <w:r>
          <w:rPr>
            <w:rStyle w:val="Hyperlink"/>
          </w:rPr>
          <w:t xml:space="preserve">Bioresources and Bioprocessing: revisión crítica de MFC para bioenergía sostenible, 2025</w:t>
        </w:r>
      </w:hyperlink>
    </w:p>
    <w:bookmarkEnd w:id="52"/>
    <w:bookmarkStart w:id="53" w:name="conclusión"/>
    <w:p>
      <w:pPr>
        <w:pStyle w:val="Heading2"/>
      </w:pPr>
      <w:r>
        <w:t xml:space="preserve">15. Conclusión</w:t>
      </w:r>
    </w:p>
    <w:p>
      <w:pPr>
        <w:pStyle w:val="FirstParagraph"/>
      </w:pPr>
      <w:r>
        <w:t xml:space="preserve">El Lean Canvas muestra que GreenSpark aborda un problema local concreto con un usuario y un pagador inicial identificables. La propuesta no depende de presentar una central eléctrica terminada: comienza con investigación universitaria, valida escenarios MFC con métricas trazables y escala únicamente cuando los datos justifican un piloto o una tecnología de mayor capacidad. El siguiente paso comercial es validar entrevistas, disposición a pagar y costos del piloto.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8" Type="http://schemas.openxmlformats.org/officeDocument/2006/relationships/hyperlink" Target="./01%20problema%20identificado.md" TargetMode="External"/><Relationship Id="rId36" Type="http://schemas.openxmlformats.org/officeDocument/2006/relationships/hyperlink" Target="./04%20solucion%20propuesta.md" TargetMode="External"/><Relationship Id="rId43" Type="http://schemas.openxmlformats.org/officeDocument/2006/relationships/hyperlink" Target="./08%20analisis%20financiero.md" TargetMode="External"/><Relationship Id="rId37" Type="http://schemas.openxmlformats.org/officeDocument/2006/relationships/hyperlink" Target="./09%20documento%20tecnico%20con%20investigacion.md" TargetMode="External"/><Relationship Id="rId51" Type="http://schemas.openxmlformats.org/officeDocument/2006/relationships/hyperlink" Target="https://link.springer.com/article/10.1186/s13068-025-02649-y" TargetMode="External"/><Relationship Id="rId50" Type="http://schemas.openxmlformats.org/officeDocument/2006/relationships/hyperlink" Target="https://www.aetn.gob.bo/docfly/app/webroot/uploads/26/8998-P5JK.pdf" TargetMode="External"/><Relationship Id="rId22" Type="http://schemas.openxmlformats.org/officeDocument/2006/relationships/hyperlink" Target="https://www.gmsantacruz.gob.bo/Noticias/Detalle/?id=517" TargetMode="External"/><Relationship Id="rId27" Type="http://schemas.openxmlformats.org/officeDocument/2006/relationships/hyperlink" Target="https://www.swisscontact.org/es/noticias/nace-una-alternativa-sostenible-para-la-gestion-y-aprovechamiento-de-los-residuos-organicos" TargetMode="External"/><Relationship Id="rId26" Type="http://schemas.openxmlformats.org/officeDocument/2006/relationships/hyperlink" Target="https://www.swisscontact.org/es/noticias/un-nuevo-rumbo-para-los-residuos-organicos-santa-cruz-inaugura-su-planta-de-compostaje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./01%20problema%20identificado.md" TargetMode="External"/><Relationship Id="rId36" Type="http://schemas.openxmlformats.org/officeDocument/2006/relationships/hyperlink" Target="./04%20solucion%20propuesta.md" TargetMode="External"/><Relationship Id="rId43" Type="http://schemas.openxmlformats.org/officeDocument/2006/relationships/hyperlink" Target="./08%20analisis%20financiero.md" TargetMode="External"/><Relationship Id="rId37" Type="http://schemas.openxmlformats.org/officeDocument/2006/relationships/hyperlink" Target="./09%20documento%20tecnico%20con%20investigacion.md" TargetMode="External"/><Relationship Id="rId51" Type="http://schemas.openxmlformats.org/officeDocument/2006/relationships/hyperlink" Target="https://link.springer.com/article/10.1186/s13068-025-02649-y" TargetMode="External"/><Relationship Id="rId50" Type="http://schemas.openxmlformats.org/officeDocument/2006/relationships/hyperlink" Target="https://www.aetn.gob.bo/docfly/app/webroot/uploads/26/8998-P5JK.pdf" TargetMode="External"/><Relationship Id="rId22" Type="http://schemas.openxmlformats.org/officeDocument/2006/relationships/hyperlink" Target="https://www.gmsantacruz.gob.bo/Noticias/Detalle/?id=517" TargetMode="External"/><Relationship Id="rId27" Type="http://schemas.openxmlformats.org/officeDocument/2006/relationships/hyperlink" Target="https://www.swisscontact.org/es/noticias/nace-una-alternativa-sostenible-para-la-gestion-y-aprovechamiento-de-los-residuos-organicos" TargetMode="External"/><Relationship Id="rId26" Type="http://schemas.openxmlformats.org/officeDocument/2006/relationships/hyperlink" Target="https://www.swisscontact.org/es/noticias/un-nuevo-rumbo-para-los-residuos-organicos-santa-cruz-inaugura-su-planta-de-compostaj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GreenSpark Lean Canvas - Formato solicitado con información completa</dc:title>
  <dc:creator/>
  <cp:keywords>GreenSpark, Lean Canvas, HackHeroes, Energia, Santa Cruz</cp:keywords>
  <dcterms:created xsi:type="dcterms:W3CDTF">2026-05-31T12:08:33Z</dcterms:created>
  <dcterms:modified xsi:type="dcterms:W3CDTF">2026-05-31T12:08:33Z</dcterms:modified>
  <dc:subject>Lean Canvas GreenSpark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