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2"/>
        </w:rPr>
        <w:t>METODOLOGIA V2</w:t>
        <w:br/>
      </w:r>
    </w:p>
    <w:p>
      <w:pPr>
        <w:jc w:val="center"/>
      </w:pPr>
      <w:r>
        <w:rPr>
          <w:color w:val="446280"/>
          <w:sz w:val="36"/>
        </w:rPr>
        <w:t>Predição de Parâmetros de Tomate</w:t>
        <w:br/>
        <w:t>por Espectroscopia NIRS</w:t>
      </w:r>
    </w:p>
    <w:p>
      <w:pPr>
        <w:jc w:val="center"/>
      </w:pPr>
      <w:r>
        <w:rPr>
          <w:i/>
          <w:color w:val="666666"/>
          <w:sz w:val="26"/>
        </w:rPr>
        <w:br/>
        <w:t>Explicação Detalhada dos Métodos,</w:t>
        <w:br/>
        <w:t>Abreviaturas, Objetivos e Recomendações</w:t>
      </w:r>
    </w:p>
    <w:p/>
    <w:p>
      <w:pPr>
        <w:jc w:val="center"/>
      </w:pPr>
      <w:r>
        <w:rPr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Abreviaturas e Siglas</w:t>
      </w:r>
    </w:p>
    <w:p>
      <w:pPr>
        <w:spacing w:after="40"/>
      </w:pPr>
      <w:r>
        <w:t>2. Objetivo Geral e Objetivos Específicos</w:t>
      </w:r>
    </w:p>
    <w:p>
      <w:pPr>
        <w:spacing w:after="40"/>
      </w:pPr>
      <w:r>
        <w:t>3. Base de Dados — Estrutura e Desafios</w:t>
      </w:r>
    </w:p>
    <w:p>
      <w:pPr>
        <w:spacing w:after="40"/>
      </w:pPr>
      <w:r>
        <w:t>4. Pré-processamento Espectral</w:t>
      </w:r>
    </w:p>
    <w:p>
      <w:pPr>
        <w:spacing w:after="40"/>
      </w:pPr>
      <w:r>
        <w:t>5. Estrutura de Validação</w:t>
      </w:r>
    </w:p>
    <w:p>
      <w:pPr>
        <w:spacing w:after="40"/>
      </w:pPr>
      <w:r>
        <w:t>6. Pipeline de Machine Learning</w:t>
      </w:r>
    </w:p>
    <w:p>
      <w:pPr>
        <w:spacing w:after="40"/>
      </w:pPr>
      <w:r>
        <w:t>7. Métricas de Avaliação</w:t>
      </w:r>
    </w:p>
    <w:p>
      <w:pPr>
        <w:spacing w:after="40"/>
      </w:pPr>
      <w:r>
        <w:t>8. Resultados Consolidados</w:t>
      </w:r>
    </w:p>
    <w:p>
      <w:pPr>
        <w:spacing w:after="40"/>
      </w:pPr>
      <w:r>
        <w:t>9. Recomendações para Melhoria da Análise</w:t>
      </w:r>
    </w:p>
    <w:p>
      <w:pPr>
        <w:spacing w:after="40"/>
      </w:pPr>
      <w:r>
        <w:t>10. Ferramentas</w:t>
      </w:r>
    </w:p>
    <w:p>
      <w:pPr>
        <w:spacing w:after="40"/>
      </w:pPr>
      <w:r>
        <w:t>Referências</w:t>
      </w:r>
    </w:p>
    <w:p>
      <w:r>
        <w:br w:type="page"/>
      </w:r>
    </w:p>
    <w:p>
      <w:pPr>
        <w:pStyle w:val="Heading1"/>
      </w:pPr>
      <w:r>
        <w:t>1. Abreviaturas e Siglas</w:t>
      </w:r>
    </w:p>
    <w:p>
      <w:pPr/>
      <w:r>
        <w:rPr>
          <w:b w:val="0"/>
          <w:i w:val="0"/>
        </w:rPr>
        <w:t>A tabela abaixo consolida todas as siglas e abreviaturas utilizadas no projeto, com seus significados em português e inglês.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B3A5C" w:val="clear"/>
          </w:tcPr>
          <w:p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2551"/>
            <w:shd w:fill="1B3A5C" w:val="clear"/>
          </w:tcPr>
          <w:p>
            <w:r>
              <w:rPr>
                <w:b/>
                <w:color w:val="FFFFFF"/>
              </w:rPr>
              <w:t>Português</w:t>
            </w:r>
          </w:p>
        </w:tc>
        <w:tc>
          <w:tcPr>
            <w:tcW w:type="dxa" w:w="2551"/>
            <w:shd w:fill="1B3A5C" w:val="clear"/>
          </w:tcPr>
          <w:p>
            <w:r>
              <w:rPr>
                <w:b/>
                <w:color w:val="FFFFFF"/>
              </w:rPr>
              <w:t>Inglês</w:t>
            </w:r>
          </w:p>
        </w:tc>
        <w:tc>
          <w:tcPr>
            <w:tcW w:type="dxa" w:w="3685"/>
            <w:shd w:fill="1B3A5C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t>NIRS</w:t>
            </w:r>
          </w:p>
        </w:tc>
        <w:tc>
          <w:tcPr>
            <w:tcW w:type="dxa" w:w="2551"/>
          </w:tcPr>
          <w:p>
            <w:r>
              <w:t>Espectroscopia no Infravermelho Próximo</w:t>
            </w:r>
          </w:p>
        </w:tc>
        <w:tc>
          <w:tcPr>
            <w:tcW w:type="dxa" w:w="2551"/>
          </w:tcPr>
          <w:p>
            <w:r>
              <w:t>Near-Infrared Spectroscopy</w:t>
            </w:r>
          </w:p>
        </w:tc>
        <w:tc>
          <w:tcPr>
            <w:tcW w:type="dxa" w:w="3685"/>
          </w:tcPr>
          <w:p>
            <w:r>
              <w:t>Técnica espectroscópica que utiliza a faixa de 780-2500 nm para caracterizar materiais</w:t>
            </w:r>
          </w:p>
        </w:tc>
      </w:tr>
      <w:tr>
        <w:tc>
          <w:tcPr>
            <w:tcW w:type="dxa" w:w="1134"/>
          </w:tcPr>
          <w:p>
            <w:r>
              <w:t>SNV</w:t>
            </w:r>
          </w:p>
        </w:tc>
        <w:tc>
          <w:tcPr>
            <w:tcW w:type="dxa" w:w="2551"/>
          </w:tcPr>
          <w:p>
            <w:r>
              <w:t>Variável Normal Padrão</w:t>
            </w:r>
          </w:p>
        </w:tc>
        <w:tc>
          <w:tcPr>
            <w:tcW w:type="dxa" w:w="2551"/>
          </w:tcPr>
          <w:p>
            <w:r>
              <w:t>Standard Normal Variate</w:t>
            </w:r>
          </w:p>
        </w:tc>
        <w:tc>
          <w:tcPr>
            <w:tcW w:type="dxa" w:w="3685"/>
          </w:tcPr>
          <w:p>
            <w:r>
              <w:t>Pré-processamento que centraliza e escala cada espectro individualmente</w:t>
            </w:r>
          </w:p>
        </w:tc>
      </w:tr>
      <w:tr>
        <w:tc>
          <w:tcPr>
            <w:tcW w:type="dxa" w:w="1134"/>
          </w:tcPr>
          <w:p>
            <w:r>
              <w:t>MSC</w:t>
            </w:r>
          </w:p>
        </w:tc>
        <w:tc>
          <w:tcPr>
            <w:tcW w:type="dxa" w:w="2551"/>
          </w:tcPr>
          <w:p>
            <w:r>
              <w:t>Correção de Espalhamento Multiplicativo</w:t>
            </w:r>
          </w:p>
        </w:tc>
        <w:tc>
          <w:tcPr>
            <w:tcW w:type="dxa" w:w="2551"/>
          </w:tcPr>
          <w:p>
            <w:r>
              <w:t>Multiplicative Scatter Correction</w:t>
            </w:r>
          </w:p>
        </w:tc>
        <w:tc>
          <w:tcPr>
            <w:tcW w:type="dxa" w:w="3685"/>
          </w:tcPr>
          <w:p>
            <w:r>
              <w:t>Pré-processamento que corrige efeitos de espalhamento de luz</w:t>
            </w:r>
          </w:p>
        </w:tc>
      </w:tr>
      <w:tr>
        <w:tc>
          <w:tcPr>
            <w:tcW w:type="dxa" w:w="1134"/>
          </w:tcPr>
          <w:p>
            <w:r>
              <w:t>SG</w:t>
            </w:r>
          </w:p>
        </w:tc>
        <w:tc>
          <w:tcPr>
            <w:tcW w:type="dxa" w:w="2551"/>
          </w:tcPr>
          <w:p>
            <w:r>
              <w:t>Savitzky-Golay</w:t>
            </w:r>
          </w:p>
        </w:tc>
        <w:tc>
          <w:tcPr>
            <w:tcW w:type="dxa" w:w="2551"/>
          </w:tcPr>
          <w:p>
            <w:r>
              <w:t>Savitzky-Golay Filter</w:t>
            </w:r>
          </w:p>
        </w:tc>
        <w:tc>
          <w:tcPr>
            <w:tcW w:type="dxa" w:w="3685"/>
          </w:tcPr>
          <w:p>
            <w:r>
              <w:t>Filtro de suavização e diferenciação por polinômios locais</w:t>
            </w:r>
          </w:p>
        </w:tc>
      </w:tr>
      <w:tr>
        <w:tc>
          <w:tcPr>
            <w:tcW w:type="dxa" w:w="1134"/>
          </w:tcPr>
          <w:p>
            <w:r>
              <w:t>PLS</w:t>
            </w:r>
          </w:p>
        </w:tc>
        <w:tc>
          <w:tcPr>
            <w:tcW w:type="dxa" w:w="2551"/>
          </w:tcPr>
          <w:p>
            <w:r>
              <w:t>Mínimos Quadrados Parciais</w:t>
            </w:r>
          </w:p>
        </w:tc>
        <w:tc>
          <w:tcPr>
            <w:tcW w:type="dxa" w:w="2551"/>
          </w:tcPr>
          <w:p>
            <w:r>
              <w:t>Partial Least Squares</w:t>
            </w:r>
          </w:p>
        </w:tc>
        <w:tc>
          <w:tcPr>
            <w:tcW w:type="dxa" w:w="3685"/>
          </w:tcPr>
          <w:p>
            <w:r>
              <w:t>Modelo de regressão com componentes latentes para dados de alta dimensão</w:t>
            </w:r>
          </w:p>
        </w:tc>
      </w:tr>
      <w:tr>
        <w:tc>
          <w:tcPr>
            <w:tcW w:type="dxa" w:w="1134"/>
          </w:tcPr>
          <w:p>
            <w:r>
              <w:t>PCA</w:t>
            </w:r>
          </w:p>
        </w:tc>
        <w:tc>
          <w:tcPr>
            <w:tcW w:type="dxa" w:w="2551"/>
          </w:tcPr>
          <w:p>
            <w:r>
              <w:t>Análise de Componentes Principais</w:t>
            </w:r>
          </w:p>
        </w:tc>
        <w:tc>
          <w:tcPr>
            <w:tcW w:type="dxa" w:w="2551"/>
          </w:tcPr>
          <w:p>
            <w:r>
              <w:t>Principal Component Analysis</w:t>
            </w:r>
          </w:p>
        </w:tc>
        <w:tc>
          <w:tcPr>
            <w:tcW w:type="dxa" w:w="3685"/>
          </w:tcPr>
          <w:p>
            <w:r>
              <w:t>Análise exploratória para redução de dimensionalidade</w:t>
            </w:r>
          </w:p>
        </w:tc>
      </w:tr>
      <w:tr>
        <w:tc>
          <w:tcPr>
            <w:tcW w:type="dxa" w:w="1134"/>
          </w:tcPr>
          <w:p>
            <w:r>
              <w:t>SVR</w:t>
            </w:r>
          </w:p>
        </w:tc>
        <w:tc>
          <w:tcPr>
            <w:tcW w:type="dxa" w:w="2551"/>
          </w:tcPr>
          <w:p>
            <w:r>
              <w:t>Regressão por Vetores de Suporte</w:t>
            </w:r>
          </w:p>
        </w:tc>
        <w:tc>
          <w:tcPr>
            <w:tcW w:type="dxa" w:w="2551"/>
          </w:tcPr>
          <w:p>
            <w:r>
              <w:t>Support Vector Regression</w:t>
            </w:r>
          </w:p>
        </w:tc>
        <w:tc>
          <w:tcPr>
            <w:tcW w:type="dxa" w:w="3685"/>
          </w:tcPr>
          <w:p>
            <w:r>
              <w:t>Modelo de regressão baseado em margens de tolerância</w:t>
            </w:r>
          </w:p>
        </w:tc>
      </w:tr>
      <w:tr>
        <w:tc>
          <w:tcPr>
            <w:tcW w:type="dxa" w:w="1134"/>
          </w:tcPr>
          <w:p>
            <w:r>
              <w:t>RF</w:t>
            </w:r>
          </w:p>
        </w:tc>
        <w:tc>
          <w:tcPr>
            <w:tcW w:type="dxa" w:w="2551"/>
          </w:tcPr>
          <w:p>
            <w:r>
              <w:t>Floresta Aleatória</w:t>
            </w:r>
          </w:p>
        </w:tc>
        <w:tc>
          <w:tcPr>
            <w:tcW w:type="dxa" w:w="2551"/>
          </w:tcPr>
          <w:p>
            <w:r>
              <w:t>Random Forest</w:t>
            </w:r>
          </w:p>
        </w:tc>
        <w:tc>
          <w:tcPr>
            <w:tcW w:type="dxa" w:w="3685"/>
          </w:tcPr>
          <w:p>
            <w:r>
              <w:t>Modelo ensemble de árvores de decisão</w:t>
            </w:r>
          </w:p>
        </w:tc>
      </w:tr>
      <w:tr>
        <w:tc>
          <w:tcPr>
            <w:tcW w:type="dxa" w:w="1134"/>
          </w:tcPr>
          <w:p>
            <w:r>
              <w:t>OLS</w:t>
            </w:r>
          </w:p>
        </w:tc>
        <w:tc>
          <w:tcPr>
            <w:tcW w:type="dxa" w:w="2551"/>
          </w:tcPr>
          <w:p>
            <w:r>
              <w:t>Mínimos Quadrados Ordinários</w:t>
            </w:r>
          </w:p>
        </w:tc>
        <w:tc>
          <w:tcPr>
            <w:tcW w:type="dxa" w:w="2551"/>
          </w:tcPr>
          <w:p>
            <w:r>
              <w:t>Ordinary Least Squares</w:t>
            </w:r>
          </w:p>
        </w:tc>
        <w:tc>
          <w:tcPr>
            <w:tcW w:type="dxa" w:w="3685"/>
          </w:tcPr>
          <w:p>
            <w:r>
              <w:t>Regressão linear clássica</w:t>
            </w:r>
          </w:p>
        </w:tc>
      </w:tr>
      <w:tr>
        <w:tc>
          <w:tcPr>
            <w:tcW w:type="dxa" w:w="1134"/>
          </w:tcPr>
          <w:p>
            <w:r>
              <w:t>RPD</w:t>
            </w:r>
          </w:p>
        </w:tc>
        <w:tc>
          <w:tcPr>
            <w:tcW w:type="dxa" w:w="2551"/>
          </w:tcPr>
          <w:p>
            <w:r>
              <w:t>Desvio Residual de Performance</w:t>
            </w:r>
          </w:p>
        </w:tc>
        <w:tc>
          <w:tcPr>
            <w:tcW w:type="dxa" w:w="2551"/>
          </w:tcPr>
          <w:p>
            <w:r>
              <w:t>Residual Performance Deviation</w:t>
            </w:r>
          </w:p>
        </w:tc>
        <w:tc>
          <w:tcPr>
            <w:tcW w:type="dxa" w:w="3685"/>
          </w:tcPr>
          <w:p>
            <w:r>
              <w:t>Métrica que relaciona desvio padrão ao erro do modelo</w:t>
            </w:r>
          </w:p>
        </w:tc>
      </w:tr>
      <w:tr>
        <w:tc>
          <w:tcPr>
            <w:tcW w:type="dxa" w:w="1134"/>
          </w:tcPr>
          <w:p>
            <w:r>
              <w:t>RMSE</w:t>
            </w:r>
          </w:p>
        </w:tc>
        <w:tc>
          <w:tcPr>
            <w:tcW w:type="dxa" w:w="2551"/>
          </w:tcPr>
          <w:p>
            <w:r>
              <w:t>Raiz do Erro Quadrático Médio</w:t>
            </w:r>
          </w:p>
        </w:tc>
        <w:tc>
          <w:tcPr>
            <w:tcW w:type="dxa" w:w="2551"/>
          </w:tcPr>
          <w:p>
            <w:r>
              <w:t>Root Mean Squared Error</w:t>
            </w:r>
          </w:p>
        </w:tc>
        <w:tc>
          <w:tcPr>
            <w:tcW w:type="dxa" w:w="3685"/>
          </w:tcPr>
          <w:p>
            <w:r>
              <w:t>Métrica de erro na mesma unidade do alvo</w:t>
            </w:r>
          </w:p>
        </w:tc>
      </w:tr>
      <w:tr>
        <w:tc>
          <w:tcPr>
            <w:tcW w:type="dxa" w:w="1134"/>
          </w:tcPr>
          <w:p>
            <w:r>
              <w:t>LOOCV</w:t>
            </w:r>
          </w:p>
        </w:tc>
        <w:tc>
          <w:tcPr>
            <w:tcW w:type="dxa" w:w="2551"/>
          </w:tcPr>
          <w:p>
            <w:r>
              <w:t>Validação Cruzada Deixe-Um-Fora</w:t>
            </w:r>
          </w:p>
        </w:tc>
        <w:tc>
          <w:tcPr>
            <w:tcW w:type="dxa" w:w="2551"/>
          </w:tcPr>
          <w:p>
            <w:r>
              <w:t>Leave-One-Out Cross-Validation</w:t>
            </w:r>
          </w:p>
        </w:tc>
        <w:tc>
          <w:tcPr>
            <w:tcW w:type="dxa" w:w="3685"/>
          </w:tcPr>
          <w:p>
            <w:r>
              <w:t>Técnica de validação com N folds = N amostras</w:t>
            </w:r>
          </w:p>
        </w:tc>
      </w:tr>
      <w:tr>
        <w:tc>
          <w:tcPr>
            <w:tcW w:type="dxa" w:w="1134"/>
          </w:tcPr>
          <w:p>
            <w:r>
              <w:t>GK</w:t>
            </w:r>
          </w:p>
        </w:tc>
        <w:tc>
          <w:tcPr>
            <w:tcW w:type="dxa" w:w="2551"/>
          </w:tcPr>
          <w:p>
            <w:r>
              <w:t>Validação Cruzada por Grupos</w:t>
            </w:r>
          </w:p>
        </w:tc>
        <w:tc>
          <w:tcPr>
            <w:tcW w:type="dxa" w:w="2551"/>
          </w:tcPr>
          <w:p>
            <w:r>
              <w:t>GroupKFold</w:t>
            </w:r>
          </w:p>
        </w:tc>
        <w:tc>
          <w:tcPr>
            <w:tcW w:type="dxa" w:w="3685"/>
          </w:tcPr>
          <w:p>
            <w:r>
              <w:t>Validação que respeita grupos de amostras dependentes</w:t>
            </w:r>
          </w:p>
        </w:tc>
      </w:tr>
      <w:tr>
        <w:tc>
          <w:tcPr>
            <w:tcW w:type="dxa" w:w="1134"/>
          </w:tcPr>
          <w:p>
            <w:r>
              <w:t>SS</w:t>
            </w:r>
          </w:p>
        </w:tc>
        <w:tc>
          <w:tcPr>
            <w:tcW w:type="dxa" w:w="2551"/>
          </w:tcPr>
          <w:p>
            <w:r>
              <w:t>Sólidos Solúveis</w:t>
            </w:r>
          </w:p>
        </w:tc>
        <w:tc>
          <w:tcPr>
            <w:tcW w:type="dxa" w:w="2551"/>
          </w:tcPr>
          <w:p>
            <w:r>
              <w:t>Soluble Solids (°Brix)</w:t>
            </w:r>
          </w:p>
        </w:tc>
        <w:tc>
          <w:tcPr>
            <w:tcW w:type="dxa" w:w="3685"/>
          </w:tcPr>
          <w:p>
            <w:r>
              <w:t>Teor de açúcares e compostos dissolvidos no tomate</w:t>
            </w:r>
          </w:p>
        </w:tc>
      </w:tr>
      <w:tr>
        <w:tc>
          <w:tcPr>
            <w:tcW w:type="dxa" w:w="1134"/>
          </w:tcPr>
          <w:p>
            <w:r>
              <w:t>AT</w:t>
            </w:r>
          </w:p>
        </w:tc>
        <w:tc>
          <w:tcPr>
            <w:tcW w:type="dxa" w:w="2551"/>
          </w:tcPr>
          <w:p>
            <w:r>
              <w:t>Acidez Total Titulável</w:t>
            </w:r>
          </w:p>
        </w:tc>
        <w:tc>
          <w:tcPr>
            <w:tcW w:type="dxa" w:w="2551"/>
          </w:tcPr>
          <w:p>
            <w:r>
              <w:t>Total Titratable Acidity</w:t>
            </w:r>
          </w:p>
        </w:tc>
        <w:tc>
          <w:tcPr>
            <w:tcW w:type="dxa" w:w="3685"/>
          </w:tcPr>
          <w:p>
            <w:r>
              <w:t>Teor de ácidos orgânicos (principalmente cítrico)</w:t>
            </w:r>
          </w:p>
        </w:tc>
      </w:tr>
      <w:tr>
        <w:tc>
          <w:tcPr>
            <w:tcW w:type="dxa" w:w="1134"/>
          </w:tcPr>
          <w:p>
            <w:r>
              <w:t>SS/AT</w:t>
            </w:r>
          </w:p>
        </w:tc>
        <w:tc>
          <w:tcPr>
            <w:tcW w:type="dxa" w:w="2551"/>
          </w:tcPr>
          <w:p>
            <w:r>
              <w:t>Razão Sólidos Solúveis/Acidez</w:t>
            </w:r>
          </w:p>
        </w:tc>
        <w:tc>
          <w:tcPr>
            <w:tcW w:type="dxa" w:w="2551"/>
          </w:tcPr>
          <w:p>
            <w:r>
              <w:t>SS/AT Ratio</w:t>
            </w:r>
          </w:p>
        </w:tc>
        <w:tc>
          <w:tcPr>
            <w:tcW w:type="dxa" w:w="3685"/>
          </w:tcPr>
          <w:p>
            <w:r>
              <w:t>Indicador de sabor e maturação — relação Brix/acidez</w:t>
            </w:r>
          </w:p>
        </w:tc>
      </w:tr>
      <w:tr>
        <w:tc>
          <w:tcPr>
            <w:tcW w:type="dxa" w:w="1134"/>
          </w:tcPr>
          <w:p>
            <w:r>
              <w:t>Comp</w:t>
            </w:r>
          </w:p>
        </w:tc>
        <w:tc>
          <w:tcPr>
            <w:tcW w:type="dxa" w:w="2551"/>
          </w:tcPr>
          <w:p>
            <w:r>
              <w:t>Comprimento</w:t>
            </w:r>
          </w:p>
        </w:tc>
        <w:tc>
          <w:tcPr>
            <w:tcW w:type="dxa" w:w="2551"/>
          </w:tcPr>
          <w:p>
            <w:r>
              <w:t>Length</w:t>
            </w:r>
          </w:p>
        </w:tc>
        <w:tc>
          <w:tcPr>
            <w:tcW w:type="dxa" w:w="3685"/>
          </w:tcPr>
          <w:p>
            <w:r>
              <w:t>Comprimento longitudinal do fruto (mm)</w:t>
            </w:r>
          </w:p>
        </w:tc>
      </w:tr>
      <w:tr>
        <w:tc>
          <w:tcPr>
            <w:tcW w:type="dxa" w:w="1134"/>
          </w:tcPr>
          <w:p>
            <w:r>
              <w:t>Diam.Equat.</w:t>
            </w:r>
          </w:p>
        </w:tc>
        <w:tc>
          <w:tcPr>
            <w:tcW w:type="dxa" w:w="2551"/>
          </w:tcPr>
          <w:p>
            <w:r>
              <w:t>Diâmetro Equatorial</w:t>
            </w:r>
          </w:p>
        </w:tc>
        <w:tc>
          <w:tcPr>
            <w:tcW w:type="dxa" w:w="2551"/>
          </w:tcPr>
          <w:p>
            <w:r>
              <w:t>Equatorial Diameter</w:t>
            </w:r>
          </w:p>
        </w:tc>
        <w:tc>
          <w:tcPr>
            <w:tcW w:type="dxa" w:w="3685"/>
          </w:tcPr>
          <w:p>
            <w:r>
              <w:t>Diâmetro máximo do fruto (mm)</w:t>
            </w:r>
          </w:p>
        </w:tc>
      </w:tr>
      <w:tr>
        <w:tc>
          <w:tcPr>
            <w:tcW w:type="dxa" w:w="1134"/>
          </w:tcPr>
          <w:p>
            <w:r>
              <w:t>C:D</w:t>
            </w:r>
          </w:p>
        </w:tc>
        <w:tc>
          <w:tcPr>
            <w:tcW w:type="dxa" w:w="2551"/>
          </w:tcPr>
          <w:p>
            <w:r>
              <w:t>Razão Comprimento/Diâmetro</w:t>
            </w:r>
          </w:p>
        </w:tc>
        <w:tc>
          <w:tcPr>
            <w:tcW w:type="dxa" w:w="2551"/>
          </w:tcPr>
          <w:p>
            <w:r>
              <w:t>Length:Diam. Ratio</w:t>
            </w:r>
          </w:p>
        </w:tc>
        <w:tc>
          <w:tcPr>
            <w:tcW w:type="dxa" w:w="3685"/>
          </w:tcPr>
          <w:p>
            <w:r>
              <w:t>Formato do fruto (indicador de classificação)</w:t>
            </w:r>
          </w:p>
        </w:tc>
      </w:tr>
      <w:tr>
        <w:tc>
          <w:tcPr>
            <w:tcW w:type="dxa" w:w="1134"/>
          </w:tcPr>
          <w:p>
            <w:r>
              <w:t>Firm</w:t>
            </w:r>
          </w:p>
        </w:tc>
        <w:tc>
          <w:tcPr>
            <w:tcW w:type="dxa" w:w="2551"/>
          </w:tcPr>
          <w:p>
            <w:r>
              <w:t>Firmeza</w:t>
            </w:r>
          </w:p>
        </w:tc>
        <w:tc>
          <w:tcPr>
            <w:tcW w:type="dxa" w:w="2551"/>
          </w:tcPr>
          <w:p>
            <w:r>
              <w:t>Firmness</w:t>
            </w:r>
          </w:p>
        </w:tc>
        <w:tc>
          <w:tcPr>
            <w:tcW w:type="dxa" w:w="3685"/>
          </w:tcPr>
          <w:p>
            <w:r>
              <w:t>Resistência da polpa à penetração (unidade do texturômetro)</w:t>
            </w:r>
          </w:p>
        </w:tc>
      </w:tr>
    </w:tbl>
    <w:p>
      <w:r>
        <w:br w:type="page"/>
      </w:r>
    </w:p>
    <w:p>
      <w:pPr>
        <w:pStyle w:val="Heading1"/>
      </w:pPr>
      <w:r>
        <w:t>2. Objetivo Geral e Objetivos Específicos</w:t>
      </w:r>
    </w:p>
    <w:p>
      <w:pPr>
        <w:pStyle w:val="Heading2"/>
      </w:pPr>
      <w:r>
        <w:t>2.1 Objetivo Geral</w:t>
      </w:r>
    </w:p>
    <w:p>
      <w:pPr/>
      <w:r>
        <w:rPr>
          <w:b w:val="0"/>
          <w:i w:val="0"/>
        </w:rPr>
        <w:t>Desenvolver e validar modelos de regressão baseados em espectroscopia NIRS (400-2500 nm) para predição não-destrutiva de parâmetros morfológicos (comprimento, diâmetro equatorial, razão C:D), de textura (firmeza) e de qualidade química (sólidos solúveis, pH, acidez total, vitamina C e razão SS/AT) em frutos de tomate (Solanum lycopersicum L.) das variedades italiana e cereja.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Aplicar pré-processamento espectral (SNV e Savitzky-Golay) para reduzir ruídos ópticos e variações de linha de base.</w:t>
      </w:r>
    </w:p>
    <w:p>
      <w:pPr>
        <w:pStyle w:val="ListBullet"/>
      </w:pPr>
      <w:r>
        <w:t>Implementar validação cruzada com GroupKFold que respeite a estrutura experimental (parcelas) para evitar falsa replicação.</w:t>
      </w:r>
    </w:p>
    <w:p>
      <w:pPr>
        <w:pStyle w:val="ListBullet"/>
      </w:pPr>
      <w:r>
        <w:t>Comparar o desempenho de diferentes algoritmos: PLS, Random Forest, SVR e Ridge/OLS.</w:t>
      </w:r>
    </w:p>
    <w:p>
      <w:pPr>
        <w:pStyle w:val="ListBullet"/>
      </w:pPr>
      <w:r>
        <w:t>Avaliar a qualidade das predições usando R², RMSE e RPD com classificação segundo Williams (2001).</w:t>
      </w:r>
    </w:p>
    <w:p>
      <w:pPr>
        <w:pStyle w:val="ListBullet"/>
      </w:pPr>
      <w:r>
        <w:t>Identificar quais parâmetros são predizíveis por NIRS e quais apresentam limitações fundamentais.</w:t>
      </w:r>
    </w:p>
    <w:p>
      <w:pPr>
        <w:pStyle w:val="ListBullet"/>
      </w:pPr>
      <w:r>
        <w:t>Propor recomendações metodológicas para melhorar a acurácia dos modelos com baixo desempenho.</w:t>
      </w:r>
    </w:p>
    <w:p>
      <w:r>
        <w:br w:type="page"/>
      </w:r>
    </w:p>
    <w:p>
      <w:pPr>
        <w:pStyle w:val="Heading1"/>
      </w:pPr>
      <w:r>
        <w:t>3. Base de Dados — Estrutura e Desafios</w:t>
      </w:r>
    </w:p>
    <w:p>
      <w:pPr>
        <w:pStyle w:val="Heading2"/>
      </w:pPr>
      <w:r>
        <w:t>3.1 Fonte dos Dados</w:t>
      </w:r>
    </w:p>
    <w:p>
      <w:pPr/>
      <w:r>
        <w:rPr>
          <w:b w:val="0"/>
          <w:i w:val="0"/>
        </w:rPr>
        <w:t>Os dados são provenientes da planilha Capturas_tomate_NIRS_16jun26_corrigido.xlsx, que contém duas abas principais:</w:t>
      </w:r>
    </w:p>
    <w:p>
      <w:pPr>
        <w:pStyle w:val="ListBullet"/>
      </w:pPr>
      <w:r>
        <w:rPr>
          <w:b/>
        </w:rPr>
        <w:t xml:space="preserve">Capturas_NIRS: </w:t>
      </w:r>
      <w:r/>
    </w:p>
    <w:p>
      <w:pPr/>
      <w:r>
        <w:rPr>
          <w:b w:val="0"/>
          <w:i w:val="0"/>
        </w:rPr>
        <w:t xml:space="preserve">   45 espectros de reflectância (um por fruto) medidos de 400 a 2500 nm com passo de 0.5 nm, totalizando 4200 comprimentos de onda por espectro. Dimensão: 4200 linhas × 46 colunas (45 amostras + 1 coluna de comprimento de onda).</w:t>
      </w:r>
    </w:p>
    <w:p>
      <w:pPr>
        <w:pStyle w:val="ListBullet"/>
      </w:pPr>
      <w:r>
        <w:rPr>
          <w:b/>
        </w:rPr>
        <w:t xml:space="preserve">Dados_análise_destrutiva: </w:t>
      </w:r>
      <w:r/>
    </w:p>
    <w:p>
      <w:pPr/>
      <w:r>
        <w:rPr>
          <w:b w:val="0"/>
          <w:i w:val="0"/>
        </w:rPr>
        <w:t xml:space="preserve">   9 parcelas com valores de referência obtidos por métodos destrutivos padrão: AT, Firm, pH, SS, Vit. C, Comp, Diam.Equat., C:D. Dimensão: 9 × 12.</w:t>
      </w:r>
    </w:p>
    <w:p>
      <w:pPr>
        <w:pStyle w:val="Heading2"/>
      </w:pPr>
      <w:r>
        <w:t>3.2 Estrutura Experimental</w:t>
      </w:r>
    </w:p>
    <w:p>
      <w:pPr/>
      <w:r>
        <w:rPr>
          <w:b w:val="0"/>
          <w:i w:val="0"/>
        </w:rPr>
        <w:t>O delineamento experimental consiste em:</w:t>
      </w:r>
    </w:p>
    <w:p>
      <w:pPr>
        <w:pStyle w:val="ListBullet"/>
      </w:pPr>
      <w:r>
        <w:t>3 tratamentos: T1 (variedade italiana), T2 (variedade cereja), T3 (terceira variedade).</w:t>
      </w:r>
    </w:p>
    <w:p>
      <w:pPr>
        <w:pStyle w:val="ListBullet"/>
      </w:pPr>
      <w:r>
        <w:t>3 repetições (blocos R1, R2, R3) por tratamento.</w:t>
      </w:r>
    </w:p>
    <w:p>
      <w:pPr>
        <w:pStyle w:val="ListBullet"/>
      </w:pPr>
      <w:r>
        <w:t>5 frutos (F1 a F5) por parcela.</w:t>
      </w:r>
    </w:p>
    <w:p>
      <w:pPr>
        <w:pStyle w:val="ListBullet"/>
      </w:pPr>
      <w:r>
        <w:t>Total: 3 × 3 × 5 = 45 frutos.</w:t>
      </w:r>
    </w:p>
    <w:p>
      <w:pPr>
        <w:pStyle w:val="Heading2"/>
      </w:pPr>
      <w:r>
        <w:t>3.3 Desafio Central — Falsa Replicação</w:t>
      </w:r>
    </w:p>
    <w:p>
      <w:pPr/>
      <w:r>
        <w:rPr>
          <w:b w:val="0"/>
          <w:i/>
        </w:rPr>
        <w:t>O maior desafio metodológico deste estudo é a discrepância entre o número de espectros (45) e o número de valores de referência independentes (9). Os 5 frutos de uma mesma parcela compartilham um único valor de referência porque as análises destrutivas foram realizadas em pool (mistura dos 5 frutos), conforme prática comum em laboratórios de pós-colheita.</w:t>
      </w:r>
    </w:p>
    <w:p>
      <w:pPr/>
      <w:r>
        <w:rPr>
          <w:b w:val="0"/>
          <w:i w:val="0"/>
        </w:rPr>
        <w:t>Se ignorarmos essa estrutura e tratarmos os 45 espectros como independentes, teremos o problema de falsa replicação (pseudoreplication), onde amostras que compartilham o mesmo valor de referência aparecem simultaneamente em treino e teste, inflando artificialmente o R² e subestimando o erro real. A Figura conceitual abaixo ilustra o problema: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392B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fill="C0392B" w:val="clear"/>
          </w:tcPr>
          <w:p>
            <w:r>
              <w:rPr>
                <w:b/>
                <w:color w:val="FFFFFF"/>
              </w:rPr>
              <w:t>Com falsa replicação</w:t>
            </w:r>
          </w:p>
        </w:tc>
        <w:tc>
          <w:tcPr>
            <w:tcW w:type="dxa" w:w="2880"/>
            <w:shd w:fill="C0392B" w:val="clear"/>
          </w:tcPr>
          <w:p>
            <w:r>
              <w:rPr>
                <w:b/>
                <w:color w:val="FFFFFF"/>
              </w:rPr>
              <w:t>Com GroupKFold</w:t>
            </w:r>
          </w:p>
        </w:tc>
      </w:tr>
      <w:tr>
        <w:tc>
          <w:tcPr>
            <w:tcW w:type="dxa" w:w="2880"/>
          </w:tcPr>
          <w:p>
            <w:r>
              <w:t>Divisão treino/teste</w:t>
            </w:r>
          </w:p>
        </w:tc>
        <w:tc>
          <w:tcPr>
            <w:tcW w:type="dxa" w:w="2880"/>
          </w:tcPr>
          <w:p>
            <w:r>
              <w:t>Aleatória (45 espectros)</w:t>
            </w:r>
          </w:p>
        </w:tc>
        <w:tc>
          <w:tcPr>
            <w:tcW w:type="dxa" w:w="2880"/>
          </w:tcPr>
          <w:p>
            <w:r>
              <w:t>Por parcela (9 grupos)</w:t>
            </w:r>
          </w:p>
        </w:tc>
      </w:tr>
      <w:tr>
        <w:tc>
          <w:tcPr>
            <w:tcW w:type="dxa" w:w="2880"/>
          </w:tcPr>
          <w:p>
            <w:r>
              <w:t>R² esperado</w:t>
            </w:r>
          </w:p>
        </w:tc>
        <w:tc>
          <w:tcPr>
            <w:tcW w:type="dxa" w:w="2880"/>
          </w:tcPr>
          <w:p>
            <w:r>
              <w:t>Artificialmente alto</w:t>
            </w:r>
          </w:p>
        </w:tc>
        <w:tc>
          <w:tcPr>
            <w:tcW w:type="dxa" w:w="2880"/>
          </w:tcPr>
          <w:p>
            <w:r>
              <w:t>Realista / conservador</w:t>
            </w:r>
          </w:p>
        </w:tc>
      </w:tr>
      <w:tr>
        <w:tc>
          <w:tcPr>
            <w:tcW w:type="dxa" w:w="2880"/>
          </w:tcPr>
          <w:p>
            <w:r>
              <w:t>Generalização</w:t>
            </w:r>
          </w:p>
        </w:tc>
        <w:tc>
          <w:tcPr>
            <w:tcW w:type="dxa" w:w="2880"/>
          </w:tcPr>
          <w:p>
            <w:r>
              <w:t>Superestimada</w:t>
            </w:r>
          </w:p>
        </w:tc>
        <w:tc>
          <w:tcPr>
            <w:tcW w:type="dxa" w:w="2880"/>
          </w:tcPr>
          <w:p>
            <w:r>
              <w:t>Confiável</w:t>
            </w:r>
          </w:p>
        </w:tc>
      </w:tr>
    </w:tbl>
    <w:p/>
    <w:p>
      <w:pPr>
        <w:pStyle w:val="Heading2"/>
      </w:pPr>
      <w:r>
        <w:t>3.4 Variáveis Resposta (Parâmetros)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Unidade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Método de Referência</w:t>
            </w:r>
          </w:p>
        </w:tc>
      </w:tr>
      <w:tr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Comprimento (Comp)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Paquímetro digital</w:t>
            </w:r>
          </w:p>
        </w:tc>
      </w:tr>
      <w:tr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Diâmetro Equat. (Diam.Equat.)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Paquímetro digital</w:t>
            </w:r>
          </w:p>
        </w:tc>
      </w:tr>
      <w:tr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Razão C:D</w:t>
            </w:r>
          </w:p>
        </w:tc>
        <w:tc>
          <w:tcPr>
            <w:tcW w:type="dxa" w:w="2160"/>
          </w:tcPr>
          <w:p>
            <w:r>
              <w:t>adimensional</w:t>
            </w:r>
          </w:p>
        </w:tc>
        <w:tc>
          <w:tcPr>
            <w:tcW w:type="dxa" w:w="2160"/>
          </w:tcPr>
          <w:p>
            <w:r>
              <w:t>Comp / Diam.Equat.</w:t>
            </w:r>
          </w:p>
        </w:tc>
      </w:tr>
      <w:tr>
        <w:tc>
          <w:tcPr>
            <w:tcW w:type="dxa" w:w="2160"/>
          </w:tcPr>
          <w:p>
            <w:r>
              <w:t>Textura</w:t>
            </w:r>
          </w:p>
        </w:tc>
        <w:tc>
          <w:tcPr>
            <w:tcW w:type="dxa" w:w="2160"/>
          </w:tcPr>
          <w:p>
            <w:r>
              <w:t>Firmeza (Firm)</w:t>
            </w:r>
          </w:p>
        </w:tc>
        <w:tc>
          <w:tcPr>
            <w:tcW w:type="dxa" w:w="2160"/>
          </w:tcPr>
          <w:p>
            <w:r>
              <w:t>N ou g</w:t>
            </w:r>
          </w:p>
        </w:tc>
        <w:tc>
          <w:tcPr>
            <w:tcW w:type="dxa" w:w="2160"/>
          </w:tcPr>
          <w:p>
            <w:r>
              <w:t>Texturômetro — penetração</w:t>
            </w:r>
          </w:p>
        </w:tc>
      </w:tr>
      <w:tr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Sólidos Solúveis (SS)</w:t>
            </w:r>
          </w:p>
        </w:tc>
        <w:tc>
          <w:tcPr>
            <w:tcW w:type="dxa" w:w="2160"/>
          </w:tcPr>
          <w:p>
            <w:r>
              <w:t>°Brix</w:t>
            </w:r>
          </w:p>
        </w:tc>
        <w:tc>
          <w:tcPr>
            <w:tcW w:type="dxa" w:w="2160"/>
          </w:tcPr>
          <w:p>
            <w:r>
              <w:t>Refratometria</w:t>
            </w:r>
          </w:p>
        </w:tc>
      </w:tr>
      <w:tr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Potenciometria</w:t>
            </w:r>
          </w:p>
        </w:tc>
      </w:tr>
      <w:tr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Acidez Total (AT)</w:t>
            </w:r>
          </w:p>
        </w:tc>
        <w:tc>
          <w:tcPr>
            <w:tcW w:type="dxa" w:w="2160"/>
          </w:tcPr>
          <w:p>
            <w:r>
              <w:t>% ác. cítrico</w:t>
            </w:r>
          </w:p>
        </w:tc>
        <w:tc>
          <w:tcPr>
            <w:tcW w:type="dxa" w:w="2160"/>
          </w:tcPr>
          <w:p>
            <w:r>
              <w:t>Titulação ácido-base</w:t>
            </w:r>
          </w:p>
        </w:tc>
      </w:tr>
      <w:tr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Vitamina C (Vit. C)</w:t>
            </w:r>
          </w:p>
        </w:tc>
        <w:tc>
          <w:tcPr>
            <w:tcW w:type="dxa" w:w="2160"/>
          </w:tcPr>
          <w:p>
            <w:r>
              <w:t>mg/100g</w:t>
            </w:r>
          </w:p>
        </w:tc>
        <w:tc>
          <w:tcPr>
            <w:tcW w:type="dxa" w:w="2160"/>
          </w:tcPr>
          <w:p>
            <w:r>
              <w:t>Titulação iodométrica</w:t>
            </w:r>
          </w:p>
        </w:tc>
      </w:tr>
      <w:tr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Razão SS/AT</w:t>
            </w:r>
          </w:p>
        </w:tc>
        <w:tc>
          <w:tcPr>
            <w:tcW w:type="dxa" w:w="2160"/>
          </w:tcPr>
          <w:p>
            <w:r>
              <w:t>adimensional</w:t>
            </w:r>
          </w:p>
        </w:tc>
        <w:tc>
          <w:tcPr>
            <w:tcW w:type="dxa" w:w="2160"/>
          </w:tcPr>
          <w:p>
            <w:r>
              <w:t>SS / AT</w:t>
            </w:r>
          </w:p>
        </w:tc>
      </w:tr>
    </w:tbl>
    <w:p>
      <w:r>
        <w:br w:type="page"/>
      </w:r>
    </w:p>
    <w:p>
      <w:pPr>
        <w:pStyle w:val="Heading1"/>
      </w:pPr>
      <w:r>
        <w:t>4. Pré-processamento Espectral</w:t>
      </w:r>
    </w:p>
    <w:p>
      <w:pPr/>
      <w:r>
        <w:rPr>
          <w:b w:val="0"/>
          <w:i w:val="0"/>
        </w:rPr>
        <w:t>O pré-processamento espectral é uma etapa fundamental em análises NIRS. Espectros brutos contêm variações não-informativas causadas por diferenças físicas entre amostras (tamanho, textura superficial, compactação), variações instrumentais (aquecimento da fonte, ruído do detector) e efeitos de espalhamento de luz (scattering). O objetivo do pré-processamento é remover essas variações não-químicas preservando a informação espectral relevante para a predição do parâmetro alvo.</w:t>
      </w:r>
    </w:p>
    <w:p>
      <w:pPr>
        <w:pStyle w:val="Heading2"/>
      </w:pPr>
      <w:r>
        <w:t>4.1 Standard Normal Variate (SNV)</w:t>
      </w:r>
    </w:p>
    <w:p>
      <w:pPr/>
      <w:r>
        <w:rPr>
          <w:b/>
          <w:i w:val="0"/>
        </w:rPr>
      </w:r>
    </w:p>
    <w:p>
      <w:pPr/>
      <w:r>
        <w:rPr>
          <w:b w:val="0"/>
          <w:i w:val="0"/>
        </w:rPr>
        <w:t>O SNV é aplicado individualmente a cada espectro e consiste em duas operações:</w:t>
      </w:r>
    </w:p>
    <w:p>
      <w:pPr>
        <w:pStyle w:val="ListBullet"/>
      </w:pPr>
      <w:r>
        <w:rPr>
          <w:b/>
        </w:rPr>
        <w:t xml:space="preserve">Centralização: </w:t>
      </w:r>
      <w:r/>
    </w:p>
    <w:p>
      <w:pPr/>
      <w:r>
        <w:rPr>
          <w:b w:val="0"/>
          <w:i w:val="0"/>
        </w:rPr>
        <w:t xml:space="preserve">   Subtrai-se a média de absorbância/reflectância do espectro inteiro. Isso remove deslocamentos verticais constantes (baseline shifts).</w:t>
      </w:r>
    </w:p>
    <w:p>
      <w:pPr>
        <w:pStyle w:val="ListBullet"/>
      </w:pPr>
      <w:r>
        <w:rPr>
          <w:b/>
        </w:rPr>
        <w:t xml:space="preserve">Escalonamento: </w:t>
      </w:r>
      <w:r/>
    </w:p>
    <w:p>
      <w:pPr/>
      <w:r>
        <w:rPr>
          <w:b w:val="0"/>
          <w:i w:val="0"/>
        </w:rPr>
        <w:t xml:space="preserve">   Divide-se pelo desvio padrão do mesmo espectro. Isso normaliza a escala, removendo variações de intensidade global.</w:t>
      </w:r>
    </w:p>
    <w:p>
      <w:pPr/>
      <w:r>
        <w:rPr>
          <w:b w:val="0"/>
          <w:i/>
        </w:rPr>
        <w:t>Matematicamente, para cada espectro x (vetor de 4200 comprimentos de onda):</w:t>
      </w:r>
    </w:p>
    <w:p>
      <w:pPr/>
      <w:r>
        <w:rPr>
          <w:b w:val="0"/>
          <w:i/>
        </w:rPr>
        <w:t xml:space="preserve">    x_SNV = (x - media(x)) / desvio_padrao(x)</w:t>
      </w:r>
    </w:p>
    <w:p>
      <w:pPr/>
      <w:r>
        <w:rPr>
          <w:b/>
          <w:i w:val="0"/>
        </w:rPr>
        <w:br/>
        <w:t>Objetivo: Remover efeitos de linha de base e variações de intensidade entre amostras causadas por diferenças no caminho óptico efetivo (tamanho de partícula, espessura da amostra).</w:t>
      </w:r>
    </w:p>
    <w:p>
      <w:pPr>
        <w:pStyle w:val="Heading2"/>
      </w:pPr>
      <w:r>
        <w:t>4.2 Savitzky-Golay (1ª Derivada)</w:t>
      </w:r>
    </w:p>
    <w:p>
      <w:pPr/>
      <w:r>
        <w:rPr>
          <w:b w:val="0"/>
          <w:i w:val="0"/>
        </w:rPr>
        <w:t>O filtro Savitzky-Golay ajusta polinômios locais em janelas deslizantes ao longo do espectro. No lugar de simplesmente suavizar, utiliza-se o coeficiente linear do polinômio ajustado para calcular a primeira derivada espectral. Configuração usada:</w:t>
      </w:r>
    </w:p>
    <w:p>
      <w:pPr>
        <w:pStyle w:val="ListBullet"/>
      </w:pPr>
      <w:r>
        <w:t>Janela (window length): 11 pontos (~5.5 nm)</w:t>
      </w:r>
    </w:p>
    <w:p>
      <w:pPr>
        <w:pStyle w:val="ListBullet"/>
      </w:pPr>
      <w:r>
        <w:t>Ordem do polinômio (polyorder): 2 (quadrático)</w:t>
      </w:r>
    </w:p>
    <w:p>
      <w:pPr>
        <w:pStyle w:val="ListBullet"/>
      </w:pPr>
      <w:r>
        <w:t>Derivada: 1ª (primeira derivada)</w:t>
      </w:r>
    </w:p>
    <w:p>
      <w:pPr/>
      <w:r>
        <w:rPr>
          <w:b/>
          <w:i w:val="0"/>
        </w:rPr>
        <w:br/>
        <w:t>Objetivo: Remover tendências de linha de base aditivas (baseline drift) e resolver picos sobrepostos. A primeira derivada elimina deslocamentos constantes que o SNV não remove completamente.</w:t>
      </w:r>
    </w:p>
    <w:p>
      <w:pPr/>
      <w:r>
        <w:rPr>
          <w:b w:val="0"/>
          <w:i w:val="0"/>
        </w:rPr>
        <w:t>Observação: A derivada amplifica ruído de alta frequência. O tamanho da janela (11) representa um compromisso entre resolução espectral (janela pequena) e redução de ruído (janela grande). Janelas muito pequenas (&lt; 7) produzem derivadas ruidosas; janelas muito grandes (&gt; 21) podem distorcer bandas estreitas.</w:t>
      </w:r>
    </w:p>
    <w:p>
      <w:pPr>
        <w:pStyle w:val="Heading2"/>
      </w:pPr>
      <w:r>
        <w:t>4.3 Técnicas Não Utilizadas (e Por Quê)</w:t>
      </w:r>
    </w:p>
    <w:p>
      <w:pPr>
        <w:pStyle w:val="ListBullet"/>
      </w:pPr>
      <w:r>
        <w:rPr>
          <w:b/>
        </w:rPr>
        <w:t xml:space="preserve">MSC — Multiplicative Scatter Correction: </w:t>
      </w:r>
      <w:r/>
    </w:p>
    <w:p>
      <w:pPr/>
      <w:r>
        <w:rPr>
          <w:b w:val="0"/>
          <w:i w:val="0"/>
        </w:rPr>
        <w:t xml:space="preserve">   Similar ao SNV, mas requer um espectro de referência (tipicamente o espectro médio).    Não foi utilizado porque o SNV é mais simples e produz resultados equivalentes para a    maioria das aplicações NIRS. MSC pode ser superior quando há um espectro de referência    físico bem definido (ex.: branco da amostra).</w:t>
      </w:r>
    </w:p>
    <w:p>
      <w:pPr>
        <w:pStyle w:val="ListBullet"/>
      </w:pPr>
      <w:r>
        <w:rPr>
          <w:b/>
        </w:rPr>
        <w:t xml:space="preserve">Detrend: </w:t>
      </w:r>
      <w:r/>
    </w:p>
    <w:p>
      <w:pPr/>
      <w:r>
        <w:rPr>
          <w:b w:val="0"/>
          <w:i w:val="0"/>
        </w:rPr>
        <w:t xml:space="preserve">   Remove tendências polinomiais de linha de base. Não foi combinado ao SNV neste estudo,    embora a combinação SNV + Detrend seja comum. Pode ser testado em versões futuras.</w:t>
      </w:r>
    </w:p>
    <w:p>
      <w:pPr>
        <w:pStyle w:val="ListBullet"/>
      </w:pPr>
      <w:r>
        <w:rPr>
          <w:b/>
        </w:rPr>
        <w:t xml:space="preserve">Seleção de Faixas Espectrais: </w:t>
      </w:r>
      <w:r/>
    </w:p>
    <w:p>
      <w:pPr/>
      <w:r>
        <w:rPr>
          <w:b w:val="0"/>
          <w:i w:val="0"/>
        </w:rPr>
        <w:t xml:space="preserve">   Não houve exclusão manual de regiões do espectro. Regiões com baixa relação    sinal-ruído (extremidades 400-450 nm e 2450-2500 nm) ou com absorção de água    (1400 nm, 1900 nm) poderiam ser removidas para melhorar modelos.</w:t>
      </w:r>
    </w:p>
    <w:p>
      <w:pPr>
        <w:pStyle w:val="Heading2"/>
      </w:pPr>
      <w:r>
        <w:t>4.4 Recomendações de Pré-processamento Futuro</w:t>
      </w:r>
    </w:p>
    <w:p>
      <w:pPr>
        <w:pStyle w:val="ListBullet"/>
      </w:pPr>
      <w:r>
        <w:t>Testar SNV + Detrend combinados para parâmetros com baixo R².</w:t>
      </w:r>
    </w:p>
    <w:p>
      <w:pPr>
        <w:pStyle w:val="ListBullet"/>
      </w:pPr>
      <w:r>
        <w:t>Avaliar MSC como alternativa ao SNV para modelos de textura (Firm).</w:t>
      </w:r>
    </w:p>
    <w:p>
      <w:pPr>
        <w:pStyle w:val="ListBullet"/>
      </w:pPr>
      <w:r>
        <w:t>Remover faixas espectrais ruidosas (400-450 nm e 2450-2500 nm) para reduzir dimensionalidade.</w:t>
      </w:r>
    </w:p>
    <w:p>
      <w:pPr>
        <w:pStyle w:val="ListBullet"/>
      </w:pPr>
      <w:r>
        <w:t>Testar 2ª derivada para parâmetros com bandas largas sobrepostas (AT, Vit. C).</w:t>
      </w:r>
    </w:p>
    <w:p>
      <w:pPr>
        <w:pStyle w:val="ListBullet"/>
      </w:pPr>
      <w:r>
        <w:t>Aplicar normalização por área (area normalization) como alternativa ao SNV.</w:t>
      </w:r>
    </w:p>
    <w:p>
      <w:r>
        <w:br w:type="page"/>
      </w:r>
    </w:p>
    <w:p>
      <w:pPr>
        <w:pStyle w:val="Heading1"/>
      </w:pPr>
      <w:r>
        <w:t>5. Estrutura de Validação</w:t>
      </w:r>
    </w:p>
    <w:p>
      <w:pPr>
        <w:pStyle w:val="Heading2"/>
      </w:pPr>
      <w:r>
        <w:t>5.1 O Problema da Dependência entre Amostras</w:t>
      </w:r>
    </w:p>
    <w:p>
      <w:pPr/>
      <w:r>
        <w:rPr>
          <w:b w:val="0"/>
          <w:i w:val="0"/>
        </w:rPr>
        <w:t>Como discutido na Seção 3.3, os 45 espectros não são independentes: cada grupo de 5 frutos (uma parcela) compartilha o mesmo valor de referência. Isso torna inválida uma validação cruzada comum (KFold ou train_test_split aleatório), pois amostras do mesmo grupo vazariam informações entre treino e teste.</w:t>
      </w:r>
    </w:p>
    <w:p>
      <w:pPr>
        <w:pStyle w:val="Heading2"/>
      </w:pPr>
      <w:r>
        <w:t>5.2 GroupKFold</w:t>
      </w:r>
    </w:p>
    <w:p>
      <w:pPr/>
      <w:r>
        <w:rPr>
          <w:b w:val="0"/>
          <w:i w:val="0"/>
        </w:rPr>
        <w:t>GroupKFold é uma variação do KFold que garante que amostras de um mesmo grupo nunca sejam divididas entre conjuntos de treino e teste. Configuração utilizada:</w:t>
      </w:r>
    </w:p>
    <w:p>
      <w:pPr>
        <w:pStyle w:val="ListBullet"/>
      </w:pPr>
      <w:r>
        <w:t>Número de folds: 5</w:t>
      </w:r>
    </w:p>
    <w:p>
      <w:pPr>
        <w:pStyle w:val="ListBullet"/>
      </w:pPr>
      <w:r>
        <w:t>Repetições: 10</w:t>
      </w:r>
    </w:p>
    <w:p>
      <w:pPr>
        <w:pStyle w:val="ListBullet"/>
      </w:pPr>
      <w:r>
        <w:t>Grupos: identificador único de parcela (ex.: T1_R1, T1_R2, ..., T3_R3)</w:t>
      </w:r>
    </w:p>
    <w:p>
      <w:pPr>
        <w:pStyle w:val="ListBullet"/>
      </w:pPr>
      <w:r>
        <w:t>Total de grupos: 9 (3 tratamentos × 3 repetições)</w:t>
      </w:r>
    </w:p>
    <w:p>
      <w:pPr/>
      <w:r>
        <w:rPr>
          <w:b w:val="0"/>
          <w:i w:val="0"/>
        </w:rPr>
        <w:br/>
        <w:t>Estrutura de cada fold:</w:t>
      </w:r>
    </w:p>
    <w:p>
      <w:pPr>
        <w:pStyle w:val="ListBullet"/>
      </w:pPr>
      <w:r>
        <w:t>Treino: 8 parcelas × 5 frutos = 40 espectros</w:t>
      </w:r>
    </w:p>
    <w:p>
      <w:pPr>
        <w:pStyle w:val="ListBullet"/>
      </w:pPr>
      <w:r>
        <w:t>Teste: 1 parcela × 5 frutos = 5 espectros</w:t>
      </w:r>
    </w:p>
    <w:p>
      <w:pPr/>
      <w:r>
        <w:rPr>
          <w:b/>
          <w:i w:val="0"/>
        </w:rPr>
        <w:br/>
        <w:t>Objetivo: Produzir estimativas realistas de erro de generalização, respeitando a estrutura experimental.</w:t>
      </w:r>
    </w:p>
    <w:p>
      <w:pPr>
        <w:pStyle w:val="Heading2"/>
      </w:pPr>
      <w:r>
        <w:t>5.3 LOOCV com Médias de Parcela</w:t>
      </w:r>
    </w:p>
    <w:p>
      <w:pPr/>
      <w:r>
        <w:rPr>
          <w:b w:val="0"/>
          <w:i w:val="0"/>
        </w:rPr>
        <w:t>Como validação conservadora adicional, calculou-se a média espectral dos 5 frutos de cada parcela, obtendo-se 9 espectros médios. Sobre estes, aplicou-se Leave-One-Out Cross-Validation (LOOCV), onde cada fold treina com 8 parcelas e testa na parcela restante. Modelos testados: PLS, Ridge e OLS.</w:t>
      </w:r>
    </w:p>
    <w:p>
      <w:pPr/>
      <w:r>
        <w:rPr>
          <w:b/>
          <w:i w:val="0"/>
        </w:rPr>
        <w:t>Objetivo: Fornecer uma estimativa de erro ainda mais rigorosa. Como LOOCV com n=9 tem alta variância, seus resultados devem ser interpretados como limite inferior do desempenho esperado (pior caso).</w:t>
      </w:r>
    </w:p>
    <w:p>
      <w:pPr>
        <w:pStyle w:val="Heading2"/>
      </w:pPr>
      <w:r>
        <w:t>5.4 Comparação: GroupKFold vs. LOOCV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GroupKFold (5 folds)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LOOCV (9 parcelas)</w:t>
            </w:r>
          </w:p>
        </w:tc>
      </w:tr>
      <w:tr>
        <w:tc>
          <w:tcPr>
            <w:tcW w:type="dxa" w:w="2880"/>
          </w:tcPr>
          <w:p>
            <w:r>
              <w:t>N amostras/fold</w:t>
            </w:r>
          </w:p>
        </w:tc>
        <w:tc>
          <w:tcPr>
            <w:tcW w:type="dxa" w:w="2880"/>
          </w:tcPr>
          <w:p>
            <w:r>
              <w:t>5 (uma parcela)</w:t>
            </w:r>
          </w:p>
        </w:tc>
        <w:tc>
          <w:tcPr>
            <w:tcW w:type="dxa" w:w="2880"/>
          </w:tcPr>
          <w:p>
            <w:r>
              <w:t>1 (média da parcela)</w:t>
            </w:r>
          </w:p>
        </w:tc>
      </w:tr>
      <w:tr>
        <w:tc>
          <w:tcPr>
            <w:tcW w:type="dxa" w:w="2880"/>
          </w:tcPr>
          <w:p>
            <w:r>
              <w:t>N total de modelos</w:t>
            </w:r>
          </w:p>
        </w:tc>
        <w:tc>
          <w:tcPr>
            <w:tcW w:type="dxa" w:w="2880"/>
          </w:tcPr>
          <w:p>
            <w:r>
              <w:t>50 (5 folds × 10 reps)</w:t>
            </w:r>
          </w:p>
        </w:tc>
        <w:tc>
          <w:tcPr>
            <w:tcW w:type="dxa" w:w="2880"/>
          </w:tcPr>
          <w:p>
            <w:r>
              <w:t>9 (1 por parcela)</w:t>
            </w:r>
          </w:p>
        </w:tc>
      </w:tr>
      <w:tr>
        <w:tc>
          <w:tcPr>
            <w:tcW w:type="dxa" w:w="2880"/>
          </w:tcPr>
          <w:p>
            <w:r>
              <w:t>Variância da estimativa</w:t>
            </w:r>
          </w:p>
        </w:tc>
        <w:tc>
          <w:tcPr>
            <w:tcW w:type="dxa" w:w="2880"/>
          </w:tcPr>
          <w:p>
            <w:r>
              <w:t>Baixa (média de 50 execuções)</w:t>
            </w:r>
          </w:p>
        </w:tc>
        <w:tc>
          <w:tcPr>
            <w:tcW w:type="dxa" w:w="2880"/>
          </w:tcPr>
          <w:p>
            <w:r>
              <w:t>Alta (depende de 1 ponto)</w:t>
            </w:r>
          </w:p>
        </w:tc>
      </w:tr>
      <w:tr>
        <w:tc>
          <w:tcPr>
            <w:tcW w:type="dxa" w:w="2880"/>
          </w:tcPr>
          <w:p>
            <w:r>
              <w:t>Viés</w:t>
            </w:r>
          </w:p>
        </w:tc>
        <w:tc>
          <w:tcPr>
            <w:tcW w:type="dxa" w:w="2880"/>
          </w:tcPr>
          <w:p>
            <w:r>
              <w:t>Pequeno (treino com 40 amostras)</w:t>
            </w:r>
          </w:p>
        </w:tc>
        <w:tc>
          <w:tcPr>
            <w:tcW w:type="dxa" w:w="2880"/>
          </w:tcPr>
          <w:p>
            <w:r>
              <w:t>Minimo (treino com 8)</w:t>
            </w:r>
          </w:p>
        </w:tc>
      </w:tr>
    </w:tbl>
    <w:p>
      <w:r>
        <w:br w:type="page"/>
      </w:r>
    </w:p>
    <w:p>
      <w:pPr>
        <w:pStyle w:val="Heading1"/>
      </w:pPr>
      <w:r>
        <w:t>6. Pipeline de Machine Learning</w:t>
      </w:r>
    </w:p>
    <w:p>
      <w:pPr/>
      <w:r>
        <w:rPr>
          <w:b/>
          <w:i w:val="0"/>
        </w:rPr>
        <w:t>O pipeline segue a sequência:</w:t>
      </w:r>
    </w:p>
    <w:p>
      <w:pPr/>
      <w:r>
        <w:rPr>
          <w:b w:val="0"/>
          <w:i w:val="0"/>
        </w:rPr>
        <w:t xml:space="preserve">    Espectros (45 × 4200) → SNV → GroupKFold → StandardScaler → Modelo → Métricas</w:t>
      </w:r>
    </w:p>
    <w:p>
      <w:pPr>
        <w:pStyle w:val="Heading2"/>
      </w:pPr>
      <w:r>
        <w:t>6.1 PLS — Partial Least Squares Regression</w:t>
      </w:r>
    </w:p>
    <w:p>
      <w:pPr/>
      <w:r>
        <w:rPr>
          <w:b/>
          <w:i w:val="0"/>
        </w:rPr>
      </w:r>
    </w:p>
    <w:p>
      <w:pPr/>
      <w:r>
        <w:rPr>
          <w:b w:val="0"/>
          <w:i w:val="0"/>
        </w:rPr>
        <w:t>O PLS é considerado o "padrão ouro" para regressão com dados espectroscópicos. Diferentemente da PCA, que maximiza apenas a variância de X, o PLS busca componentes latentes (fatores) que maximizem a covariância entre X (espectros) e y (parâmetro alvo).</w:t>
      </w:r>
    </w:p>
    <w:p>
      <w:pPr>
        <w:pStyle w:val="Heading3"/>
      </w:pPr>
      <w:r>
        <w:t>6.1.1 Como o PLS funciona</w:t>
      </w:r>
    </w:p>
    <w:p>
      <w:pPr>
        <w:pStyle w:val="ListBullet"/>
      </w:pPr>
      <w:r>
        <w:t>1. Decomposição simultânea de X e y em scores e loadings.</w:t>
      </w:r>
    </w:p>
    <w:p>
      <w:pPr>
        <w:pStyle w:val="ListBullet"/>
      </w:pPr>
      <w:r>
        <w:t>2. Os scores de X são rotacionados para maximizar a correlação com y.</w:t>
      </w:r>
    </w:p>
    <w:p>
      <w:pPr>
        <w:pStyle w:val="ListBullet"/>
      </w:pPr>
      <w:r>
        <w:t>3. A regressão final é feita entre os scores de X e y.</w:t>
      </w:r>
    </w:p>
    <w:p>
      <w:pPr>
        <w:pStyle w:val="ListBullet"/>
      </w:pPr>
      <w:r>
        <w:t>4. O número de componentes latentes é selecionado por validação cruzada (1 a 15).</w:t>
      </w:r>
    </w:p>
    <w:p>
      <w:pPr>
        <w:pStyle w:val="Heading3"/>
      </w:pPr>
      <w:r>
        <w:t>6.1.2 Vantagens do PLS para NIRS</w:t>
      </w:r>
    </w:p>
    <w:p>
      <w:pPr>
        <w:pStyle w:val="ListBullet"/>
      </w:pPr>
      <w:r>
        <w:rPr>
          <w:b/>
        </w:rPr>
        <w:t xml:space="preserve">Alta dimensionalidade: </w:t>
      </w:r>
      <w:r/>
    </w:p>
    <w:p>
      <w:pPr/>
      <w:r>
        <w:rPr>
          <w:b w:val="0"/>
          <w:i w:val="0"/>
        </w:rPr>
        <w:t xml:space="preserve">   Lida com 4200 features &gt; 45 amostras sem overfitting severo, desde que o número de    componentes seja controlado.</w:t>
      </w:r>
    </w:p>
    <w:p>
      <w:pPr>
        <w:pStyle w:val="ListBullet"/>
      </w:pPr>
      <w:r>
        <w:rPr>
          <w:b/>
        </w:rPr>
        <w:t xml:space="preserve">Multicolinearidade: </w:t>
      </w:r>
      <w:r/>
    </w:p>
    <w:p>
      <w:pPr/>
      <w:r>
        <w:rPr>
          <w:b w:val="0"/>
          <w:i w:val="0"/>
        </w:rPr>
        <w:t xml:space="preserve">   Comprimentos de onda vizinhos são altamente correlacionados. PLS projeta os dados    em um espaço de menor dimensão, contornando o problema.</w:t>
      </w:r>
    </w:p>
    <w:p>
      <w:pPr>
        <w:pStyle w:val="ListBullet"/>
      </w:pPr>
      <w:r>
        <w:rPr>
          <w:b/>
        </w:rPr>
        <w:t xml:space="preserve">Interpretabilidade: </w:t>
      </w:r>
      <w:r/>
    </w:p>
    <w:p>
      <w:pPr/>
      <w:r>
        <w:rPr>
          <w:b w:val="0"/>
          <w:i w:val="0"/>
        </w:rPr>
        <w:t xml:space="preserve">   Os loadings e coeficientes de regressão indicam quais comprimentos de onda são mais    importantes para a predição, permitindo interpretação química.</w:t>
      </w:r>
    </w:p>
    <w:p>
      <w:pPr>
        <w:pStyle w:val="ListBullet"/>
      </w:pPr>
      <w:r>
        <w:rPr>
          <w:b/>
        </w:rPr>
        <w:t xml:space="preserve">Número de componentes: </w:t>
      </w:r>
      <w:r/>
    </w:p>
    <w:p>
      <w:pPr/>
      <w:r>
        <w:rPr>
          <w:b w:val="0"/>
          <w:i w:val="0"/>
        </w:rPr>
        <w:t xml:space="preserve">   O número ótimo de componentes (1-15) é selecionado automaticamente pelo menor    RMSE de validação cruzada, evitando overfitting.</w:t>
      </w:r>
    </w:p>
    <w:p>
      <w:pPr>
        <w:pStyle w:val="Heading3"/>
      </w:pPr>
      <w:r>
        <w:t>6.1.3 Limitações do PLS</w:t>
      </w:r>
    </w:p>
    <w:p>
      <w:pPr>
        <w:pStyle w:val="ListBullet"/>
      </w:pPr>
      <w:r>
        <w:t>Assume relação linear entre X e y. Relações não-lineares (comuns em Vit. C e AT) podem não ser capturadas.</w:t>
      </w:r>
    </w:p>
    <w:p>
      <w:pPr>
        <w:pStyle w:val="ListBullet"/>
      </w:pPr>
      <w:r>
        <w:t>Sensível a outliers espectrais.</w:t>
      </w:r>
    </w:p>
    <w:p>
      <w:pPr>
        <w:pStyle w:val="ListBullet"/>
      </w:pPr>
      <w:r>
        <w:t>Com poucas amostras (n=9 na validação de parcelas), a seleção de componentes é instável.</w:t>
      </w:r>
    </w:p>
    <w:p>
      <w:pPr>
        <w:pStyle w:val="Heading2"/>
      </w:pPr>
      <w:r>
        <w:t>6.2 Modelos Alternativos Testados</w:t>
      </w:r>
    </w:p>
    <w:p>
      <w:pPr>
        <w:pStyle w:val="Heading3"/>
      </w:pPr>
      <w:r>
        <w:t>6.2.1 Random Forest (RF)</w:t>
      </w:r>
    </w:p>
    <w:p>
      <w:pPr/>
      <w:r>
        <w:rPr>
          <w:b w:val="0"/>
          <w:i w:val="0"/>
        </w:rPr>
        <w:t>Modelo ensemble que constrói múltiplas árvores de decisão em subamostras bootstrap dos dados e combina suas predições pela média (regressão). Testado para AT.</w:t>
      </w:r>
    </w:p>
    <w:p>
      <w:pPr>
        <w:pStyle w:val="ListBullet"/>
      </w:pPr>
      <w:r>
        <w:t>Vantagem: captura relações não-lineares, fornece importância de features.</w:t>
      </w:r>
    </w:p>
    <w:p>
      <w:pPr>
        <w:pStyle w:val="ListBullet"/>
      </w:pPr>
      <w:r>
        <w:t>Desvantagem: muito lento (3 min por configuração), mesma performance fraca que PLS para AT.</w:t>
      </w:r>
    </w:p>
    <w:p>
      <w:pPr>
        <w:pStyle w:val="ListBullet"/>
      </w:pPr>
      <w:r>
        <w:t>Veredito: descartado por custo computacional sem ganho de performance.</w:t>
      </w:r>
    </w:p>
    <w:p>
      <w:pPr>
        <w:pStyle w:val="Heading3"/>
      </w:pPr>
      <w:r>
        <w:t>6.2.2 SVR — Support Vector Regression</w:t>
      </w:r>
    </w:p>
    <w:p>
      <w:pPr/>
      <w:r>
        <w:rPr>
          <w:b w:val="0"/>
          <w:i w:val="0"/>
        </w:rPr>
        <w:t>Modelo que encontra um hiperplano de tolerância (ε-tubo) no espaço de features. Mapeia dados para espaço de maior dimensão via kernel (RBF) para capturar não-linearidades.</w:t>
      </w:r>
    </w:p>
    <w:p>
      <w:pPr>
        <w:pStyle w:val="ListBullet"/>
      </w:pPr>
      <w:r>
        <w:t>Resultado: R² negativo (pior que chutar a média) para todos os parâmetros testados.</w:t>
      </w:r>
    </w:p>
    <w:p>
      <w:pPr>
        <w:pStyle w:val="ListBullet"/>
      </w:pPr>
      <w:r>
        <w:t>Causa provável: número muito pequeno de amostras (45) para um modelo com alta capacidade de ajuste.</w:t>
      </w:r>
    </w:p>
    <w:p>
      <w:pPr>
        <w:pStyle w:val="ListBullet"/>
      </w:pPr>
      <w:r>
        <w:t>Veredito: descartado — inadequado para n &lt; 100 sem forte regularização.</w:t>
      </w:r>
    </w:p>
    <w:p>
      <w:pPr>
        <w:pStyle w:val="Heading3"/>
      </w:pPr>
      <w:r>
        <w:t>6.2.3 Ridge e OLS</w:t>
      </w:r>
    </w:p>
    <w:p>
      <w:pPr/>
      <w:r>
        <w:rPr>
          <w:b w:val="0"/>
          <w:i w:val="0"/>
        </w:rPr>
        <w:t>Usados apenas na validação LOOCV com 9 médias de parcela. Ridge adiciona regularização L2 (penalidade proporcional ao quadrado dos coeficientes), enquanto OLS é a regressão linear clássica sem regularização.</w:t>
      </w:r>
    </w:p>
    <w:p>
      <w:pPr>
        <w:pStyle w:val="ListBullet"/>
      </w:pPr>
      <w:r>
        <w:t>Ridge: mais estável que OLS quando features &gt;&gt; amostras (4200 &gt;&gt; 9).</w:t>
      </w:r>
    </w:p>
    <w:p>
      <w:pPr>
        <w:pStyle w:val="ListBullet"/>
      </w:pPr>
      <w:r>
        <w:t>OLS: inviável isoladamente (sistema subdeterminado). Só funciona porque o LOOCV com n=9 ainda permite estimativa, mas com altíssima variância.</w:t>
      </w:r>
    </w:p>
    <w:p>
      <w:pPr>
        <w:pStyle w:val="Heading2"/>
      </w:pPr>
      <w:r>
        <w:t>6.3 Fluxograma Detalhado do Pipeline</w:t>
      </w:r>
    </w:p>
    <w:p>
      <w:pPr>
        <w:ind w:left="567"/>
      </w:pPr>
      <w:r>
        <w:t>Pipeline completo (PLS como modelo principal):</w:t>
        <w:br/>
        <w:br/>
        <w:t>1. Carregar espectros (45 x 4200)</w:t>
        <w:br/>
        <w:t>2. Aplicar SNV (centrar + escalar cada espectro)</w:t>
        <w:br/>
        <w:t>3. Definir grupos = parcelas (9 grupos)</w:t>
        <w:br/>
        <w:t>4. Repetir 10×:</w:t>
        <w:br/>
        <w:t xml:space="preserve">   a. Embaralhar grupos</w:t>
        <w:br/>
        <w:t xml:space="preserve">   b. Para fold = 1 a 5:</w:t>
        <w:br/>
        <w:t xml:space="preserve">      - Separar treino (40 amostras) e teste (5 amostras) por grupo</w:t>
        <w:br/>
        <w:t xml:space="preserve">      - Aplicar StandardScaler no treino e transformar teste</w:t>
        <w:br/>
        <w:t xml:space="preserve">      - Para n_comp = 1 a 15:</w:t>
        <w:br/>
        <w:t xml:space="preserve">         * Treinar PLS com n_comp</w:t>
        <w:br/>
        <w:t xml:space="preserve">         * Predizer teste</w:t>
        <w:br/>
        <w:t xml:space="preserve">         * Calcular R², RMSE, RPD</w:t>
        <w:br/>
        <w:t xml:space="preserve">      - Selecionar n_comp com menor RMSE</w:t>
        <w:br/>
        <w:t xml:space="preserve">      - Armazenar métricas do melhor modelo</w:t>
        <w:br/>
        <w:t>5. Calcular média e desvio padrão das métricas (50 execuções)</w:t>
        <w:br/>
        <w:t>6. Reportar: R² médio, RMSE médio, RPD médio</w:t>
      </w:r>
    </w:p>
    <w:p>
      <w:r>
        <w:br w:type="page"/>
      </w:r>
    </w:p>
    <w:p>
      <w:pPr>
        <w:pStyle w:val="Heading1"/>
      </w:pPr>
      <w:r>
        <w:t>7. Métricas de Avaliação</w:t>
      </w:r>
    </w:p>
    <w:p>
      <w:pPr>
        <w:pStyle w:val="Heading2"/>
      </w:pPr>
      <w:r>
        <w:t>7.1 Coeficiente de Determinação — R²</w:t>
      </w:r>
    </w:p>
    <w:p>
      <w:pPr/>
      <w:r>
        <w:rPr>
          <w:b w:val="0"/>
          <w:i w:val="0"/>
        </w:rPr>
        <w:t>O R² mede a proporção da variância total do parâmetro alvo que é explicada pelo modelo. Varia de -∞ a 1, onde:</w:t>
      </w:r>
    </w:p>
    <w:p>
      <w:pPr>
        <w:pStyle w:val="ListBullet"/>
      </w:pPr>
      <w:r>
        <w:t>R² = 1: predição perfeita (todos os pontos na reta 1:1)</w:t>
      </w:r>
    </w:p>
    <w:p>
      <w:pPr>
        <w:pStyle w:val="ListBullet"/>
      </w:pPr>
      <w:r>
        <w:t>R² = 0: modelo equivale a chutar a média</w:t>
      </w:r>
    </w:p>
    <w:p>
      <w:pPr>
        <w:pStyle w:val="ListBullet"/>
      </w:pPr>
      <w:r>
        <w:t>R² &lt; 0: modelo é pior que chutar a média</w:t>
      </w:r>
    </w:p>
    <w:p>
      <w:pPr/>
      <w:r>
        <w:rPr>
          <w:b w:val="0"/>
          <w:i/>
        </w:rPr>
        <w:t>Fórmula: R² = 1 - Σ(yᵢ - ŷᵢ)² / Σ(yᵢ - ȳ)²</w:t>
      </w:r>
    </w:p>
    <w:p>
      <w:pPr/>
      <w:r>
        <w:rPr>
          <w:b w:val="0"/>
          <w:i w:val="0"/>
        </w:rPr>
        <w:t>Em que: yᵢ = valor real, ŷᵢ = valor predito, ȳ = média dos valores reais.</w:t>
      </w:r>
    </w:p>
    <w:p>
      <w:pPr>
        <w:pStyle w:val="Heading2"/>
      </w:pPr>
      <w:r>
        <w:t>7.2 Raiz do Erro Quadrático Médio — RMSE</w:t>
      </w:r>
    </w:p>
    <w:p>
      <w:pPr/>
      <w:r>
        <w:rPr>
          <w:b w:val="0"/>
          <w:i w:val="0"/>
        </w:rPr>
        <w:t>O RMSE é a raiz da média dos erros quadráticos. Diferentemente do R², é expresso na mesma unidade do parâmetro alvo, facilitando a interpretação prática do erro.</w:t>
      </w:r>
    </w:p>
    <w:p>
      <w:pPr/>
      <w:r>
        <w:rPr>
          <w:b w:val="0"/>
          <w:i/>
        </w:rPr>
        <w:t>Fórmula: RMSE = √[ Σ(yᵢ - ŷᵢ)² / n ]</w:t>
      </w:r>
    </w:p>
    <w:p>
      <w:pPr/>
      <w:r>
        <w:rPr>
          <w:b w:val="0"/>
          <w:i w:val="0"/>
        </w:rPr>
        <w:t>Exemplo: se Firm tem RMSE = 2.5 N, significa que, em média, a predição erra por ±2.5 N em relação ao valor real.</w:t>
      </w:r>
    </w:p>
    <w:p>
      <w:pPr>
        <w:pStyle w:val="Heading2"/>
      </w:pPr>
      <w:r>
        <w:t>7.3 Residual Performance Deviation — RPD</w:t>
      </w:r>
    </w:p>
    <w:p>
      <w:pPr/>
      <w:r>
        <w:rPr>
          <w:b w:val="0"/>
          <w:i w:val="0"/>
        </w:rPr>
        <w:t>O RPD é a relação entre o desvio padrão dos valores de referência (DP) e o RMSE. Ele normaliza o erro pela variabilidade natural do parâmetro, permitindo comparar a qualidade do modelo entre diferentes parâmetros.</w:t>
      </w:r>
    </w:p>
    <w:p>
      <w:pPr/>
      <w:r>
        <w:rPr>
          <w:b w:val="0"/>
          <w:i/>
        </w:rPr>
        <w:t>Fórmula: RPD = DP(y) / RMSE</w:t>
      </w:r>
    </w:p>
    <w:p>
      <w:pPr/>
      <w:r>
        <w:rPr>
          <w:b w:val="0"/>
          <w:i w:val="0"/>
        </w:rPr>
        <w:t>Interpretação: um RPD = 2.0 significa que o erro do modelo é metade do desvio padrão natural — o modelo consegue distinguir 2 níveis diferentes dentro da variação natural.</w:t>
      </w:r>
    </w:p>
    <w:p>
      <w:pPr>
        <w:pStyle w:val="Heading2"/>
      </w:pPr>
      <w:r>
        <w:t>7.4 Classificação RPD — Williams (2001)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RPD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</w:rPr>
              <w:t>Uso recomendado</w:t>
            </w:r>
          </w:p>
        </w:tc>
      </w:tr>
      <w:tr>
        <w:tc>
          <w:tcPr>
            <w:tcW w:type="dxa" w:w="2160"/>
          </w:tcPr>
          <w:p>
            <w:r>
              <w:t>&gt; 2.5</w:t>
            </w:r>
          </w:p>
        </w:tc>
        <w:tc>
          <w:tcPr>
            <w:tcW w:type="dxa" w:w="2160"/>
          </w:tcPr>
          <w:p>
            <w:r>
              <w:t>Excelente</w:t>
            </w:r>
          </w:p>
        </w:tc>
        <w:tc>
          <w:tcPr>
            <w:tcW w:type="dxa" w:w="2160"/>
          </w:tcPr>
          <w:p>
            <w:r>
              <w:t>Modelo robusto para predição quantitativa</w:t>
            </w:r>
          </w:p>
        </w:tc>
        <w:tc>
          <w:tcPr>
            <w:tcW w:type="dxa" w:w="2160"/>
          </w:tcPr>
          <w:p>
            <w:r>
              <w:t>Pode ser usado para controle de qualidade</w:t>
            </w:r>
          </w:p>
        </w:tc>
      </w:tr>
      <w:tr>
        <w:tc>
          <w:tcPr>
            <w:tcW w:type="dxa" w:w="2160"/>
          </w:tcPr>
          <w:p>
            <w:r>
              <w:t>2.0 – 2.5</w:t>
            </w:r>
          </w:p>
        </w:tc>
        <w:tc>
          <w:tcPr>
            <w:tcW w:type="dxa" w:w="2160"/>
          </w:tcPr>
          <w:p>
            <w:r>
              <w:t>Bom</w:t>
            </w:r>
          </w:p>
        </w:tc>
        <w:tc>
          <w:tcPr>
            <w:tcW w:type="dxa" w:w="2160"/>
          </w:tcPr>
          <w:p>
            <w:r>
              <w:t>Predição quantitativa aproximada</w:t>
            </w:r>
          </w:p>
        </w:tc>
        <w:tc>
          <w:tcPr>
            <w:tcW w:type="dxa" w:w="2160"/>
          </w:tcPr>
          <w:p>
            <w:r>
              <w:t>Adequado para triagem (screening)</w:t>
            </w:r>
          </w:p>
        </w:tc>
      </w:tr>
      <w:tr>
        <w:tc>
          <w:tcPr>
            <w:tcW w:type="dxa" w:w="2160"/>
          </w:tcPr>
          <w:p>
            <w:r>
              <w:t>1.5 – 2.0</w:t>
            </w:r>
          </w:p>
        </w:tc>
        <w:tc>
          <w:tcPr>
            <w:tcW w:type="dxa" w:w="2160"/>
          </w:tcPr>
          <w:p>
            <w:r>
              <w:t>Razoável</w:t>
            </w:r>
          </w:p>
        </w:tc>
        <w:tc>
          <w:tcPr>
            <w:tcW w:type="dxa" w:w="2160"/>
          </w:tcPr>
          <w:p>
            <w:r>
              <w:t>Correlação detectada, baixa precisão</w:t>
            </w:r>
          </w:p>
        </w:tc>
        <w:tc>
          <w:tcPr>
            <w:tcW w:type="dxa" w:w="2160"/>
          </w:tcPr>
          <w:p>
            <w:r>
              <w:t>Apenas discriminação grosseira</w:t>
            </w:r>
          </w:p>
        </w:tc>
      </w:tr>
      <w:tr>
        <w:tc>
          <w:tcPr>
            <w:tcW w:type="dxa" w:w="2160"/>
          </w:tcPr>
          <w:p>
            <w:r>
              <w:t>&lt; 1.5</w:t>
            </w:r>
          </w:p>
        </w:tc>
        <w:tc>
          <w:tcPr>
            <w:tcW w:type="dxa" w:w="2160"/>
          </w:tcPr>
          <w:p>
            <w:r>
              <w:t>Fraco</w:t>
            </w:r>
          </w:p>
        </w:tc>
        <w:tc>
          <w:tcPr>
            <w:tcW w:type="dxa" w:w="2160"/>
          </w:tcPr>
          <w:p>
            <w:r>
              <w:t>Modelo não recomendado para predição</w:t>
            </w:r>
          </w:p>
        </w:tc>
        <w:tc>
          <w:tcPr>
            <w:tcW w:type="dxa" w:w="2160"/>
          </w:tcPr>
          <w:p>
            <w:r>
              <w:t>Não utilizar para fins quantitativos</w:t>
            </w:r>
          </w:p>
        </w:tc>
      </w:tr>
    </w:tbl>
    <w:p>
      <w:pPr>
        <w:pStyle w:val="Heading2"/>
      </w:pPr>
      <w:r>
        <w:t>7.5 Métricas Adicionais Recomendadas</w:t>
      </w:r>
    </w:p>
    <w:p>
      <w:pPr/>
      <w:r>
        <w:rPr>
          <w:b w:val="0"/>
          <w:i w:val="0"/>
        </w:rPr>
        <w:t>Embora não utilizadas na versão atual, as seguintes métricas complementares podem enriquecer a avaliação:</w:t>
      </w:r>
    </w:p>
    <w:p>
      <w:pPr>
        <w:pStyle w:val="ListBullet"/>
      </w:pPr>
      <w:r>
        <w:rPr>
          <w:b/>
        </w:rPr>
        <w:t xml:space="preserve">RPIQ (Ratio of Performance to InterQuartile range): </w:t>
      </w:r>
      <w:r/>
    </w:p>
    <w:p>
      <w:pPr/>
      <w:r>
        <w:rPr>
          <w:b w:val="0"/>
          <w:i w:val="0"/>
        </w:rPr>
        <w:t xml:space="preserve">   Similar ao RPD, mas usa o intervalo interquartil (Q3 - Q1) no lugar do desvio padrão.    Mais robusto a outliers.</w:t>
      </w:r>
    </w:p>
    <w:p>
      <w:pPr>
        <w:pStyle w:val="ListBullet"/>
      </w:pPr>
      <w:r>
        <w:rPr>
          <w:b/>
        </w:rPr>
        <w:t xml:space="preserve">Bias (viés médio): </w:t>
      </w:r>
      <w:r/>
    </w:p>
    <w:p>
      <w:pPr/>
      <w:r>
        <w:rPr>
          <w:b w:val="0"/>
          <w:i w:val="0"/>
        </w:rPr>
        <w:t xml:space="preserve">   Média dos resíduos (ŷ - y). Indica se o modelo superestima ou subestima    sistematicamente.</w:t>
      </w:r>
    </w:p>
    <w:p>
      <w:pPr>
        <w:pStyle w:val="ListBullet"/>
      </w:pPr>
      <w:r>
        <w:rPr>
          <w:b/>
        </w:rPr>
        <w:t xml:space="preserve">SEP (Standard Error of Prediction): </w:t>
      </w:r>
      <w:r/>
    </w:p>
    <w:p>
      <w:pPr/>
      <w:r>
        <w:rPr>
          <w:b w:val="0"/>
          <w:i w:val="0"/>
        </w:rPr>
        <w:t xml:space="preserve">   Desvio padrão dos erros de predição após correção do viés. Mais utilizado em    quimiometria clássica que RMSE.</w:t>
      </w:r>
    </w:p>
    <w:p>
      <w:pPr>
        <w:pStyle w:val="ListBullet"/>
      </w:pPr>
      <w:r>
        <w:rPr>
          <w:b/>
        </w:rPr>
        <w:t xml:space="preserve">R² de validação externa: </w:t>
      </w:r>
      <w:r/>
    </w:p>
    <w:p>
      <w:pPr/>
      <w:r>
        <w:rPr>
          <w:b w:val="0"/>
          <w:i w:val="0"/>
        </w:rPr>
        <w:t xml:space="preserve">   Se houver um conjunto de teste independente (não usado em nenhuma etapa do treino),    o R² calculado nesse conjunto é a métrica mais confiável de generalização.</w:t>
      </w:r>
    </w:p>
    <w:p>
      <w:r>
        <w:br w:type="page"/>
      </w:r>
    </w:p>
    <w:p>
      <w:pPr>
        <w:pStyle w:val="Heading1"/>
      </w:pPr>
      <w:r>
        <w:t>8. Resultados Consolidados</w:t>
      </w:r>
    </w:p>
    <w:p>
      <w:pPr/>
      <w:r>
        <w:rPr>
          <w:b w:val="0"/>
          <w:i w:val="0"/>
        </w:rPr>
        <w:t>A tabela abaixo consolida os resultados obtidos para todos os parâmetros analisados, organizados por grupo.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R²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RPD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</w:rPr>
              <w:t>Interpretação</w:t>
            </w:r>
          </w:p>
        </w:tc>
      </w:tr>
      <w:tr>
        <w:tc>
          <w:tcPr>
            <w:tcW w:type="dxa" w:w="1440"/>
          </w:tcPr>
          <w:p>
            <w:r>
              <w:t>Morfologia</w:t>
            </w:r>
          </w:p>
        </w:tc>
        <w:tc>
          <w:tcPr>
            <w:tcW w:type="dxa" w:w="1440"/>
          </w:tcPr>
          <w:p>
            <w:r>
              <w:t>Comp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  <w:tc>
          <w:tcPr>
            <w:tcW w:type="dxa" w:w="1440"/>
          </w:tcPr>
          <w:p>
            <w:r>
              <w:t>3.79</w:t>
            </w:r>
          </w:p>
        </w:tc>
        <w:tc>
          <w:tcPr>
            <w:tcW w:type="dxa" w:w="1440"/>
          </w:tcPr>
          <w:p>
            <w:r>
              <w:t>Excelente</w:t>
            </w:r>
          </w:p>
        </w:tc>
        <w:tc>
          <w:tcPr>
            <w:tcW w:type="dxa" w:w="1440"/>
          </w:tcPr>
          <w:p>
            <w:r>
              <w:t>Predição confiável</w:t>
            </w:r>
          </w:p>
        </w:tc>
      </w:tr>
      <w:tr>
        <w:tc>
          <w:tcPr>
            <w:tcW w:type="dxa" w:w="1440"/>
          </w:tcPr>
          <w:p>
            <w:r>
              <w:t>Morfologia</w:t>
            </w:r>
          </w:p>
        </w:tc>
        <w:tc>
          <w:tcPr>
            <w:tcW w:type="dxa" w:w="1440"/>
          </w:tcPr>
          <w:p>
            <w:r>
              <w:t>Diam.Equat.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Excelente</w:t>
            </w:r>
          </w:p>
        </w:tc>
        <w:tc>
          <w:tcPr>
            <w:tcW w:type="dxa" w:w="1440"/>
          </w:tcPr>
          <w:p>
            <w:r>
              <w:t>Predição confiável</w:t>
            </w:r>
          </w:p>
        </w:tc>
      </w:tr>
      <w:tr>
        <w:tc>
          <w:tcPr>
            <w:tcW w:type="dxa" w:w="1440"/>
          </w:tcPr>
          <w:p>
            <w:r>
              <w:t>Morfologia</w:t>
            </w:r>
          </w:p>
        </w:tc>
        <w:tc>
          <w:tcPr>
            <w:tcW w:type="dxa" w:w="1440"/>
          </w:tcPr>
          <w:p>
            <w:r>
              <w:t>C:D</w:t>
            </w:r>
          </w:p>
        </w:tc>
        <w:tc>
          <w:tcPr>
            <w:tcW w:type="dxa" w:w="1440"/>
          </w:tcPr>
          <w:p>
            <w:r>
              <w:t>0.862</w:t>
            </w:r>
          </w:p>
        </w:tc>
        <w:tc>
          <w:tcPr>
            <w:tcW w:type="dxa" w:w="1440"/>
          </w:tcPr>
          <w:p>
            <w:r>
              <w:t>2.69</w:t>
            </w:r>
          </w:p>
        </w:tc>
        <w:tc>
          <w:tcPr>
            <w:tcW w:type="dxa" w:w="1440"/>
          </w:tcPr>
          <w:p>
            <w:r>
              <w:t>Excelente</w:t>
            </w:r>
          </w:p>
        </w:tc>
        <w:tc>
          <w:tcPr>
            <w:tcW w:type="dxa" w:w="1440"/>
          </w:tcPr>
          <w:p>
            <w:r>
              <w:t>Predição confiável</w:t>
            </w:r>
          </w:p>
        </w:tc>
      </w:tr>
      <w:tr>
        <w:tc>
          <w:tcPr>
            <w:tcW w:type="dxa" w:w="1440"/>
          </w:tcPr>
          <w:p>
            <w:r>
              <w:t>Textura</w:t>
            </w:r>
          </w:p>
        </w:tc>
        <w:tc>
          <w:tcPr>
            <w:tcW w:type="dxa" w:w="1440"/>
          </w:tcPr>
          <w:p>
            <w:r>
              <w:t>Firm</w:t>
            </w:r>
          </w:p>
        </w:tc>
        <w:tc>
          <w:tcPr>
            <w:tcW w:type="dxa" w:w="1440"/>
          </w:tcPr>
          <w:p>
            <w:r>
              <w:t>0.765</w:t>
            </w:r>
          </w:p>
        </w:tc>
        <w:tc>
          <w:tcPr>
            <w:tcW w:type="dxa" w:w="1440"/>
          </w:tcPr>
          <w:p>
            <w:r>
              <w:t>2.06</w:t>
            </w:r>
          </w:p>
        </w:tc>
        <w:tc>
          <w:tcPr>
            <w:tcW w:type="dxa" w:w="1440"/>
          </w:tcPr>
          <w:p>
            <w:r>
              <w:t>Bom</w:t>
            </w:r>
          </w:p>
        </w:tc>
        <w:tc>
          <w:tcPr>
            <w:tcW w:type="dxa" w:w="1440"/>
          </w:tcPr>
          <w:p>
            <w:r>
              <w:t>Adequado para triagem</w:t>
            </w:r>
          </w:p>
        </w:tc>
      </w:tr>
      <w:tr>
        <w:tc>
          <w:tcPr>
            <w:tcW w:type="dxa" w:w="1440"/>
          </w:tcPr>
          <w:p>
            <w:r>
              <w:t>Qualidade</w:t>
            </w:r>
          </w:p>
        </w:tc>
        <w:tc>
          <w:tcPr>
            <w:tcW w:type="dxa" w:w="1440"/>
          </w:tcPr>
          <w:p>
            <w:r>
              <w:t>SS</w:t>
            </w:r>
          </w:p>
        </w:tc>
        <w:tc>
          <w:tcPr>
            <w:tcW w:type="dxa" w:w="1440"/>
          </w:tcPr>
          <w:p>
            <w:r>
              <w:t>0.751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Bom</w:t>
            </w:r>
          </w:p>
        </w:tc>
        <w:tc>
          <w:tcPr>
            <w:tcW w:type="dxa" w:w="1440"/>
          </w:tcPr>
          <w:p>
            <w:r>
              <w:t>Adequado para triagem</w:t>
            </w:r>
          </w:p>
        </w:tc>
      </w:tr>
      <w:tr>
        <w:tc>
          <w:tcPr>
            <w:tcW w:type="dxa" w:w="1440"/>
          </w:tcPr>
          <w:p>
            <w:r>
              <w:t>Qualidade</w:t>
            </w:r>
          </w:p>
        </w:tc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0.595</w:t>
            </w:r>
          </w:p>
        </w:tc>
        <w:tc>
          <w:tcPr>
            <w:tcW w:type="dxa" w:w="1440"/>
          </w:tcPr>
          <w:p>
            <w:r>
              <w:t>1.57</w:t>
            </w:r>
          </w:p>
        </w:tc>
        <w:tc>
          <w:tcPr>
            <w:tcW w:type="dxa" w:w="1440"/>
          </w:tcPr>
          <w:p>
            <w:r>
              <w:t>Razoável</w:t>
            </w:r>
          </w:p>
        </w:tc>
        <w:tc>
          <w:tcPr>
            <w:tcW w:type="dxa" w:w="1440"/>
          </w:tcPr>
          <w:p>
            <w:r>
              <w:t>Correlação, baixa precisão</w:t>
            </w:r>
          </w:p>
        </w:tc>
      </w:tr>
      <w:tr>
        <w:tc>
          <w:tcPr>
            <w:tcW w:type="dxa" w:w="1440"/>
          </w:tcPr>
          <w:p>
            <w:r>
              <w:t>Qualidade</w:t>
            </w:r>
          </w:p>
        </w:tc>
        <w:tc>
          <w:tcPr>
            <w:tcW w:type="dxa" w:w="1440"/>
          </w:tcPr>
          <w:p>
            <w:r>
              <w:t>Vit. C</w:t>
            </w:r>
          </w:p>
        </w:tc>
        <w:tc>
          <w:tcPr>
            <w:tcW w:type="dxa" w:w="1440"/>
          </w:tcPr>
          <w:p>
            <w:r>
              <w:t>0.236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Fraco</w:t>
            </w:r>
          </w:p>
        </w:tc>
        <w:tc>
          <w:tcPr>
            <w:tcW w:type="dxa" w:w="1440"/>
          </w:tcPr>
          <w:p>
            <w:r>
              <w:t>Não recomendado</w:t>
            </w:r>
          </w:p>
        </w:tc>
      </w:tr>
      <w:tr>
        <w:tc>
          <w:tcPr>
            <w:tcW w:type="dxa" w:w="1440"/>
          </w:tcPr>
          <w:p>
            <w:r>
              <w:t>Qualidade</w:t>
            </w:r>
          </w:p>
        </w:tc>
        <w:tc>
          <w:tcPr>
            <w:tcW w:type="dxa" w:w="1440"/>
          </w:tcPr>
          <w:p>
            <w:r>
              <w:t>AT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Fraco</w:t>
            </w:r>
          </w:p>
        </w:tc>
        <w:tc>
          <w:tcPr>
            <w:tcW w:type="dxa" w:w="1440"/>
          </w:tcPr>
          <w:p>
            <w:r>
              <w:t>Não recomendado</w:t>
            </w:r>
          </w:p>
        </w:tc>
      </w:tr>
      <w:tr>
        <w:tc>
          <w:tcPr>
            <w:tcW w:type="dxa" w:w="1440"/>
          </w:tcPr>
          <w:p>
            <w:r>
              <w:t>Qualidade</w:t>
            </w:r>
          </w:p>
        </w:tc>
        <w:tc>
          <w:tcPr>
            <w:tcW w:type="dxa" w:w="1440"/>
          </w:tcPr>
          <w:p>
            <w:r>
              <w:t>SS/AT</w:t>
            </w:r>
          </w:p>
        </w:tc>
        <w:tc>
          <w:tcPr>
            <w:tcW w:type="dxa" w:w="1440"/>
          </w:tcPr>
          <w:p>
            <w:r>
              <w:t>&lt; 0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Inviável</w:t>
            </w:r>
          </w:p>
        </w:tc>
        <w:tc>
          <w:tcPr>
            <w:tcW w:type="dxa" w:w="1440"/>
          </w:tcPr>
          <w:p>
            <w:r>
              <w:t>Pior que média</w:t>
            </w:r>
          </w:p>
        </w:tc>
      </w:tr>
    </w:tbl>
    <w:p/>
    <w:p>
      <w:pPr>
        <w:pStyle w:val="Heading2"/>
      </w:pPr>
      <w:r>
        <w:t>8.1 Discussão dos Resultados</w:t>
      </w:r>
    </w:p>
    <w:p>
      <w:pPr>
        <w:pStyle w:val="Heading3"/>
      </w:pPr>
      <w:r>
        <w:t>Parâmetros Morfológicos (Excelente)</w:t>
      </w:r>
    </w:p>
    <w:p>
      <w:pPr/>
      <w:r>
        <w:rPr>
          <w:b w:val="0"/>
          <w:i w:val="0"/>
        </w:rPr>
        <w:t>Os parâmetros morfológicos (Comp, Diam.Equat., C:D) apresentaram desempenho excelente (R² &gt; 0.86, RPD &gt; 2.5). Isso era esperado porque:</w:t>
      </w:r>
    </w:p>
    <w:p>
      <w:pPr>
        <w:pStyle w:val="ListBullet"/>
      </w:pPr>
      <w:r>
        <w:t>A morfologia do fruto está diretamente relacionada à geometria de espalhamento da luz NIRS.</w:t>
      </w:r>
    </w:p>
    <w:p>
      <w:pPr>
        <w:pStyle w:val="ListBullet"/>
      </w:pPr>
      <w:r>
        <w:t>Espectros de frutos maiores vs. menores têm diferenças sistemáticas de intensidade e padrão.</w:t>
      </w:r>
    </w:p>
    <w:p>
      <w:pPr>
        <w:pStyle w:val="ListBullet"/>
      </w:pPr>
      <w:r>
        <w:t>A variância entre frutos é alta, facilitando a discriminação pelo modelo.</w:t>
      </w:r>
    </w:p>
    <w:p>
      <w:pPr>
        <w:pStyle w:val="Heading3"/>
      </w:pPr>
      <w:r>
        <w:t>Parâmetros de Qualidade com Desempenho Bom (Firm, SS)</w:t>
      </w:r>
    </w:p>
    <w:p>
      <w:pPr/>
      <w:r>
        <w:rPr>
          <w:b w:val="0"/>
          <w:i w:val="0"/>
        </w:rPr>
        <w:t>Firmeza e Sólidos Solúveis apresentam RPD entre 2.0 e 2.5, adequados para triagem. A firmeza está ligada à estrutura celular e água, que afetam a reflectância. O SS (ºBrix) relaciona-se à concentração de açúcares, que têm bandas de absorção C-H, O-H no NIR.</w:t>
      </w:r>
    </w:p>
    <w:p>
      <w:pPr>
        <w:pStyle w:val="Heading3"/>
      </w:pPr>
      <w:r>
        <w:t>Parâmetros com Desempenho Fraco (pH, Vit. C, AT, SS/AT)</w:t>
      </w:r>
    </w:p>
    <w:p>
      <w:pPr/>
      <w:r>
        <w:rPr>
          <w:b w:val="0"/>
          <w:i w:val="0"/>
        </w:rPr>
        <w:t>Estes parâmetros apresentam R² baixo e RPD &lt; 1.5, indicando que a espectroscopia NIRS, nas condições atuais, não é capaz de predizê-los com confiabilidade. Possíveis causas:</w:t>
      </w:r>
    </w:p>
    <w:p>
      <w:pPr>
        <w:pStyle w:val="ListBullet"/>
      </w:pPr>
      <w:r>
        <w:rPr>
          <w:b/>
        </w:rPr>
        <w:t xml:space="preserve">Baixa concentração: </w:t>
      </w:r>
      <w:r/>
    </w:p>
    <w:p>
      <w:pPr/>
      <w:r>
        <w:rPr>
          <w:b w:val="0"/>
          <w:i w:val="0"/>
        </w:rPr>
        <w:t xml:space="preserve">   Vit. C e AT estão presentes em baixas concentrações no tomate (~0.3-0.5% para AT,    ~15-25 mg/100g para Vit. C). O sinal NIRS desses constituintes é fraco comparado ao    sinal dominante da água.</w:t>
      </w:r>
    </w:p>
    <w:p>
      <w:pPr>
        <w:pStyle w:val="ListBullet"/>
      </w:pPr>
      <w:r>
        <w:rPr>
          <w:b/>
        </w:rPr>
        <w:t xml:space="preserve">Sobreposição espectral: </w:t>
      </w:r>
      <w:r/>
    </w:p>
    <w:p>
      <w:pPr/>
      <w:r>
        <w:rPr>
          <w:b w:val="0"/>
          <w:i w:val="0"/>
        </w:rPr>
        <w:t xml:space="preserve">   As bandas de absorção de ácidos orgânicos e vitamina C se sobrepõem às bandas largas    da água (1400 nm e 1900 nm), que domina o espectro do tomate (~95% da composição).</w:t>
      </w:r>
    </w:p>
    <w:p>
      <w:pPr>
        <w:pStyle w:val="ListBullet"/>
      </w:pPr>
      <w:r>
        <w:rPr>
          <w:b/>
        </w:rPr>
        <w:t xml:space="preserve">Baixa variância: </w:t>
      </w:r>
      <w:r/>
    </w:p>
    <w:p>
      <w:pPr/>
      <w:r>
        <w:rPr>
          <w:b w:val="0"/>
          <w:i w:val="0"/>
        </w:rPr>
        <w:t xml:space="preserve">   Se a variação natural entre parcelas é pequena para um parâmetro, o RPD fica    limitado mesmo que o erro absoluto seja moderado.</w:t>
      </w:r>
    </w:p>
    <w:p>
      <w:pPr>
        <w:pStyle w:val="ListBullet"/>
      </w:pPr>
      <w:r>
        <w:rPr>
          <w:b/>
        </w:rPr>
        <w:t xml:space="preserve">SS/AT — razão: </w:t>
      </w:r>
      <w:r/>
    </w:p>
    <w:p>
      <w:pPr/>
      <w:r>
        <w:rPr>
          <w:b w:val="0"/>
          <w:i w:val="0"/>
        </w:rPr>
        <w:t xml:space="preserve">   A razão entre duas variáveis propaga o erro de ambas, resultando em desempenho    inviável (R² negativo). Isto é esperado: o erro da razão é sempre maior que o erro    de cada componente individual.</w:t>
      </w:r>
    </w:p>
    <w:p>
      <w:r>
        <w:br w:type="page"/>
      </w:r>
    </w:p>
    <w:p>
      <w:pPr>
        <w:pStyle w:val="Heading1"/>
      </w:pPr>
      <w:r>
        <w:t>9. Recomendações para Melhoria da Análise</w:t>
      </w:r>
    </w:p>
    <w:p>
      <w:pPr/>
      <w:r>
        <w:rPr>
          <w:b/>
          <w:i w:val="0"/>
        </w:rPr>
        <w:t>Com base na análise detalhada dos resultados, apresentam-se recomendações organizadas por categoria.</w:t>
      </w:r>
    </w:p>
    <w:p>
      <w:pPr>
        <w:pStyle w:val="Heading2"/>
      </w:pPr>
      <w:r>
        <w:t>9.1 Coleta de Dados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Aumentar n amostral: </w:t>
      </w:r>
      <w:r/>
    </w:p>
    <w:p>
      <w:pPr/>
      <w:r>
        <w:rPr>
          <w:b w:val="0"/>
          <w:i w:val="0"/>
        </w:rPr>
        <w:t xml:space="preserve">   O maior gargalo é o número de amostras independentes. Com apenas 9 parcelas, a validação tem alta variância. Recomenda-se expandir para no mínimo 30-50 parcelas com medição destrutiva individual.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Medir referência por fruto: </w:t>
      </w:r>
      <w:r/>
    </w:p>
    <w:p>
      <w:pPr/>
      <w:r>
        <w:rPr>
          <w:b w:val="0"/>
          <w:i w:val="0"/>
        </w:rPr>
        <w:t xml:space="preserve">   Sempre que possível, realizar análises destrutivas individuais (5 valores por parcela em vez de 1 pool). Isso elevaria n de 9 para 45 valores independentes.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Balancear variedades: </w:t>
      </w:r>
      <w:r/>
    </w:p>
    <w:p>
      <w:pPr/>
      <w:r>
        <w:rPr>
          <w:b w:val="0"/>
          <w:i w:val="0"/>
        </w:rPr>
        <w:t xml:space="preserve">   Garantir distribuição equilibrada de variedades, estádios de maturação e tamanhos para aumentar a variância natural dos parâmetros e melhorar o RPD.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Registrar metadata adicional: </w:t>
      </w:r>
      <w:r/>
    </w:p>
    <w:p>
      <w:pPr/>
      <w:r>
        <w:rPr>
          <w:b w:val="0"/>
          <w:i w:val="0"/>
        </w:rPr>
        <w:t xml:space="preserve">   Coletar dados de origem (lote, produtor, data da colheita, dias pós-colheita) para permitir análise de fontes de variação.</w:t>
      </w:r>
    </w:p>
    <w:p>
      <w:pPr>
        <w:pStyle w:val="Heading2"/>
      </w:pPr>
      <w:r>
        <w:t>9.2 Pré-processamento Espectral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Remover faixas ruidosas: </w:t>
      </w:r>
      <w:r/>
    </w:p>
    <w:p>
      <w:pPr/>
      <w:r>
        <w:rPr>
          <w:b w:val="0"/>
          <w:i w:val="0"/>
        </w:rPr>
        <w:t xml:space="preserve">   Excluir as extremidades 400-450 nm e 2450-2500 nm (baixa relação sinal-ruído) e as regiões de absorção da água pura (1340-1450 nm, 1850-1950 nm) quando o alvo não for água/umidade.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Testar combinações de pré-processamento: </w:t>
      </w:r>
      <w:r/>
    </w:p>
    <w:p>
      <w:pPr/>
      <w:r>
        <w:rPr>
          <w:b w:val="0"/>
          <w:i w:val="0"/>
        </w:rPr>
        <w:t xml:space="preserve">   Avaliar SNV + Detrend, SNV + 2ª derivada (janela 15, ordem 3), e MSC, usando grid search para selecionar a combinação ótima para cada parâmetro.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Redução de dimensionalidade: </w:t>
      </w:r>
      <w:r/>
    </w:p>
    <w:p>
      <w:pPr/>
      <w:r>
        <w:rPr>
          <w:b w:val="0"/>
          <w:i w:val="0"/>
        </w:rPr>
        <w:t xml:space="preserve">   Aplicar seleção de comprimentos de onda (ex.: interval PLS, competitive adaptive reweighted sampling — CARS, ou variáveis com maior peso nos loadings do PLS) para reduzir de 4200 para 100-500 variáveis.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Correção de espalhamento: </w:t>
      </w:r>
      <w:r/>
    </w:p>
    <w:p>
      <w:pPr/>
      <w:r>
        <w:rPr>
          <w:b w:val="0"/>
          <w:i w:val="0"/>
        </w:rPr>
        <w:t xml:space="preserve">   Para firmeza (parâmetro físico), o MSC pode ser superior ao SNV por modelar explicitamente o espalhamento multiplicativo.</w:t>
      </w:r>
    </w:p>
    <w:p>
      <w:pPr>
        <w:pStyle w:val="Heading2"/>
      </w:pPr>
      <w:r>
        <w:t>9.3 Modelagem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Modelos não-lineares com regularização: </w:t>
      </w:r>
      <w:r/>
    </w:p>
    <w:p>
      <w:pPr/>
      <w:r>
        <w:rPr>
          <w:b w:val="0"/>
          <w:i w:val="0"/>
        </w:rPr>
        <w:t xml:space="preserve">   Considerar Kernel PLS (para capturar não-linearidades parciais) ou ElasticNet (combinação L1+L2) para os parâmetros com baixo R².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Ensemble de modelos: </w:t>
      </w:r>
      <w:r/>
    </w:p>
    <w:p>
      <w:pPr/>
      <w:r>
        <w:rPr>
          <w:b w:val="0"/>
          <w:i w:val="0"/>
        </w:rPr>
        <w:t xml:space="preserve">   Combinar PLS + Ridge + Gradient Boosting via média ponderada (stacking simples). Pode melhorar a estabilidade.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Pré-seleção de componentes: </w:t>
      </w:r>
      <w:r/>
    </w:p>
    <w:p>
      <w:pPr/>
      <w:r>
        <w:rPr>
          <w:b w:val="0"/>
          <w:i w:val="0"/>
        </w:rPr>
        <w:t xml:space="preserve">   Para LOOCV com n=9, fixar o número de componentes PLS em 2-3 (menos que n/3) para evitar overfitting.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Validação externa independente: </w:t>
      </w:r>
      <w:r/>
    </w:p>
    <w:p>
      <w:pPr/>
      <w:r>
        <w:rPr>
          <w:b w:val="0"/>
          <w:i w:val="0"/>
        </w:rPr>
        <w:t xml:space="preserve">   Reservar 2-3 parcelas (10-15 frutos) como conjunto de teste externo desde o início. Essa validação final é a única que comprova a capacidade de generalização.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Detecção de outliers espectrais: </w:t>
      </w:r>
      <w:r/>
    </w:p>
    <w:p>
      <w:pPr/>
      <w:r>
        <w:rPr>
          <w:b w:val="0"/>
          <w:i w:val="0"/>
        </w:rPr>
        <w:t xml:space="preserve">   Usar distância de Mahalanobis no espaço PCA para identificar e remover espectros anômalos antes da modelagem.</w:t>
      </w:r>
    </w:p>
    <w:p>
      <w:pPr>
        <w:pStyle w:val="Heading2"/>
      </w:pPr>
      <w:r>
        <w:t>9.4 Específicas por Parâmetro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Problema Principal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Recomendação Específica</w:t>
            </w:r>
          </w:p>
        </w:tc>
      </w:tr>
      <w:tr>
        <w:tc>
          <w:tcPr>
            <w:tcW w:type="dxa" w:w="2880"/>
          </w:tcPr>
          <w:p>
            <w:r>
              <w:t>AT (Acidez)</w:t>
            </w:r>
          </w:p>
        </w:tc>
        <w:tc>
          <w:tcPr>
            <w:tcW w:type="dxa" w:w="2880"/>
          </w:tcPr>
          <w:p>
            <w:r>
              <w:t>Sinal fraco, sobreposição com água</w:t>
            </w:r>
          </w:p>
        </w:tc>
        <w:tc>
          <w:tcPr>
            <w:tcW w:type="dxa" w:w="2880"/>
          </w:tcPr>
          <w:p>
            <w:r>
              <w:t>Usar faixa espectral 1700-2300 nm (bandas C-H de ácidos orgânicos). Remover 1400 e 1900 nm (água). Aumentar concentração (amostras mais ácidas).</w:t>
            </w:r>
          </w:p>
        </w:tc>
      </w:tr>
      <w:tr>
        <w:tc>
          <w:tcPr>
            <w:tcW w:type="dxa" w:w="2880"/>
          </w:tcPr>
          <w:p>
            <w:r>
              <w:t>Vit. C</w:t>
            </w:r>
          </w:p>
        </w:tc>
        <w:tc>
          <w:tcPr>
            <w:tcW w:type="dxa" w:w="2880"/>
          </w:tcPr>
          <w:p>
            <w:r>
              <w:t>Baixíssima concentração (&lt; 0.03%)</w:t>
            </w:r>
          </w:p>
        </w:tc>
        <w:tc>
          <w:tcPr>
            <w:tcW w:type="dxa" w:w="2880"/>
          </w:tcPr>
          <w:p>
            <w:r>
              <w:t>Vitamina C é praticamente invisível ao NIRS no tomate. Alternativa: espectroscopia Raman ou método eletroquímico. Não é recomendável insistir com NIRS.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Efeito indireto (íons H+ não absorvem NIR)</w:t>
            </w:r>
          </w:p>
        </w:tc>
        <w:tc>
          <w:tcPr>
            <w:tcW w:type="dxa" w:w="2880"/>
          </w:tcPr>
          <w:p>
            <w:r>
              <w:t>pH não é uma concentração, é uma atividade iônica. Modelar via correlação indireta com outros constituintes. Considerar sensores eletroquímicos combinados.</w:t>
            </w:r>
          </w:p>
        </w:tc>
      </w:tr>
      <w:tr>
        <w:tc>
          <w:tcPr>
            <w:tcW w:type="dxa" w:w="2880"/>
          </w:tcPr>
          <w:p>
            <w:r>
              <w:t>SS/AT</w:t>
            </w:r>
          </w:p>
        </w:tc>
        <w:tc>
          <w:tcPr>
            <w:tcW w:type="dxa" w:w="2880"/>
          </w:tcPr>
          <w:p>
            <w:r>
              <w:t>Propagação de erro de dois modelos</w:t>
            </w:r>
          </w:p>
        </w:tc>
        <w:tc>
          <w:tcPr>
            <w:tcW w:type="dxa" w:w="2880"/>
          </w:tcPr>
          <w:p>
            <w:r>
              <w:t>Calcular a razão APÓS as predições individuais, não tentar modelar SS/AT diretamente. Ou usar SS/AT como alvo único com modelo dedicado.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9.5 Recomendações Gerais e Próximos Passos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Aumentar o conjunto de dados: </w:t>
      </w:r>
      <w:r/>
    </w:p>
    <w:p>
      <w:pPr/>
      <w:r>
        <w:rPr>
          <w:b w:val="0"/>
          <w:i w:val="0"/>
        </w:rPr>
        <w:t xml:space="preserve">   Priorizar a expansão para 30-50 parcelas com medições individuais. Este é o fator isolado mais impactante para melhorar a confiabilidade dos modelos.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Padronizar protocolo de medição NIRS: </w:t>
      </w:r>
      <w:r/>
    </w:p>
    <w:p>
      <w:pPr/>
      <w:r>
        <w:rPr>
          <w:b w:val="0"/>
          <w:i w:val="0"/>
        </w:rPr>
        <w:t xml:space="preserve">   Controlar temperatura da amostra (afeta espectros NIR), posição de medição no fruto (região equatorial), e tempo entre colheita e medição.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Dashboard de qualidade: </w:t>
      </w:r>
      <w:r/>
    </w:p>
    <w:p>
      <w:pPr/>
      <w:r>
        <w:rPr>
          <w:b w:val="0"/>
          <w:i w:val="0"/>
        </w:rPr>
        <w:t xml:space="preserve">   Criar um relatório automático que monitore a evolução dos modelos à medida que novas amostras são adicionadas, com alertas para degradação de performance.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Publicar dados e código: </w:t>
      </w:r>
      <w:r/>
    </w:p>
    <w:p>
      <w:pPr/>
      <w:r>
        <w:rPr>
          <w:b w:val="0"/>
          <w:i w:val="0"/>
        </w:rPr>
        <w:t xml:space="preserve">   Disponibilizar os dados anonimizados e pipelines em repositório aberto para reprodutibilidade e colaboração.</w:t>
      </w:r>
    </w:p>
    <w:p>
      <w:pPr/>
      <w:r>
        <w:rPr>
          <w:b/>
          <w:i w:val="0"/>
        </w:rPr>
      </w:r>
    </w:p>
    <w:p>
      <w:pPr>
        <w:pStyle w:val="ListBullet"/>
      </w:pPr>
      <w:r>
        <w:rPr>
          <w:b/>
        </w:rPr>
        <w:t xml:space="preserve">Explorar deep learning: </w:t>
      </w:r>
      <w:r/>
    </w:p>
    <w:p>
      <w:pPr/>
      <w:r>
        <w:rPr>
          <w:b w:val="0"/>
          <w:i w:val="0"/>
        </w:rPr>
        <w:t xml:space="preserve">   Com mais dados (&gt;200 amostras), testar redes neurais convolucionais (CNN) aplicadas diretamente aos espectros brutos, que podem capturar não-linearidades que o PLS não alcança.</w:t>
      </w:r>
    </w:p>
    <w:p>
      <w:r>
        <w:br w:type="page"/>
      </w:r>
    </w:p>
    <w:p>
      <w:pPr>
        <w:pStyle w:val="Heading1"/>
      </w:pPr>
      <w:r>
        <w:t>10. Ferramentas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</w:rPr>
              <w:t>Detalhamento</w:t>
            </w:r>
          </w:p>
        </w:tc>
      </w:tr>
      <w:tr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Linguagem principal</w:t>
            </w:r>
          </w:p>
        </w:tc>
        <w:tc>
          <w:tcPr>
            <w:tcW w:type="dxa" w:w="2880"/>
          </w:tcPr>
          <w:p>
            <w:r>
              <w:t>Versão compatível com todas as bibliotecas utilizadas</w:t>
            </w:r>
          </w:p>
        </w:tc>
      </w:tr>
      <w:tr>
        <w:tc>
          <w:tcPr>
            <w:tcW w:type="dxa" w:w="2880"/>
          </w:tcPr>
          <w:p>
            <w:r>
              <w:t>pandas / numpy</w:t>
            </w:r>
          </w:p>
        </w:tc>
        <w:tc>
          <w:tcPr>
            <w:tcW w:type="dxa" w:w="2880"/>
          </w:tcPr>
          <w:p>
            <w:r>
              <w:t>Manipulação de dados</w:t>
            </w:r>
          </w:p>
        </w:tc>
        <w:tc>
          <w:tcPr>
            <w:tcW w:type="dxa" w:w="2880"/>
          </w:tcPr>
          <w:p>
            <w:r>
              <w:t>Leitura da planilha, operações matriciais, estatísticas descritivas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PLSRegression, RandomForestRegressor, SVR, Ridge, GroupKFold, StandardScaler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Pré-processamento</w:t>
            </w:r>
          </w:p>
        </w:tc>
        <w:tc>
          <w:tcPr>
            <w:tcW w:type="dxa" w:w="2880"/>
          </w:tcPr>
          <w:p>
            <w:r>
              <w:t>savgol_filter (Savitzky-Golay), pearsonr, f_oneway, estatística</w:t>
            </w:r>
          </w:p>
        </w:tc>
      </w:tr>
      <w:tr>
        <w:tc>
          <w:tcPr>
            <w:tcW w:type="dxa" w:w="2880"/>
          </w:tcPr>
          <w:p>
            <w:r>
              <w:t>matplotlib / seaborn</w:t>
            </w:r>
          </w:p>
        </w:tc>
        <w:tc>
          <w:tcPr>
            <w:tcW w:type="dxa" w:w="2880"/>
          </w:tcPr>
          <w:p>
            <w:r>
              <w:t>Visualização</w:t>
            </w:r>
          </w:p>
        </w:tc>
        <w:tc>
          <w:tcPr>
            <w:tcW w:type="dxa" w:w="2880"/>
          </w:tcPr>
          <w:p>
            <w:r>
              <w:t>Gráficos de predição vs. real, loadings, boxplots, mapas de calor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Geração automatizada de relatórios em formato Word (.docx)</w:t>
            </w:r>
          </w:p>
        </w:tc>
      </w:tr>
      <w:tr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Versionamento</w:t>
            </w:r>
          </w:p>
        </w:tc>
        <w:tc>
          <w:tcPr>
            <w:tcW w:type="dxa" w:w="2880"/>
          </w:tcPr>
          <w:p>
            <w:r>
              <w:t>Controle de versão, colaboração e rastreabilidade das análises</w:t>
            </w:r>
          </w:p>
        </w:tc>
      </w:tr>
    </w:tbl>
    <w:p>
      <w:r>
        <w:br w:type="page"/>
      </w:r>
    </w:p>
    <w:p>
      <w:pPr>
        <w:pStyle w:val="Heading1"/>
      </w:pPr>
      <w:r>
        <w:t>Referências</w:t>
      </w:r>
    </w:p>
    <w:p>
      <w:pPr>
        <w:ind w:left="850" w:hanging="850"/>
      </w:pPr>
      <w:r>
        <w:rPr>
          <w:sz w:val="20"/>
        </w:rPr>
        <w:t>[1] Williams, P.C. (2001). Implementation of near-infrared technology. In: Williams, P.C., Norris, K.H. (eds.) Near-Infrared Technology in the Agricultural and Food Industries, 2nd ed. AACC International, St. Paul, MN, USA. pp. 145-169.</w:t>
      </w:r>
    </w:p>
    <w:p>
      <w:pPr>
        <w:ind w:left="850" w:hanging="850"/>
      </w:pPr>
      <w:r>
        <w:rPr>
          <w:sz w:val="20"/>
        </w:rPr>
        <w:t>[2] Barnes, R.J., Dhanoa, M.S., Lister, S.J. (1989). Standard normal variate transformation and de-trending of near-infrared diffuse reflectance spectra. Applied Spectroscopy, 43(5), 772-777.</w:t>
      </w:r>
    </w:p>
    <w:p>
      <w:pPr>
        <w:ind w:left="850" w:hanging="850"/>
      </w:pPr>
      <w:r>
        <w:rPr>
          <w:sz w:val="20"/>
        </w:rPr>
        <w:t>[3] Savitzky, A., Golay, M.J.E. (1964). Smoothing and differentiation of data by simplified least squares procedures. Analytical Chemistry, 36(8), 1627-1639.</w:t>
      </w:r>
    </w:p>
    <w:p>
      <w:pPr>
        <w:ind w:left="850" w:hanging="850"/>
      </w:pPr>
      <w:r>
        <w:rPr>
          <w:sz w:val="20"/>
        </w:rPr>
        <w:t>[4] Wold, S., Sjöström, M., Eriksson, L. (2001). PLS-regression: a basic tool of chemometrics. Chemometrics and Intelligent Laboratory Systems, 58(2), 109-130.</w:t>
      </w:r>
    </w:p>
    <w:p>
      <w:pPr>
        <w:ind w:left="850" w:hanging="850"/>
      </w:pPr>
      <w:r>
        <w:rPr>
          <w:sz w:val="20"/>
        </w:rPr>
        <w:t>[5] Næs, T., Isaksson, T., Fearn, T., Davies, T. (2002). A User-Friendly Guide to Multivariate Calibration and Classification. NIR Publications, Chichester, UK.</w:t>
      </w:r>
    </w:p>
    <w:p>
      <w:pPr>
        <w:ind w:left="850" w:hanging="850"/>
      </w:pPr>
      <w:r>
        <w:rPr>
          <w:sz w:val="20"/>
        </w:rPr>
        <w:t>[6] Rinnan, Å., van den Berg, F., Engelsen, S.B. (2009). Review of the most common pre-processing techniques for near-infrared spectra. Trends in Analytical Chemistry, 28(10), 1201-1222.</w:t>
      </w:r>
    </w:p>
    <w:p>
      <w:pPr>
        <w:ind w:left="850" w:hanging="850"/>
      </w:pPr>
      <w:r>
        <w:rPr>
          <w:sz w:val="20"/>
        </w:rPr>
        <w:t>[7] Nicolai, B.M., Beullens, K., Bobelyn, E., et al. (2007). Nondestructive measurement of fruit and vegetable quality by means of NIR spectroscopy: A review. Postharvest Biology and Technology, 46(2), 99-118.</w:t>
      </w:r>
    </w:p>
    <w:p>
      <w:pPr>
        <w:ind w:left="850" w:hanging="850"/>
      </w:pPr>
      <w:r>
        <w:rPr>
          <w:sz w:val="20"/>
        </w:rPr>
        <w:t>[8] Pasquini, C. (2018). Near infrared spectroscopy: A mature analytical technique with new perspectives — A review. Analytica Chimica Acta, 1026, 8-36.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