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Relatorio de Resultados</w:t>
      </w:r>
    </w:p>
    <w:p>
      <w:pPr>
        <w:jc w:val="center"/>
      </w:pPr>
      <w:r>
        <w:rPr>
          <w:color w:val="505050"/>
          <w:sz w:val="28"/>
        </w:rPr>
        <w:t>Predicao de Vitamina C (Vit. C) por Espectroscopia NIRS</w:t>
      </w:r>
    </w:p>
    <w:p/>
    <w:p>
      <w:pPr>
        <w:jc w:val="center"/>
      </w:pPr>
      <w:r>
        <w:rPr>
          <w:color w:val="787878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1. Descricao dos Dados</w:t>
      </w:r>
    </w:p>
    <w:p>
      <w:r>
        <w:rPr>
          <w:b/>
        </w:rPr>
        <w:t xml:space="preserve">Objetivo: </w:t>
      </w:r>
      <w:r>
        <w:t>Predizer o teor de vitamina C (Vit. C) de tomates utilizando espectros NIRS.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Amostras espectrais</w:t>
            </w:r>
          </w:p>
        </w:tc>
        <w:tc>
          <w:tcPr>
            <w:tcW w:type="dxa" w:w="4320"/>
          </w:tcPr>
          <w:p>
            <w:r>
              <w:t>45 frutos</w:t>
            </w:r>
          </w:p>
        </w:tc>
      </w:tr>
      <w:tr>
        <w:tc>
          <w:tcPr>
            <w:tcW w:type="dxa" w:w="4320"/>
          </w:tcPr>
          <w:p>
            <w:r>
              <w:t>Comprimentos de onda</w:t>
            </w:r>
          </w:p>
        </w:tc>
        <w:tc>
          <w:tcPr>
            <w:tcW w:type="dxa" w:w="4320"/>
          </w:tcPr>
          <w:p>
            <w:r>
              <w:t>4200 (400 a 2500 nm)</w:t>
            </w:r>
          </w:p>
        </w:tc>
      </w:tr>
      <w:tr>
        <w:tc>
          <w:tcPr>
            <w:tcW w:type="dxa" w:w="4320"/>
          </w:tcPr>
          <w:p>
            <w:r>
              <w:t>Parcelas (valores indep.)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Frutos por parcela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Vit. C (media +/- DP)</w:t>
            </w:r>
          </w:p>
        </w:tc>
        <w:tc>
          <w:tcPr>
            <w:tcW w:type="dxa" w:w="4320"/>
          </w:tcPr>
          <w:p>
            <w:r>
              <w:t>41.80 +/- 4.92</w:t>
            </w:r>
          </w:p>
        </w:tc>
      </w:tr>
      <w:tr>
        <w:tc>
          <w:tcPr>
            <w:tcW w:type="dxa" w:w="4320"/>
          </w:tcPr>
          <w:p>
            <w:r>
              <w:t>Amplitude Vit. C</w:t>
            </w:r>
          </w:p>
        </w:tc>
        <w:tc>
          <w:tcPr>
            <w:tcW w:type="dxa" w:w="4320"/>
          </w:tcPr>
          <w:p>
            <w:r>
              <w:t>[33.85, 45.93]</w:t>
            </w:r>
          </w:p>
        </w:tc>
      </w:tr>
    </w:tbl>
    <w:p>
      <w:r>
        <w:rPr>
          <w:b/>
        </w:rPr>
        <w:t xml:space="preserve">Pre-processamento: </w:t>
      </w:r>
      <w:r>
        <w:t>SNV, com ou sem derivada Savitzky-Golay.</w:t>
      </w:r>
    </w:p>
    <w:p>
      <w:pPr>
        <w:pStyle w:val="Heading1"/>
      </w:pPr>
      <w:r>
        <w:t>2. Correlacao Espectro-Vit. C</w:t>
      </w:r>
    </w:p>
    <w:p>
      <w:r>
        <w:t>Correlacao de Pearson (n=45).</w:t>
      </w:r>
    </w:p>
    <w:p>
      <w:r>
        <w:rPr>
          <w:b/>
        </w:rPr>
        <w:t>Correlacao maxima: |r| = 0.5927</w:t>
      </w:r>
      <w:r>
        <w:br/>
        <w:t>Correlacao media: 0.3895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Comprimento (nm)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 (Pearson)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2246.5</w:t>
            </w:r>
          </w:p>
        </w:tc>
        <w:tc>
          <w:tcPr>
            <w:tcW w:type="dxa" w:w="2880"/>
          </w:tcPr>
          <w:p>
            <w:r>
              <w:t>+0.5927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2247.0</w:t>
            </w:r>
          </w:p>
        </w:tc>
        <w:tc>
          <w:tcPr>
            <w:tcW w:type="dxa" w:w="2880"/>
          </w:tcPr>
          <w:p>
            <w:r>
              <w:t>+0.5927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2246.0</w:t>
            </w:r>
          </w:p>
        </w:tc>
        <w:tc>
          <w:tcPr>
            <w:tcW w:type="dxa" w:w="2880"/>
          </w:tcPr>
          <w:p>
            <w:r>
              <w:t>+0.5926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2247.5</w:t>
            </w:r>
          </w:p>
        </w:tc>
        <w:tc>
          <w:tcPr>
            <w:tcW w:type="dxa" w:w="2880"/>
          </w:tcPr>
          <w:p>
            <w:r>
              <w:t>+0.5926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2245.5</w:t>
            </w:r>
          </w:p>
        </w:tc>
        <w:tc>
          <w:tcPr>
            <w:tcW w:type="dxa" w:w="2880"/>
          </w:tcPr>
          <w:p>
            <w:r>
              <w:t>+0.5925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2248.0</w:t>
            </w:r>
          </w:p>
        </w:tc>
        <w:tc>
          <w:tcPr>
            <w:tcW w:type="dxa" w:w="2880"/>
          </w:tcPr>
          <w:p>
            <w:r>
              <w:t>+0.5924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2245.0</w:t>
            </w:r>
          </w:p>
        </w:tc>
        <w:tc>
          <w:tcPr>
            <w:tcW w:type="dxa" w:w="2880"/>
          </w:tcPr>
          <w:p>
            <w:r>
              <w:t>+0.5922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2248.5</w:t>
            </w:r>
          </w:p>
        </w:tc>
        <w:tc>
          <w:tcPr>
            <w:tcW w:type="dxa" w:w="2880"/>
          </w:tcPr>
          <w:p>
            <w:r>
              <w:t>+0.5922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2249.0</w:t>
            </w:r>
          </w:p>
        </w:tc>
        <w:tc>
          <w:tcPr>
            <w:tcW w:type="dxa" w:w="2880"/>
          </w:tcPr>
          <w:p>
            <w:r>
              <w:t>+0.5919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2244.5</w:t>
            </w:r>
          </w:p>
        </w:tc>
        <w:tc>
          <w:tcPr>
            <w:tcW w:type="dxa" w:w="2880"/>
          </w:tcPr>
          <w:p>
            <w:r>
              <w:t>+0.5919</w:t>
            </w:r>
          </w:p>
        </w:tc>
      </w:tr>
    </w:tbl>
    <w:p>
      <w:r>
        <w:t>Os comprimentos mais correlacionados estao no NIR medio (~2246 nm), regiao de absorcao de acidos organicos.</w:t>
      </w:r>
    </w:p>
    <w:p>
      <w:pPr>
        <w:pStyle w:val="Heading1"/>
      </w:pPr>
      <w:r>
        <w:t>3. Analise de Variancia (ANOVA)</w:t>
      </w:r>
    </w:p>
    <w:p>
      <w:r>
        <w:t>ANOVA Vit. C ~ Tratamento: F = 1.509, p = 0.2945</w:t>
      </w:r>
    </w:p>
    <w:p>
      <w:r>
        <w:rPr>
          <w:b/>
        </w:rPr>
        <w:t xml:space="preserve">Resultado: </w:t>
      </w:r>
      <w:r>
        <w:t>Nao ha diferenca significativa (p = 0.2945 &gt; 0,05).</w:t>
      </w:r>
    </w:p>
    <w:p>
      <w:pPr>
        <w:pStyle w:val="Heading1"/>
      </w:pPr>
      <w:r>
        <w:t>4. PCA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Var. Explicada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Var. Acumulada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r(PC, Vit.C)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70.23%</w:t>
            </w:r>
          </w:p>
        </w:tc>
        <w:tc>
          <w:tcPr>
            <w:tcW w:type="dxa" w:w="2160"/>
          </w:tcPr>
          <w:p>
            <w:r>
              <w:t>70.23%</w:t>
            </w:r>
          </w:p>
        </w:tc>
        <w:tc>
          <w:tcPr>
            <w:tcW w:type="dxa" w:w="2160"/>
          </w:tcPr>
          <w:p>
            <w:r>
              <w:t>0.4832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15.58%</w:t>
            </w:r>
          </w:p>
        </w:tc>
        <w:tc>
          <w:tcPr>
            <w:tcW w:type="dxa" w:w="2160"/>
          </w:tcPr>
          <w:p>
            <w:r>
              <w:t>85.81%</w:t>
            </w:r>
          </w:p>
        </w:tc>
        <w:tc>
          <w:tcPr>
            <w:tcW w:type="dxa" w:w="2160"/>
          </w:tcPr>
          <w:p>
            <w:r>
              <w:t>-0.2614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6.57%</w:t>
            </w:r>
          </w:p>
        </w:tc>
        <w:tc>
          <w:tcPr>
            <w:tcW w:type="dxa" w:w="2160"/>
          </w:tcPr>
          <w:p>
            <w:r>
              <w:t>92.37%</w:t>
            </w:r>
          </w:p>
        </w:tc>
        <w:tc>
          <w:tcPr>
            <w:tcW w:type="dxa" w:w="2160"/>
          </w:tcPr>
          <w:p>
            <w:r>
              <w:t>0.2746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4.14%</w:t>
            </w:r>
          </w:p>
        </w:tc>
        <w:tc>
          <w:tcPr>
            <w:tcW w:type="dxa" w:w="2160"/>
          </w:tcPr>
          <w:p>
            <w:r>
              <w:t>96.52%</w:t>
            </w:r>
          </w:p>
        </w:tc>
        <w:tc>
          <w:tcPr>
            <w:tcW w:type="dxa" w:w="2160"/>
          </w:tcPr>
          <w:p>
            <w:r>
              <w:t>-0.0242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1.33%</w:t>
            </w:r>
          </w:p>
        </w:tc>
        <w:tc>
          <w:tcPr>
            <w:tcW w:type="dxa" w:w="2160"/>
          </w:tcPr>
          <w:p>
            <w:r>
              <w:t>97.84%</w:t>
            </w:r>
          </w:p>
        </w:tc>
        <w:tc>
          <w:tcPr>
            <w:tcW w:type="dxa" w:w="2160"/>
          </w:tcPr>
          <w:p>
            <w:r>
              <w:t>0.0375</w:t>
            </w:r>
          </w:p>
        </w:tc>
      </w:tr>
    </w:tbl>
    <w:p>
      <w:pPr>
        <w:pStyle w:val="Heading1"/>
      </w:pPr>
      <w:r>
        <w:t>5. Modelos de Machine Learning</w:t>
      </w:r>
    </w:p>
    <w:p>
      <w:pPr>
        <w:pStyle w:val="Heading2"/>
      </w:pPr>
      <w:r>
        <w:t>5.1. PLS (45 amostras, GroupKFold)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Qualidade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0.1993</w:t>
            </w:r>
          </w:p>
        </w:tc>
        <w:tc>
          <w:tcPr>
            <w:tcW w:type="dxa" w:w="1728"/>
          </w:tcPr>
          <w:p>
            <w:r>
              <w:t>4.4019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0.2358</w:t>
            </w:r>
          </w:p>
        </w:tc>
        <w:tc>
          <w:tcPr>
            <w:tcW w:type="dxa" w:w="1728"/>
          </w:tcPr>
          <w:p>
            <w:r>
              <w:t>4.3005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0.2017</w:t>
            </w:r>
          </w:p>
        </w:tc>
        <w:tc>
          <w:tcPr>
            <w:tcW w:type="dxa" w:w="1728"/>
          </w:tcPr>
          <w:p>
            <w:r>
              <w:t>4.3952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-0.1611</w:t>
            </w:r>
          </w:p>
        </w:tc>
        <w:tc>
          <w:tcPr>
            <w:tcW w:type="dxa" w:w="1728"/>
          </w:tcPr>
          <w:p>
            <w:r>
              <w:t>5.3007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-0.4157</w:t>
            </w:r>
          </w:p>
        </w:tc>
        <w:tc>
          <w:tcPr>
            <w:tcW w:type="dxa" w:w="1728"/>
          </w:tcPr>
          <w:p>
            <w:r>
              <w:t>5.8532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-0.2848</w:t>
            </w:r>
          </w:p>
        </w:tc>
        <w:tc>
          <w:tcPr>
            <w:tcW w:type="dxa" w:w="1728"/>
          </w:tcPr>
          <w:p>
            <w:r>
              <w:t>5.5760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</w:tbl>
    <w:p>
      <w:r>
        <w:rPr>
          <w:b/>
        </w:rPr>
        <w:t>Melhor: PLS(2) R2=0.236, RMSE=4.3005, RPD=1.14 (Fraco).</w:t>
      </w:r>
    </w:p>
    <w:p>
      <w:pPr>
        <w:pStyle w:val="Heading2"/>
      </w:pPr>
      <w:r>
        <w:t>5.2. PLS + Derivada (SG)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0.2633</w:t>
            </w:r>
          </w:p>
        </w:tc>
        <w:tc>
          <w:tcPr>
            <w:tcW w:type="dxa" w:w="2160"/>
          </w:tcPr>
          <w:p>
            <w:r>
              <w:t>4.2223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  <w:tc>
          <w:tcPr>
            <w:tcW w:type="dxa" w:w="2160"/>
          </w:tcPr>
          <w:p>
            <w:r>
              <w:t>4.7975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0.0128</w:t>
            </w:r>
          </w:p>
        </w:tc>
        <w:tc>
          <w:tcPr>
            <w:tcW w:type="dxa" w:w="2160"/>
          </w:tcPr>
          <w:p>
            <w:r>
              <w:t>4.8879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</w:tbl>
    <w:p>
      <w:pPr>
        <w:pStyle w:val="Heading2"/>
      </w:pPr>
      <w:r>
        <w:t>5.3. Medias por Parcela (n=9, LOOCV)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</w:tr>
      <w:tr>
        <w:tc>
          <w:tcPr>
            <w:tcW w:type="dxa" w:w="2160"/>
          </w:tcPr>
          <w:p>
            <w:r>
              <w:t>PLS(1)</w:t>
            </w:r>
          </w:p>
        </w:tc>
        <w:tc>
          <w:tcPr>
            <w:tcW w:type="dxa" w:w="2160"/>
          </w:tcPr>
          <w:p>
            <w:r>
              <w:t>-0.1113</w:t>
            </w:r>
          </w:p>
        </w:tc>
        <w:tc>
          <w:tcPr>
            <w:tcW w:type="dxa" w:w="2160"/>
          </w:tcPr>
          <w:p>
            <w:r>
              <w:t>5.1858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</w:tr>
      <w:tr>
        <w:tc>
          <w:tcPr>
            <w:tcW w:type="dxa" w:w="2160"/>
          </w:tcPr>
          <w:p>
            <w:r>
              <w:t>PLS(2)</w:t>
            </w:r>
          </w:p>
        </w:tc>
        <w:tc>
          <w:tcPr>
            <w:tcW w:type="dxa" w:w="2160"/>
          </w:tcPr>
          <w:p>
            <w:r>
              <w:t>-0.0229</w:t>
            </w:r>
          </w:p>
        </w:tc>
        <w:tc>
          <w:tcPr>
            <w:tcW w:type="dxa" w:w="2160"/>
          </w:tcPr>
          <w:p>
            <w:r>
              <w:t>4.9753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</w:tr>
      <w:tr>
        <w:tc>
          <w:tcPr>
            <w:tcW w:type="dxa" w:w="2160"/>
          </w:tcPr>
          <w:p>
            <w:r>
              <w:t>Ridge(a=0.1)</w:t>
            </w:r>
          </w:p>
        </w:tc>
        <w:tc>
          <w:tcPr>
            <w:tcW w:type="dxa" w:w="2160"/>
          </w:tcPr>
          <w:p>
            <w:r>
              <w:t>-3.8062</w:t>
            </w:r>
          </w:p>
        </w:tc>
        <w:tc>
          <w:tcPr>
            <w:tcW w:type="dxa" w:w="2160"/>
          </w:tcPr>
          <w:p>
            <w:r>
              <w:t>10.7848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</w:tr>
      <w:tr>
        <w:tc>
          <w:tcPr>
            <w:tcW w:type="dxa" w:w="2160"/>
          </w:tcPr>
          <w:p>
            <w:r>
              <w:t>OLS</w:t>
            </w:r>
          </w:p>
        </w:tc>
        <w:tc>
          <w:tcPr>
            <w:tcW w:type="dxa" w:w="2160"/>
          </w:tcPr>
          <w:p>
            <w:r>
              <w:t>-3.8414</w:t>
            </w:r>
          </w:p>
        </w:tc>
        <w:tc>
          <w:tcPr>
            <w:tcW w:type="dxa" w:w="2160"/>
          </w:tcPr>
          <w:p>
            <w:r>
              <w:t>10.8242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</w:tr>
    </w:tbl>
    <w:p>
      <w:pPr>
        <w:pStyle w:val="Heading1"/>
      </w:pPr>
      <w:r>
        <w:t>6. Graficos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c_resultados_graf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(a) Espectros brutos; (b) Correlacao; (c) PCA; (d) LOOCV.</w:t>
      </w:r>
    </w:p>
    <w:p>
      <w:pPr>
        <w:pStyle w:val="Heading1"/>
      </w:pPr>
      <w:r>
        <w:t>7. Conclusao</w:t>
      </w:r>
    </w:p>
    <w:p>
      <w:r>
        <w:t>A predicao de Vitamina C por NIRS apresentou resultados insatisfatorios.</w:t>
      </w:r>
    </w:p>
    <w:p>
      <w:r>
        <w:t>PLS(2): R2=0.236, RPD=1.14 (Fraco).</w:t>
      </w:r>
    </w:p>
    <w:p>
      <w:r>
        <w:t>Correlacao maxima |r| = 0.593, ANOVA p=0.2945 (N.S.).</w:t>
      </w:r>
    </w:p>
    <w:p/>
    <w:p>
      <w:r>
        <w:rPr>
          <w:b/>
        </w:rPr>
        <w:t>Comparacao entre parametros: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 (PLS)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RPD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|r|</w:t>
            </w:r>
          </w:p>
        </w:tc>
      </w:tr>
      <w:tr>
        <w:tc>
          <w:tcPr>
            <w:tcW w:type="dxa" w:w="2160"/>
          </w:tcPr>
          <w:p>
            <w:r>
              <w:t>AT</w:t>
            </w:r>
          </w:p>
        </w:tc>
        <w:tc>
          <w:tcPr>
            <w:tcW w:type="dxa" w:w="2160"/>
          </w:tcPr>
          <w:p>
            <w:r>
              <w:t>0,093</w:t>
            </w:r>
          </w:p>
        </w:tc>
        <w:tc>
          <w:tcPr>
            <w:tcW w:type="dxa" w:w="2160"/>
          </w:tcPr>
          <w:p>
            <w:r>
              <w:t>1,05</w:t>
            </w:r>
          </w:p>
        </w:tc>
        <w:tc>
          <w:tcPr>
            <w:tcW w:type="dxa" w:w="2160"/>
          </w:tcPr>
          <w:p>
            <w:r>
              <w:t>0,464</w:t>
            </w:r>
          </w:p>
        </w:tc>
      </w:tr>
      <w:tr>
        <w:tc>
          <w:tcPr>
            <w:tcW w:type="dxa" w:w="2160"/>
          </w:tcPr>
          <w:p>
            <w:r>
              <w:t>Vit. C</w:t>
            </w:r>
          </w:p>
        </w:tc>
        <w:tc>
          <w:tcPr>
            <w:tcW w:type="dxa" w:w="2160"/>
          </w:tcPr>
          <w:p>
            <w:r>
              <w:t>0.236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</w:tr>
      <w:tr>
        <w:tc>
          <w:tcPr>
            <w:tcW w:type="dxa" w:w="2160"/>
          </w:tcPr>
          <w:p>
            <w:r>
              <w:t>Firm</w:t>
            </w:r>
          </w:p>
        </w:tc>
        <w:tc>
          <w:tcPr>
            <w:tcW w:type="dxa" w:w="2160"/>
          </w:tcPr>
          <w:p>
            <w:r>
              <w:t>0,765</w:t>
            </w:r>
          </w:p>
        </w:tc>
        <w:tc>
          <w:tcPr>
            <w:tcW w:type="dxa" w:w="2160"/>
          </w:tcPr>
          <w:p>
            <w:r>
              <w:t>2,06</w:t>
            </w:r>
          </w:p>
        </w:tc>
        <w:tc>
          <w:tcPr>
            <w:tcW w:type="dxa" w:w="2160"/>
          </w:tcPr>
          <w:p>
            <w:r>
              <w:t>0,890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