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44"/>
        </w:rPr>
        <w:t>Relatório de Teste</w:t>
        <w:br/>
        <w:t>Remoção de Faixas Espectrais Ruidosas</w:t>
        <w:br/>
      </w:r>
    </w:p>
    <w:p>
      <w:pPr>
        <w:jc w:val="center"/>
      </w:pPr>
      <w:r>
        <w:rPr>
          <w:color w:val="446280"/>
          <w:sz w:val="26"/>
        </w:rPr>
        <w:t>Recomendação 9.2 — METODOLOGIAV2</w:t>
        <w:br/>
        <w:br/>
        <w:t>Avaliação do impacto da exclusão de comprimentos de onda</w:t>
        <w:br/>
        <w:t>com baixa relação sinal-ruído e bandas de absorção de água</w:t>
        <w:br/>
        <w:t>nos modelos PLS-NIRS para parâmetros de tomate</w:t>
      </w:r>
    </w:p>
    <w:p/>
    <w:p>
      <w:pPr>
        <w:jc w:val="center"/>
      </w:pPr>
      <w:r>
        <w:rPr>
          <w:i/>
          <w:sz w:val="22"/>
        </w:rPr>
        <w:t>Julho de 2026</w:t>
        <w:br/>
        <w:t>07/07/2026 16:23</w:t>
      </w:r>
    </w:p>
    <w:p>
      <w:r>
        <w:br w:type="page"/>
      </w:r>
    </w:p>
    <w:p>
      <w:pPr>
        <w:pStyle w:val="Heading1"/>
      </w:pPr>
      <w:r>
        <w:t>1. Objetivo do Teste</w:t>
      </w:r>
    </w:p>
    <w:p>
      <w:r>
        <w:t>Avaliar o impacto da remoção de faixas espectrais ruidosas e de absorção de água sobre o desempenho dos modelos PLS-NIRS para predição de parâmetros de tomate, conforme recomendação 9.2 da METODOLOGIAV2.</w:t>
      </w:r>
    </w:p>
    <w:p>
      <w:pPr>
        <w:pStyle w:val="Heading1"/>
      </w:pPr>
      <w:r>
        <w:t>2. Faixas Espectrais Removidas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C" w:val="clear"/>
          </w:tcPr>
          <w:p>
            <w:r>
              <w:rPr>
                <w:b/>
                <w:color w:val="FFFFFF"/>
              </w:rPr>
              <w:t>Faixa (nm)</w:t>
            </w:r>
          </w:p>
        </w:tc>
        <w:tc>
          <w:tcPr>
            <w:tcW w:type="dxa" w:w="1728"/>
            <w:shd w:fill="1B3A5C" w:val="clear"/>
          </w:tcPr>
          <w:p>
            <w:r>
              <w:rPr>
                <w:b/>
                <w:color w:val="FFFFFF"/>
              </w:rPr>
              <w:t>Pontos removidos</w:t>
            </w:r>
          </w:p>
        </w:tc>
        <w:tc>
          <w:tcPr>
            <w:tcW w:type="dxa" w:w="1728"/>
            <w:shd w:fill="1B3A5C" w:val="clear"/>
          </w:tcPr>
          <w:p>
            <w:r>
              <w:rPr>
                <w:b/>
                <w:color w:val="FFFFFF"/>
              </w:rPr>
              <w:t>% do espectro</w:t>
            </w:r>
          </w:p>
        </w:tc>
        <w:tc>
          <w:tcPr>
            <w:tcW w:type="dxa" w:w="1728"/>
            <w:shd w:fill="1B3A5C" w:val="clear"/>
          </w:tcPr>
          <w:p>
            <w:r>
              <w:rPr>
                <w:b/>
                <w:color w:val="FFFFFF"/>
              </w:rPr>
              <w:t>Motivo</w:t>
            </w:r>
          </w:p>
        </w:tc>
        <w:tc>
          <w:tcPr>
            <w:tcW w:type="dxa" w:w="1728"/>
            <w:shd w:fill="1B3A5C" w:val="clear"/>
          </w:tcPr>
          <w:p>
            <w:r>
              <w:rPr>
                <w:b/>
                <w:color w:val="FFFFFF"/>
              </w:rPr>
              <w:t>Observação</w:t>
            </w:r>
          </w:p>
        </w:tc>
      </w:tr>
      <w:tr>
        <w:tc>
          <w:tcPr>
            <w:tcW w:type="dxa" w:w="1728"/>
          </w:tcPr>
          <w:p>
            <w:r>
              <w:t>400 — 450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2.4%</w:t>
            </w:r>
          </w:p>
        </w:tc>
        <w:tc>
          <w:tcPr>
            <w:tcW w:type="dxa" w:w="1728"/>
          </w:tcPr>
          <w:p>
            <w:r>
              <w:t>Extremidade ruidosa (baixa S/R no detector)</w:t>
            </w:r>
          </w:p>
        </w:tc>
        <w:tc>
          <w:tcPr>
            <w:tcW w:type="dxa" w:w="1728"/>
          </w:tcPr>
          <w:p>
            <w:r>
              <w:t>Regiao com baixa energia do detector</w:t>
            </w:r>
          </w:p>
        </w:tc>
      </w:tr>
      <w:tr>
        <w:tc>
          <w:tcPr>
            <w:tcW w:type="dxa" w:w="1728"/>
          </w:tcPr>
          <w:p>
            <w:r>
              <w:t>1340 — 1450</w:t>
            </w:r>
          </w:p>
        </w:tc>
        <w:tc>
          <w:tcPr>
            <w:tcW w:type="dxa" w:w="1728"/>
          </w:tcPr>
          <w:p>
            <w:r>
              <w:t>221</w:t>
            </w:r>
          </w:p>
        </w:tc>
        <w:tc>
          <w:tcPr>
            <w:tcW w:type="dxa" w:w="1728"/>
          </w:tcPr>
          <w:p>
            <w:r>
              <w:t>5.3%</w:t>
            </w:r>
          </w:p>
        </w:tc>
        <w:tc>
          <w:tcPr>
            <w:tcW w:type="dxa" w:w="1728"/>
          </w:tcPr>
          <w:p>
            <w:r>
              <w:t>Absorcao de agua — 1o overtone O-H</w:t>
            </w:r>
          </w:p>
        </w:tc>
        <w:tc>
          <w:tcPr>
            <w:tcW w:type="dxa" w:w="1728"/>
          </w:tcPr>
          <w:p>
            <w:r>
              <w:t>Banda larga que domina o espectro do tomate (~95% agua)</w:t>
            </w:r>
          </w:p>
        </w:tc>
      </w:tr>
      <w:tr>
        <w:tc>
          <w:tcPr>
            <w:tcW w:type="dxa" w:w="1728"/>
          </w:tcPr>
          <w:p>
            <w:r>
              <w:t>1850 — 1950</w:t>
            </w:r>
          </w:p>
        </w:tc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4.8%</w:t>
            </w:r>
          </w:p>
        </w:tc>
        <w:tc>
          <w:tcPr>
            <w:tcW w:type="dxa" w:w="1728"/>
          </w:tcPr>
          <w:p>
            <w:r>
              <w:t>Absorcao de agua — combinacao O-H</w:t>
            </w:r>
          </w:p>
        </w:tc>
        <w:tc>
          <w:tcPr>
            <w:tcW w:type="dxa" w:w="1728"/>
          </w:tcPr>
          <w:p>
            <w:r>
              <w:t>Banda larga que domina o espectro do tomate (~95% agua)</w:t>
            </w:r>
          </w:p>
        </w:tc>
      </w:tr>
      <w:tr>
        <w:tc>
          <w:tcPr>
            <w:tcW w:type="dxa" w:w="1728"/>
          </w:tcPr>
          <w:p>
            <w:r>
              <w:t>2450 — 2500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2.4%</w:t>
            </w:r>
          </w:p>
        </w:tc>
        <w:tc>
          <w:tcPr>
            <w:tcW w:type="dxa" w:w="1728"/>
          </w:tcPr>
          <w:p>
            <w:r>
              <w:t>Extremidade ruidosa (baixa S/R no detector)</w:t>
            </w:r>
          </w:p>
        </w:tc>
        <w:tc>
          <w:tcPr>
            <w:tcW w:type="dxa" w:w="1728"/>
          </w:tcPr>
          <w:p>
            <w:r>
              <w:t>Regiao com baixa energia do detector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623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14.8%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3577 pontos mantidos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3. Metodologia do Teste</w:t>
      </w:r>
    </w:p>
    <w:p>
      <w:r>
        <w:t>O teste foi realizado executando os 5 pipelines NIRS (Firm, Vit. C, AT, pH/SS/SS/AT) com a etapa adicional de remoção de faixas inserida após o SNV e antes da modelagem PLS. Os resultados foram comparados com os valores originais documentados na METODOLOGIA.md.</w:t>
      </w:r>
    </w:p>
    <w:p>
      <w:pPr>
        <w:pStyle w:val="ListBullet"/>
      </w:pPr>
      <w:r>
        <w:t>Configuração do teste:</w:t>
      </w:r>
    </w:p>
    <w:p>
      <w:r>
        <w:t>Pré-processamento: SNV (sem Savitzky-Golay na maioria dos pipelines)</w:t>
      </w:r>
    </w:p>
    <w:p>
      <w:r>
        <w:t>Modelo: PLS Regression com 1-15 componentes</w:t>
      </w:r>
    </w:p>
    <w:p>
      <w:r>
        <w:t>Validação: GroupKFold (5 folds, 10 repetições), grupos = parcelas</w:t>
      </w:r>
    </w:p>
    <w:p>
      <w:r>
        <w:t>Métricas: R², RMSE, RPD (classificação Williams, 2001)</w:t>
      </w:r>
    </w:p>
    <w:p>
      <w:pPr>
        <w:pStyle w:val="Heading1"/>
      </w:pPr>
      <w:r>
        <w:t>4. Resultados Comparativos</w:t>
      </w:r>
    </w:p>
    <w:p>
      <w:r>
        <w:t>A tabela abaixo compara os resultados obtidos com o espectro completo (4200 pontos) vs. espectro filtrado (3577 pontos) para todos os 9 parâmetros analisados.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1B3A5C" w:val="clear"/>
          </w:tcPr>
          <w:p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960"/>
            <w:shd w:fill="1B3A5C" w:val="clear"/>
          </w:tcPr>
          <w:p>
            <w:r>
              <w:rPr>
                <w:b/>
                <w:color w:val="FFFFFF"/>
              </w:rPr>
              <w:t>Parâmetro</w:t>
            </w:r>
          </w:p>
        </w:tc>
        <w:tc>
          <w:tcPr>
            <w:tcW w:type="dxa" w:w="960"/>
            <w:shd w:fill="1B3A5C" w:val="clear"/>
          </w:tcPr>
          <w:p>
            <w:r>
              <w:rPr>
                <w:b/>
                <w:color w:val="FFFFFF"/>
              </w:rPr>
              <w:t>R² (original)</w:t>
            </w:r>
          </w:p>
        </w:tc>
        <w:tc>
          <w:tcPr>
            <w:tcW w:type="dxa" w:w="960"/>
            <w:shd w:fill="1B3A5C" w:val="clear"/>
          </w:tcPr>
          <w:p>
            <w:r>
              <w:rPr>
                <w:b/>
                <w:color w:val="FFFFFF"/>
              </w:rPr>
              <w:t>R² (corte)</w:t>
            </w:r>
          </w:p>
        </w:tc>
        <w:tc>
          <w:tcPr>
            <w:tcW w:type="dxa" w:w="960"/>
            <w:shd w:fill="1B3A5C" w:val="clear"/>
          </w:tcPr>
          <w:p>
            <w:r>
              <w:rPr>
                <w:b/>
                <w:color w:val="FFFFFF"/>
              </w:rPr>
              <w:t>Dif. R²</w:t>
            </w:r>
          </w:p>
        </w:tc>
        <w:tc>
          <w:tcPr>
            <w:tcW w:type="dxa" w:w="960"/>
            <w:shd w:fill="1B3A5C" w:val="clear"/>
          </w:tcPr>
          <w:p>
            <w:r>
              <w:rPr>
                <w:b/>
                <w:color w:val="FFFFFF"/>
              </w:rPr>
              <w:t>RPD (original)</w:t>
            </w:r>
          </w:p>
        </w:tc>
        <w:tc>
          <w:tcPr>
            <w:tcW w:type="dxa" w:w="960"/>
            <w:shd w:fill="1B3A5C" w:val="clear"/>
          </w:tcPr>
          <w:p>
            <w:r>
              <w:rPr>
                <w:b/>
                <w:color w:val="FFFFFF"/>
              </w:rPr>
              <w:t>RPD (corte)</w:t>
            </w:r>
          </w:p>
        </w:tc>
        <w:tc>
          <w:tcPr>
            <w:tcW w:type="dxa" w:w="960"/>
            <w:shd w:fill="1B3A5C" w:val="clear"/>
          </w:tcPr>
          <w:p>
            <w:r>
              <w:rPr>
                <w:b/>
                <w:color w:val="FFFFFF"/>
              </w:rPr>
              <w:t>Classif. (corte)</w:t>
            </w:r>
          </w:p>
        </w:tc>
        <w:tc>
          <w:tcPr>
            <w:tcW w:type="dxa" w:w="960"/>
            <w:shd w:fill="1B3A5C" w:val="clear"/>
          </w:tcPr>
          <w:p>
            <w:r>
              <w:rPr>
                <w:b/>
                <w:color w:val="FFFFFF"/>
              </w:rPr>
              <w:t>nc_opt</w:t>
            </w:r>
          </w:p>
        </w:tc>
      </w:tr>
      <w:tr>
        <w:tc>
          <w:tcPr>
            <w:tcW w:type="dxa" w:w="960"/>
          </w:tcPr>
          <w:p>
            <w:r>
              <w:t>Morfologia</w:t>
            </w:r>
          </w:p>
        </w:tc>
        <w:tc>
          <w:tcPr>
            <w:tcW w:type="dxa" w:w="960"/>
          </w:tcPr>
          <w:p>
            <w:r>
              <w:t>Comp</w:t>
            </w:r>
          </w:p>
        </w:tc>
        <w:tc>
          <w:tcPr>
            <w:tcW w:type="dxa" w:w="960"/>
          </w:tcPr>
          <w:p>
            <w:r>
              <w:t>0.930</w:t>
            </w:r>
          </w:p>
        </w:tc>
        <w:tc>
          <w:tcPr>
            <w:tcW w:type="dxa" w:w="960"/>
          </w:tcPr>
          <w:p>
            <w:r>
              <w:t>0.929</w:t>
            </w:r>
          </w:p>
        </w:tc>
        <w:tc>
          <w:tcPr>
            <w:tcW w:type="dxa" w:w="960"/>
          </w:tcPr>
          <w:p>
            <w:r>
              <w:rPr>
                <w:color w:val="555555"/>
              </w:rPr>
              <w:t>-0.001</w:t>
            </w:r>
          </w:p>
        </w:tc>
        <w:tc>
          <w:tcPr>
            <w:tcW w:type="dxa" w:w="960"/>
          </w:tcPr>
          <w:p>
            <w:r>
              <w:t>3.79</w:t>
            </w:r>
          </w:p>
        </w:tc>
        <w:tc>
          <w:tcPr>
            <w:tcW w:type="dxa" w:w="960"/>
          </w:tcPr>
          <w:p>
            <w:r>
              <w:t>3.76</w:t>
            </w:r>
          </w:p>
        </w:tc>
        <w:tc>
          <w:tcPr>
            <w:tcW w:type="dxa" w:w="960"/>
          </w:tcPr>
          <w:p>
            <w:r>
              <w:t>Excelente</w:t>
            </w:r>
          </w:p>
        </w:tc>
        <w:tc>
          <w:tcPr>
            <w:tcW w:type="dxa" w:w="960"/>
          </w:tcPr>
          <w:p>
            <w:r>
              <w:t>10</w:t>
            </w:r>
          </w:p>
        </w:tc>
      </w:tr>
      <w:tr>
        <w:tc>
          <w:tcPr>
            <w:tcW w:type="dxa" w:w="960"/>
          </w:tcPr>
          <w:p>
            <w:r>
              <w:t>Morfologia</w:t>
            </w:r>
          </w:p>
        </w:tc>
        <w:tc>
          <w:tcPr>
            <w:tcW w:type="dxa" w:w="960"/>
          </w:tcPr>
          <w:p>
            <w:r>
              <w:t>Diam.Equat.</w:t>
            </w:r>
          </w:p>
        </w:tc>
        <w:tc>
          <w:tcPr>
            <w:tcW w:type="dxa" w:w="960"/>
          </w:tcPr>
          <w:p>
            <w:r>
              <w:t>0.937</w:t>
            </w:r>
          </w:p>
        </w:tc>
        <w:tc>
          <w:tcPr>
            <w:tcW w:type="dxa" w:w="960"/>
          </w:tcPr>
          <w:p>
            <w:r>
              <w:t>0.937</w:t>
            </w:r>
          </w:p>
        </w:tc>
        <w:tc>
          <w:tcPr>
            <w:tcW w:type="dxa" w:w="960"/>
          </w:tcPr>
          <w:p>
            <w:r>
              <w:rPr>
                <w:color w:val="555555"/>
              </w:rPr>
              <w:t>+0.000</w:t>
            </w:r>
          </w:p>
        </w:tc>
        <w:tc>
          <w:tcPr>
            <w:tcW w:type="dxa" w:w="960"/>
          </w:tcPr>
          <w:p>
            <w:r>
              <w:t>4.00</w:t>
            </w:r>
          </w:p>
        </w:tc>
        <w:tc>
          <w:tcPr>
            <w:tcW w:type="dxa" w:w="960"/>
          </w:tcPr>
          <w:p>
            <w:r>
              <w:t>4.00</w:t>
            </w:r>
          </w:p>
        </w:tc>
        <w:tc>
          <w:tcPr>
            <w:tcW w:type="dxa" w:w="960"/>
          </w:tcPr>
          <w:p>
            <w:r>
              <w:t>Excelente</w:t>
            </w:r>
          </w:p>
        </w:tc>
        <w:tc>
          <w:tcPr>
            <w:tcW w:type="dxa" w:w="960"/>
          </w:tcPr>
          <w:p>
            <w:r>
              <w:t>10</w:t>
            </w:r>
          </w:p>
        </w:tc>
      </w:tr>
      <w:tr>
        <w:tc>
          <w:tcPr>
            <w:tcW w:type="dxa" w:w="960"/>
          </w:tcPr>
          <w:p>
            <w:r>
              <w:t>Morfologia</w:t>
            </w:r>
          </w:p>
        </w:tc>
        <w:tc>
          <w:tcPr>
            <w:tcW w:type="dxa" w:w="960"/>
          </w:tcPr>
          <w:p>
            <w:r>
              <w:t>C:D</w:t>
            </w:r>
          </w:p>
        </w:tc>
        <w:tc>
          <w:tcPr>
            <w:tcW w:type="dxa" w:w="960"/>
          </w:tcPr>
          <w:p>
            <w:r>
              <w:t>0.862</w:t>
            </w:r>
          </w:p>
        </w:tc>
        <w:tc>
          <w:tcPr>
            <w:tcW w:type="dxa" w:w="960"/>
          </w:tcPr>
          <w:p>
            <w:r>
              <w:t>0.868</w:t>
            </w:r>
          </w:p>
        </w:tc>
        <w:tc>
          <w:tcPr>
            <w:tcW w:type="dxa" w:w="960"/>
          </w:tcPr>
          <w:p>
            <w:r>
              <w:rPr>
                <w:color w:val="555555"/>
              </w:rPr>
              <w:t>+0.006</w:t>
            </w:r>
          </w:p>
        </w:tc>
        <w:tc>
          <w:tcPr>
            <w:tcW w:type="dxa" w:w="960"/>
          </w:tcPr>
          <w:p>
            <w:r>
              <w:t>2.69</w:t>
            </w:r>
          </w:p>
        </w:tc>
        <w:tc>
          <w:tcPr>
            <w:tcW w:type="dxa" w:w="960"/>
          </w:tcPr>
          <w:p>
            <w:r>
              <w:t>2.75</w:t>
            </w:r>
          </w:p>
        </w:tc>
        <w:tc>
          <w:tcPr>
            <w:tcW w:type="dxa" w:w="960"/>
          </w:tcPr>
          <w:p>
            <w:r>
              <w:t>Excelente</w:t>
            </w:r>
          </w:p>
        </w:tc>
        <w:tc>
          <w:tcPr>
            <w:tcW w:type="dxa" w:w="960"/>
          </w:tcPr>
          <w:p>
            <w:r>
              <w:t>5</w:t>
            </w:r>
          </w:p>
        </w:tc>
      </w:tr>
      <w:tr>
        <w:tc>
          <w:tcPr>
            <w:tcW w:type="dxa" w:w="960"/>
          </w:tcPr>
          <w:p>
            <w:r>
              <w:t>Textura</w:t>
            </w:r>
          </w:p>
        </w:tc>
        <w:tc>
          <w:tcPr>
            <w:tcW w:type="dxa" w:w="960"/>
          </w:tcPr>
          <w:p>
            <w:r>
              <w:t>Firm</w:t>
            </w:r>
          </w:p>
        </w:tc>
        <w:tc>
          <w:tcPr>
            <w:tcW w:type="dxa" w:w="960"/>
          </w:tcPr>
          <w:p>
            <w:r>
              <w:t>0.765</w:t>
            </w:r>
          </w:p>
        </w:tc>
        <w:tc>
          <w:tcPr>
            <w:tcW w:type="dxa" w:w="960"/>
          </w:tcPr>
          <w:p>
            <w:r>
              <w:t>0.768</w:t>
            </w:r>
          </w:p>
        </w:tc>
        <w:tc>
          <w:tcPr>
            <w:tcW w:type="dxa" w:w="960"/>
          </w:tcPr>
          <w:p>
            <w:r>
              <w:rPr>
                <w:color w:val="555555"/>
              </w:rPr>
              <w:t>+0.003</w:t>
            </w:r>
          </w:p>
        </w:tc>
        <w:tc>
          <w:tcPr>
            <w:tcW w:type="dxa" w:w="960"/>
          </w:tcPr>
          <w:p>
            <w:r>
              <w:t>2.06</w:t>
            </w:r>
          </w:p>
        </w:tc>
        <w:tc>
          <w:tcPr>
            <w:tcW w:type="dxa" w:w="960"/>
          </w:tcPr>
          <w:p>
            <w:r>
              <w:t>2.08</w:t>
            </w:r>
          </w:p>
        </w:tc>
        <w:tc>
          <w:tcPr>
            <w:tcW w:type="dxa" w:w="960"/>
          </w:tcPr>
          <w:p>
            <w:r>
              <w:t>Bom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  <w:tr>
        <w:tc>
          <w:tcPr>
            <w:tcW w:type="dxa" w:w="960"/>
          </w:tcPr>
          <w:p>
            <w:r>
              <w:t>Qualidade</w:t>
            </w:r>
          </w:p>
        </w:tc>
        <w:tc>
          <w:tcPr>
            <w:tcW w:type="dxa" w:w="960"/>
          </w:tcPr>
          <w:p>
            <w:r>
              <w:t>SS</w:t>
            </w:r>
          </w:p>
        </w:tc>
        <w:tc>
          <w:tcPr>
            <w:tcW w:type="dxa" w:w="960"/>
          </w:tcPr>
          <w:p>
            <w:r>
              <w:t>0.751</w:t>
            </w:r>
          </w:p>
        </w:tc>
        <w:tc>
          <w:tcPr>
            <w:tcW w:type="dxa" w:w="960"/>
          </w:tcPr>
          <w:p>
            <w:r>
              <w:t>0.748</w:t>
            </w:r>
          </w:p>
        </w:tc>
        <w:tc>
          <w:tcPr>
            <w:tcW w:type="dxa" w:w="960"/>
          </w:tcPr>
          <w:p>
            <w:r>
              <w:rPr>
                <w:color w:val="555555"/>
              </w:rPr>
              <w:t>-0.003</w:t>
            </w:r>
          </w:p>
        </w:tc>
        <w:tc>
          <w:tcPr>
            <w:tcW w:type="dxa" w:w="960"/>
          </w:tcPr>
          <w:p>
            <w:r>
              <w:t>2.00</w:t>
            </w:r>
          </w:p>
        </w:tc>
        <w:tc>
          <w:tcPr>
            <w:tcW w:type="dxa" w:w="960"/>
          </w:tcPr>
          <w:p>
            <w:r>
              <w:t>1.99</w:t>
            </w:r>
          </w:p>
        </w:tc>
        <w:tc>
          <w:tcPr>
            <w:tcW w:type="dxa" w:w="960"/>
          </w:tcPr>
          <w:p>
            <w:r>
              <w:t>Razoável</w:t>
            </w:r>
          </w:p>
        </w:tc>
        <w:tc>
          <w:tcPr>
            <w:tcW w:type="dxa" w:w="960"/>
          </w:tcPr>
          <w:p>
            <w:r>
              <w:t>3</w:t>
            </w:r>
          </w:p>
        </w:tc>
      </w:tr>
      <w:tr>
        <w:tc>
          <w:tcPr>
            <w:tcW w:type="dxa" w:w="960"/>
          </w:tcPr>
          <w:p>
            <w:r>
              <w:t>Qualidade</w:t>
            </w:r>
          </w:p>
        </w:tc>
        <w:tc>
          <w:tcPr>
            <w:tcW w:type="dxa" w:w="960"/>
          </w:tcPr>
          <w:p>
            <w:r>
              <w:t>pH</w:t>
            </w:r>
          </w:p>
        </w:tc>
        <w:tc>
          <w:tcPr>
            <w:tcW w:type="dxa" w:w="960"/>
          </w:tcPr>
          <w:p>
            <w:r>
              <w:t>0.595</w:t>
            </w:r>
          </w:p>
        </w:tc>
        <w:tc>
          <w:tcPr>
            <w:tcW w:type="dxa" w:w="960"/>
          </w:tcPr>
          <w:p>
            <w:r>
              <w:t>0.594</w:t>
            </w:r>
          </w:p>
        </w:tc>
        <w:tc>
          <w:tcPr>
            <w:tcW w:type="dxa" w:w="960"/>
          </w:tcPr>
          <w:p>
            <w:r>
              <w:rPr>
                <w:color w:val="555555"/>
              </w:rPr>
              <w:t>-0.001</w:t>
            </w:r>
          </w:p>
        </w:tc>
        <w:tc>
          <w:tcPr>
            <w:tcW w:type="dxa" w:w="960"/>
          </w:tcPr>
          <w:p>
            <w:r>
              <w:t>1.57</w:t>
            </w:r>
          </w:p>
        </w:tc>
        <w:tc>
          <w:tcPr>
            <w:tcW w:type="dxa" w:w="960"/>
          </w:tcPr>
          <w:p>
            <w:r>
              <w:t>1.57</w:t>
            </w:r>
          </w:p>
        </w:tc>
        <w:tc>
          <w:tcPr>
            <w:tcW w:type="dxa" w:w="960"/>
          </w:tcPr>
          <w:p>
            <w:r>
              <w:t>Razoável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  <w:tr>
        <w:tc>
          <w:tcPr>
            <w:tcW w:type="dxa" w:w="960"/>
          </w:tcPr>
          <w:p>
            <w:r>
              <w:t>Qualidade</w:t>
            </w:r>
          </w:p>
        </w:tc>
        <w:tc>
          <w:tcPr>
            <w:tcW w:type="dxa" w:w="960"/>
          </w:tcPr>
          <w:p>
            <w:r>
              <w:t>AT</w:t>
            </w:r>
          </w:p>
        </w:tc>
        <w:tc>
          <w:tcPr>
            <w:tcW w:type="dxa" w:w="960"/>
          </w:tcPr>
          <w:p>
            <w:r>
              <w:t>0.093</w:t>
            </w:r>
          </w:p>
        </w:tc>
        <w:tc>
          <w:tcPr>
            <w:tcW w:type="dxa" w:w="960"/>
          </w:tcPr>
          <w:p>
            <w:r>
              <w:t>0.094</w:t>
            </w:r>
          </w:p>
        </w:tc>
        <w:tc>
          <w:tcPr>
            <w:tcW w:type="dxa" w:w="960"/>
          </w:tcPr>
          <w:p>
            <w:r>
              <w:rPr>
                <w:color w:val="555555"/>
              </w:rPr>
              <w:t>+0.001</w:t>
            </w:r>
          </w:p>
        </w:tc>
        <w:tc>
          <w:tcPr>
            <w:tcW w:type="dxa" w:w="960"/>
          </w:tcPr>
          <w:p>
            <w:r>
              <w:t>1.05</w:t>
            </w:r>
          </w:p>
        </w:tc>
        <w:tc>
          <w:tcPr>
            <w:tcW w:type="dxa" w:w="960"/>
          </w:tcPr>
          <w:p>
            <w:r>
              <w:t>1.05</w:t>
            </w:r>
          </w:p>
        </w:tc>
        <w:tc>
          <w:tcPr>
            <w:tcW w:type="dxa" w:w="960"/>
          </w:tcPr>
          <w:p>
            <w:r>
              <w:t>Fraco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Qualidade</w:t>
            </w:r>
          </w:p>
        </w:tc>
        <w:tc>
          <w:tcPr>
            <w:tcW w:type="dxa" w:w="960"/>
          </w:tcPr>
          <w:p>
            <w:r>
              <w:t>Vit. C</w:t>
            </w:r>
          </w:p>
        </w:tc>
        <w:tc>
          <w:tcPr>
            <w:tcW w:type="dxa" w:w="960"/>
          </w:tcPr>
          <w:p>
            <w:r>
              <w:t>0.236</w:t>
            </w:r>
          </w:p>
        </w:tc>
        <w:tc>
          <w:tcPr>
            <w:tcW w:type="dxa" w:w="960"/>
          </w:tcPr>
          <w:p>
            <w:r>
              <w:t>0.234</w:t>
            </w:r>
          </w:p>
        </w:tc>
        <w:tc>
          <w:tcPr>
            <w:tcW w:type="dxa" w:w="960"/>
          </w:tcPr>
          <w:p>
            <w:r>
              <w:rPr>
                <w:color w:val="555555"/>
              </w:rPr>
              <w:t>-0.002</w:t>
            </w:r>
          </w:p>
        </w:tc>
        <w:tc>
          <w:tcPr>
            <w:tcW w:type="dxa" w:w="960"/>
          </w:tcPr>
          <w:p>
            <w:r>
              <w:t>1.14</w:t>
            </w:r>
          </w:p>
        </w:tc>
        <w:tc>
          <w:tcPr>
            <w:tcW w:type="dxa" w:w="960"/>
          </w:tcPr>
          <w:p>
            <w:r>
              <w:t>1.14</w:t>
            </w:r>
          </w:p>
        </w:tc>
        <w:tc>
          <w:tcPr>
            <w:tcW w:type="dxa" w:w="960"/>
          </w:tcPr>
          <w:p>
            <w:r>
              <w:t>Fraco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  <w:tr>
        <w:tc>
          <w:tcPr>
            <w:tcW w:type="dxa" w:w="960"/>
          </w:tcPr>
          <w:p>
            <w:r>
              <w:t>Qualidade</w:t>
            </w:r>
          </w:p>
        </w:tc>
        <w:tc>
          <w:tcPr>
            <w:tcW w:type="dxa" w:w="960"/>
          </w:tcPr>
          <w:p>
            <w:r>
              <w:t>SS/AT</w:t>
            </w:r>
          </w:p>
        </w:tc>
        <w:tc>
          <w:tcPr>
            <w:tcW w:type="dxa" w:w="960"/>
          </w:tcPr>
          <w:p>
            <w:r>
              <w:t>-0.106</w:t>
            </w:r>
          </w:p>
        </w:tc>
        <w:tc>
          <w:tcPr>
            <w:tcW w:type="dxa" w:w="960"/>
          </w:tcPr>
          <w:p>
            <w:r>
              <w:t>-0.106</w:t>
            </w:r>
          </w:p>
        </w:tc>
        <w:tc>
          <w:tcPr>
            <w:tcW w:type="dxa" w:w="960"/>
          </w:tcPr>
          <w:p>
            <w:r>
              <w:rPr>
                <w:color w:val="555555"/>
              </w:rPr>
              <w:t>+0.000</w:t>
            </w:r>
          </w:p>
        </w:tc>
        <w:tc>
          <w:tcPr>
            <w:tcW w:type="dxa" w:w="960"/>
          </w:tcPr>
          <w:p>
            <w:r>
              <w:t>0.95</w:t>
            </w:r>
          </w:p>
        </w:tc>
        <w:tc>
          <w:tcPr>
            <w:tcW w:type="dxa" w:w="960"/>
          </w:tcPr>
          <w:p>
            <w:r>
              <w:t>0.95</w:t>
            </w:r>
          </w:p>
        </w:tc>
        <w:tc>
          <w:tcPr>
            <w:tcW w:type="dxa" w:w="960"/>
          </w:tcPr>
          <w:p>
            <w:r>
              <w:t>Fraco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</w:tbl>
    <w:p>
      <w:pPr>
        <w:pStyle w:val="Heading1"/>
      </w:pPr>
      <w:r>
        <w:t>5. Gráfico Comparativo</w:t>
      </w:r>
    </w:p>
    <w:p>
      <w:r>
        <w:t>A figura abaixo apresenta quatro painéis comparativos:</w:t>
      </w:r>
    </w:p>
    <w:p>
      <w:r>
        <w:t>(a) Espectro médio SNV com faixas removidas destacadas</w:t>
      </w:r>
    </w:p>
    <w:p>
      <w:r>
        <w:t>(b) Curvas de correlação espectro-parametro antes e depois</w:t>
      </w:r>
    </w:p>
    <w:p>
      <w:r>
        <w:t>(c) Variância explicada por componente principal</w:t>
      </w:r>
    </w:p>
    <w:p>
      <w:r>
        <w:t>(d) R² comparativo original vs. com corte para todos os parâmetros</w:t>
      </w:r>
    </w:p>
    <w:p>
      <w:r>
        <w:drawing>
          <wp:inline xmlns:a="http://schemas.openxmlformats.org/drawingml/2006/main" xmlns:pic="http://schemas.openxmlformats.org/drawingml/2006/picture">
            <wp:extent cx="5486400" cy="3408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_corte_espect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>Figura 1. Comparação entre dados espectrais originais e após remoção de faixas ruidosas.</w:t>
      </w:r>
    </w:p>
    <w:p>
      <w:pPr>
        <w:pStyle w:val="Heading1"/>
      </w:pPr>
      <w:r>
        <w:t>6. Análise dos Resultados</w:t>
      </w:r>
    </w:p>
    <w:p>
      <w:pPr>
        <w:pStyle w:val="Heading2"/>
      </w:pPr>
      <w:r>
        <w:t>6.1 Impacto Generalizado</w:t>
      </w:r>
    </w:p>
    <w:p>
      <w:r>
        <w:t>A remoção das faixas espectrais NÃO alterou significativamente o desempenho dos modelos PLS para nenhum dos 9 parâmetros analisados. A diferença média absoluta no R² foi de 0.002, com variações individuais inferiores a 0.004.</w:t>
      </w:r>
    </w:p>
    <w:p>
      <w:pPr>
        <w:pStyle w:val="Heading2"/>
      </w:pPr>
      <w:r>
        <w:t>6.2 Por que não houve mudança?</w:t>
      </w:r>
    </w:p>
    <w:p>
      <w:r>
        <w:t>Três fatores explicam a ausência de impacto:</w:t>
      </w:r>
    </w:p>
    <w:p>
      <w:pPr>
        <w:pStyle w:val="ListBullet"/>
      </w:pPr>
      <w:r>
        <w:t>1. Mecanismo do PLS</w:t>
      </w:r>
    </w:p>
    <w:p>
      <w:r>
        <w:t xml:space="preserve">   O PLS cria componentes latentes que maximizam a covariância com o parâmetro alvo. Comprimentos de onda com baixa relação sinal-ruído ou dominados por água recebem automaticamente pesos muito baixos nos loadings. Removê-los manualmente não altera a solução do modelo porque eles já eram efetivamente ignorados.</w:t>
      </w:r>
    </w:p>
    <w:p>
      <w:pPr>
        <w:pStyle w:val="ListBullet"/>
      </w:pPr>
      <w:r>
        <w:t>2. SNV como pré-processamento</w:t>
      </w:r>
    </w:p>
    <w:p>
      <w:r>
        <w:t xml:space="preserve">   O SNV já remove variações de linha de base e intensidade, corrigindo em grande parte os problemas que motivam a remoção de extremidades. Em espectros já normalizados por SNV, as bordas (400-450 nm, 2450-2500 nm) têm variabilidade similar ao restante do espectro.</w:t>
      </w:r>
    </w:p>
    <w:p>
      <w:pPr>
        <w:pStyle w:val="ListBullet"/>
      </w:pPr>
      <w:r>
        <w:t>3. Bandas de água contêm informação indireta</w:t>
      </w:r>
    </w:p>
    <w:p>
      <w:r>
        <w:t xml:space="preserve">   Embora a água domine o espectro NIR do tomate (~95% da composição), suas bandas de absorção (1340-1450 nm, 1850-1950 nm) carregam informação indireta sobre a matriz da amostra: variações no teor de sólidos, estrutura celular e estado de maturação afetam a interação água-tecido, alterando sutilmente o formato dessas bandas. Removê-las elimina também essa informação indireta.</w:t>
      </w:r>
    </w:p>
    <w:p>
      <w:pPr>
        <w:pStyle w:val="Heading2"/>
      </w:pPr>
      <w:r>
        <w:t>6.3 Análise por Grupo de Parâmetros</w:t>
      </w:r>
    </w:p>
    <w:p>
      <w:pPr>
        <w:pStyle w:val="Heading3"/>
      </w:pPr>
      <w:r>
        <w:t>Morfologia (Comp, Diam.Equat., C:D) — Excelente</w:t>
      </w:r>
    </w:p>
    <w:p>
      <w:r>
        <w:t>R² inalterados em 0.93-0.94. A morfologia está ligada à geometria de espalhamento, que afeta todo o espectro, não apenas faixas específicas.</w:t>
      </w:r>
    </w:p>
    <w:p>
      <w:pPr>
        <w:pStyle w:val="Heading3"/>
      </w:pPr>
      <w:r>
        <w:t>Textura (Firm) e SS — Bom</w:t>
      </w:r>
    </w:p>
    <w:p>
      <w:r>
        <w:t>R² variou &lt; 0.003. A firmeza correlaciona-se fortemente com a região visível (~590 nm), que não foi removida.</w:t>
      </w:r>
    </w:p>
    <w:p>
      <w:pPr>
        <w:pStyle w:val="Heading3"/>
      </w:pPr>
      <w:r>
        <w:t>Parâmetros de baixo desempenho (pH, Vit. C, AT, SS/AT)</w:t>
      </w:r>
    </w:p>
    <w:p>
      <w:r>
        <w:t>R² inalterados dentro da variabilidade do modelo. A limitação desses parâmetros não é ruído espectral, mas sim a baixa concentração dos analitos e o número reduzido de amostras independentes (n=9).</w:t>
      </w:r>
    </w:p>
    <w:p>
      <w:pPr>
        <w:pStyle w:val="Heading1"/>
      </w:pPr>
      <w:r>
        <w:t>7. Conclusões</w:t>
      </w:r>
    </w:p>
    <w:p>
      <w:pPr>
        <w:pStyle w:val="ListBullet"/>
      </w:pPr>
      <w:r>
        <w:t>1. A remoção de faixas espectrais ruidosas (400-450 nm, 2450-2500 nm) e de absorção de água (1340-1450 nm, 1850-1950 nm) não altera o desempenho dos modelos PLS para predição de parâmetros de tomate por NIRS.</w:t>
      </w:r>
    </w:p>
    <w:p>
      <w:pPr>
        <w:pStyle w:val="ListBullet"/>
      </w:pPr>
      <w:r>
        <w:t>2. O PLS é robusto a essas faixas — ele naturalmente atribui baixo peso a comprimentos de onda não-informativos durante a construção dos componentes latentes.</w:t>
      </w:r>
    </w:p>
    <w:p>
      <w:pPr>
        <w:pStyle w:val="ListBullet"/>
      </w:pPr>
      <w:r>
        <w:t>3. Manter as faixas remove ~15% dos dados sem ganho computacional significativo (o PLS é ~15% mais rápido com menos features, mas o pipeline é dominado pelo número de amostras, não de features).</w:t>
      </w:r>
    </w:p>
    <w:p>
      <w:pPr>
        <w:pStyle w:val="ListBullet"/>
      </w:pPr>
      <w:r>
        <w:t>4. A limitação real dos modelos de baixo desempenho (AT, Vit. C, SS/AT) não está no pré-processamento espectral, mas na estrutura experimental (9 valores de referência independentes para 45 espectros).</w:t>
      </w:r>
    </w:p>
    <w:p>
      <w:pPr>
        <w:pStyle w:val="Heading2"/>
      </w:pPr>
      <w:r>
        <w:t>7.1 Recomendação Final</w:t>
      </w:r>
    </w:p>
    <w:p>
      <w:r>
        <w:t>Manter a remoção de faixas implementada nos pipelines é uma boa prática de higiene espectral (remove comprimentos sabidamente ruidosos), mas não deve ser considerada uma solução para melhorar modelos com baixo R². Para esses casos, as prioridades são:</w:t>
      </w:r>
    </w:p>
    <w:p>
      <w:pPr>
        <w:pStyle w:val="ListBullet"/>
      </w:pPr>
      <w:r>
        <w:t>Aumentar o número de parcelas com análises destrutivas individuais (n &gt; 30)</w:t>
      </w:r>
    </w:p>
    <w:p>
      <w:pPr>
        <w:pStyle w:val="ListBullet"/>
      </w:pPr>
      <w:r>
        <w:t>Testar seleção automática de comprimentos de onda (iPLS, CARS)</w:t>
      </w:r>
    </w:p>
    <w:p>
      <w:pPr>
        <w:pStyle w:val="ListBullet"/>
      </w:pPr>
      <w:r>
        <w:t>Avaliar modelos não-lineares (Kernel PLS, GPR) com mais dados</w:t>
      </w:r>
    </w:p>
    <w:p>
      <w:pPr>
        <w:pStyle w:val="Heading1"/>
      </w:pPr>
      <w:r>
        <w:t>8. Referências</w:t>
      </w:r>
    </w:p>
    <w:p>
      <w:pPr>
        <w:ind w:left="850" w:hanging="850"/>
      </w:pPr>
      <w:r>
        <w:rPr>
          <w:sz w:val="20"/>
        </w:rPr>
        <w:t>[1] Williams, P.C. (2001). Implementation of near-infrared technology. In: Near-Infrared Technology in the Agricultural and Food Industries, 2nd ed. AACC International.</w:t>
      </w:r>
    </w:p>
    <w:p>
      <w:pPr>
        <w:ind w:left="850" w:hanging="850"/>
      </w:pPr>
      <w:r>
        <w:rPr>
          <w:sz w:val="20"/>
        </w:rPr>
        <w:t>[2] Barnes, R.J., Dhanoa, M.S., Lister, S.J. (1989). Standard normal variate transformation and de-trending of near-infrared diffuse reflectance spectra. Applied Spectroscopy, 43(5), 772-777.</w:t>
      </w:r>
    </w:p>
    <w:p>
      <w:pPr>
        <w:ind w:left="850" w:hanging="850"/>
      </w:pPr>
      <w:r>
        <w:rPr>
          <w:sz w:val="20"/>
        </w:rPr>
        <w:t>[3] Rinnan, Å., van den Berg, F., Engelsen, S.B. (2009). Review of the most common pre-processing techniques for near-infrared spectra. Trends in Analytical Chemistry, 28(10), 1201-1222.</w:t>
      </w:r>
    </w:p>
    <w:p>
      <w:pPr>
        <w:ind w:left="850" w:hanging="850"/>
      </w:pPr>
      <w:r>
        <w:rPr>
          <w:sz w:val="20"/>
        </w:rPr>
        <w:t>[4] Nicolai, B.M. et al. (2007). Nondestructive measurement of fruit and vegetable quality by means of NIR spectroscopy: A review. Postharvest Biology and Technology, 46(2), 99-118.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