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Plataforma de Análisis de Google Ads — Especificación</w:t>
      </w:r>
    </w:p>
    <w:p>
      <w:pPr>
        <w:spacing w:after="120"/>
      </w:pPr>
      <w:r>
        <w:rPr>
          <w:i/>
          <w:iCs/>
          <w:color w:val="555555"/>
        </w:rPr>
        <w:t xml:space="preserve">Uso interno del equipo · cobertura objetivo: 100+ cuentas · tres funciones ya construidas y validadas: rendimiento, negativización de términos, y generador de copys desde URL.</w:t>
      </w:r>
    </w:p>
    <w:p>
      <w:pPr>
        <w:pStyle w:val="Heading1"/>
        <w:spacing w:after="150" w:before="300"/>
      </w:pPr>
      <w:r>
        <w:t xml:space="preserve">1. Objetivo</w:t>
      </w:r>
    </w:p>
    <w:p>
      <w:pPr>
        <w:spacing w:after="120"/>
      </w:pPr>
      <w:r>
        <w:t xml:space="preserve">Que cualquier persona del equipo suba el export de una cuenta de Google Ads, o simplemente pegue una URL, y reciba sin intervención manual: (1) gráficas de rendimiento y recomendaciones de optimización, (2) una lista de candidatos a palabra clave negativa, y (3) copys de anuncio (títulos y descripciones) listos para un anuncio de búsqueda responsivo — sin depender de que alguien lo haga a mano.</w:t>
      </w:r>
    </w:p>
    <w:p>
      <w:pPr>
        <w:pStyle w:val="Heading1"/>
        <w:spacing w:after="150" w:before="300"/>
      </w:pPr>
      <w:r>
        <w:t xml:space="preserve">2. Alcance</w:t>
      </w:r>
    </w:p>
    <w:p>
      <w:pPr>
        <w:pStyle w:val="Heading2"/>
        <w:spacing w:after="100" w:before="200"/>
      </w:pPr>
      <w:r>
        <w:t xml:space="preserve">Función 1 — Análisis de rendimiento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Carga de un archivo CSV/Excel de campañas por vez, por cuenta.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Resumen ejecutivo: gasto total, conversiones, CPA promedio de cuenta.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Gráficas: gasto por campaña, CPA por campaña (vs. promedio), CTR por campaña, impression share perdido (presupuesto vs. ranking).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Recomendaciones de optimización basadas en reglas/umbrales, priorizadas por % del gasto total que representa cada campaña.</w:t>
      </w:r>
    </w:p>
    <w:p>
      <w:pPr>
        <w:pStyle w:val="Heading2"/>
        <w:spacing w:after="100" w:before="200"/>
      </w:pPr>
      <w:r>
        <w:t xml:space="preserve">Función 2 — Negativización de términos de búsqueda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Carga del reporte de "Términos de búsqueda" de Google Ads (maneja el formato nativo: CSV en UTF-16 separado por tabs).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usuario define "términos núcleo" y, opcionalmente, "excepciones conocidas".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Clasificación de cada término en Mantener / Revisar (ambiguo) / Candidato a negativo.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Descarga de la lista de candidatos a negativo, lista para revisión humana — nunca se auto-publica.</w:t>
      </w:r>
    </w:p>
    <w:p>
      <w:pPr>
        <w:pStyle w:val="Heading2"/>
        <w:spacing w:after="100" w:before="200"/>
      </w:pPr>
      <w:r>
        <w:t xml:space="preserve">Función 3 — Generador de copys desde URL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usuario pega la URL de una página (landing, producto, categoría).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plataforma descarga la página, extrae señales de conversión (título, encabezados, CTAs, ofertas, marca) y genera 15 títulos (≤30 caracteres) y 10 descripciones (≤90 caracteres) para un anuncio de búsqueda responsivo (RSA).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texto se valida contra el límite real de caracteres de Google Ads antes de mostrarse — nunca se entrega uno que lo exceda.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Descarga de ambas listas en CSV.</w:t>
      </w:r>
    </w:p>
    <w:p>
      <w:pPr>
        <w:pStyle w:val="Heading2"/>
        <w:spacing w:after="100" w:before="200"/>
      </w:pPr>
      <w:r>
        <w:t xml:space="preserve">Fuera de alcance (backlog)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Persistencia histórica entre subidas (v1.1) — cada análisis es del archivo/URL que se procesa en el momento.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Autenticación / permisos por cuenta o cliente (v1.1) — necesario antes de exponerlo a 100+ personas en producción.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Generación de copy vía modelo de lenguaje (v3.1) — evaluado y descartado para esta versión por el costo/latencia de llamar a una API por cada URL a la escala de 100+ cuentas; ver sección 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Validación de las políticas de Google Ads sobre el contenido del copy (mayúsculas, superlativos, símbolos) — la plataforma valida longitud, no política.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Conexión directa a la API de Google Ads (v2+) — solo si el volumen de subidas manuales se vuelve un cuello de botella real.</w:t>
      </w:r>
    </w:p>
    <w:p>
      <w:pPr>
        <w:pStyle w:val="Heading1"/>
        <w:spacing w:after="150" w:before="300"/>
      </w:pPr>
      <w:r>
        <w:t xml:space="preserve">3. Usuarios y flujo</w:t>
      </w:r>
    </w:p>
    <w:p>
      <w:pPr>
        <w:spacing w:after="120"/>
      </w:pPr>
      <w:r>
        <w:t xml:space="preserve">El usuario (cualquier persona del equipo, sin necesidad de conocimiento técnico) sube el archivo correspondiente o pega una URL. La plataforma procesa los datos y muestra resultados en la misma pantalla — no hay paso intermedio de configuración manual, salvo escribir los términos núcleo/excepciones en la Función 2.</w:t>
      </w:r>
    </w:p>
    <w:p>
      <w:pPr>
        <w:pStyle w:val="Heading1"/>
        <w:spacing w:after="150" w:before="300"/>
      </w:pPr>
      <w:r>
        <w:t xml:space="preserve">4. Formato de archivo esperado</w:t>
      </w:r>
    </w:p>
    <w:p>
      <w:pPr>
        <w:pStyle w:val="Heading2"/>
        <w:spacing w:after="100" w:before="200"/>
      </w:pPr>
      <w:r>
        <w:t xml:space="preserve">Reporte de campañas (Función 1)</w:t>
      </w:r>
    </w:p>
    <w:p>
      <w:pPr>
        <w:spacing w:after="120"/>
      </w:pPr>
      <w:r>
        <w:t xml:space="preserve">El export debe ser a nivel de campaña. La plataforma reconoce encabezados en español e inglés y limpia automáticamente formatos como "$1,234.56" o "3.45%".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640"/>
      </w:tblGrid>
      <w:tr>
        <w:tc>
          <w:tcPr>
            <w:tcW w:type="dxa" w:w="32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Columna esperada</w:t>
            </w:r>
          </w:p>
        </w:tc>
        <w:tc>
          <w:tcPr>
            <w:tcW w:type="dxa" w:w="20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¿Obligatoria?</w:t>
            </w:r>
          </w:p>
        </w:tc>
        <w:tc>
          <w:tcPr>
            <w:tcW w:type="dxa" w:w="464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Uso en el análisis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Campaign / Campaña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4640"/>
          </w:tcPr>
          <w:p>
            <w:r>
              <w:rPr>
                <w:b w:val="false"/>
                <w:bCs w:val="false"/>
              </w:rPr>
              <w:t xml:space="preserve">Identifica cada fila; filas de "Total" se descartan automáticamente.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Campaign status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4640"/>
          </w:tcPr>
          <w:p>
            <w:r>
              <w:rPr>
                <w:b w:val="false"/>
                <w:bCs w:val="false"/>
              </w:rPr>
              <w:t xml:space="preserve">Se muestra como referencia (ej. pausada vs. activa).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Cost / Costo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4640"/>
          </w:tcPr>
          <w:p>
            <w:r>
              <w:rPr>
                <w:b w:val="false"/>
                <w:bCs w:val="false"/>
              </w:rPr>
              <w:t xml:space="preserve">Base para gasto total, share de gasto y CPA si no viene ya calculado.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Conversions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4640"/>
          </w:tcPr>
          <w:p>
            <w:r>
              <w:rPr>
                <w:b w:val="false"/>
                <w:bCs w:val="false"/>
              </w:rPr>
              <w:t xml:space="preserve">Base para CPA y tasa de conversión.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Cost / conv.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4640"/>
          </w:tcPr>
          <w:p>
            <w:r>
              <w:rPr>
                <w:b w:val="false"/>
                <w:bCs w:val="false"/>
              </w:rPr>
              <w:t xml:space="preserve">Se usa si viene en el export; si no, se calcula Cost / Conversions.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Impr. / Clicks / CTR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Recomendado</w:t>
            </w:r>
          </w:p>
        </w:tc>
        <w:tc>
          <w:tcPr>
            <w:tcW w:type="dxa" w:w="4640"/>
          </w:tcPr>
          <w:p>
            <w:r>
              <w:rPr>
                <w:b w:val="false"/>
                <w:bCs w:val="false"/>
              </w:rPr>
              <w:t xml:space="preserve">Base para la gráfica y alerta de CTR bajo.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Search Lost IS (budget)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Recomendado</w:t>
            </w:r>
          </w:p>
        </w:tc>
        <w:tc>
          <w:tcPr>
            <w:tcW w:type="dxa" w:w="4640"/>
          </w:tcPr>
          <w:p>
            <w:r>
              <w:rPr>
                <w:b w:val="false"/>
                <w:bCs w:val="false"/>
              </w:rPr>
              <w:t xml:space="preserve">Detecta campañas limitadas por presupuesto (oportunidad de crecer).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Search Lost IS (rank)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Recomendado</w:t>
            </w:r>
          </w:p>
        </w:tc>
        <w:tc>
          <w:tcPr>
            <w:tcW w:type="dxa" w:w="4640"/>
          </w:tcPr>
          <w:p>
            <w:r>
              <w:rPr>
                <w:b w:val="false"/>
                <w:bCs w:val="false"/>
              </w:rPr>
              <w:t xml:space="preserve">Detecta problemas de calidad/puja (ranking).</w:t>
            </w:r>
          </w:p>
        </w:tc>
      </w:tr>
    </w:tbl>
    <w:p>
      <w:pPr>
        <w:spacing w:after="150"/>
      </w:pPr>
    </w:p>
    <w:p>
      <w:pPr>
        <w:pStyle w:val="Heading2"/>
        <w:spacing w:after="100" w:before="200"/>
      </w:pPr>
      <w:r>
        <w:t xml:space="preserve">Reporte de términos de búsqueda (Función 2)</w:t>
      </w:r>
    </w:p>
    <w:p>
      <w:pPr>
        <w:spacing w:after="120"/>
      </w:pPr>
      <w:r>
        <w:t xml:space="preserve">Google Ads exporta este reporte como CSV en UTF-16 separado por tabs, con 2 líneas de título antes de los encabezados — la plataforma lo detecta automáticamente. También acepta CSV estándar en UTF-8 si el archivo viene de otra fuente.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640"/>
      </w:tblGrid>
      <w:tr>
        <w:tc>
          <w:tcPr>
            <w:tcW w:type="dxa" w:w="32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Columna esperada</w:t>
            </w:r>
          </w:p>
        </w:tc>
        <w:tc>
          <w:tcPr>
            <w:tcW w:type="dxa" w:w="20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¿Obligatoria?</w:t>
            </w:r>
          </w:p>
        </w:tc>
        <w:tc>
          <w:tcPr>
            <w:tcW w:type="dxa" w:w="464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Uso en la negativización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Término de búsqueda / Search term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4640"/>
          </w:tcPr>
          <w:p>
            <w:r>
              <w:rPr>
                <w:b w:val="false"/>
                <w:bCs w:val="false"/>
              </w:rPr>
              <w:t xml:space="preserve">El texto que se compara contra los términos núcleo y las excepciones.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Clics / Costo / Impr.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Recomendado</w:t>
            </w:r>
          </w:p>
        </w:tc>
        <w:tc>
          <w:tcPr>
            <w:tcW w:type="dxa" w:w="4640"/>
          </w:tcPr>
          <w:p>
            <w:r>
              <w:rPr>
                <w:b w:val="false"/>
                <w:bCs w:val="false"/>
              </w:rPr>
              <w:t xml:space="preserve">Para priorizar qué candidatos a negativo importan más (los de mayor gasto primero).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Agregadas/excluidas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4640"/>
          </w:tcPr>
          <w:p>
            <w:r>
              <w:rPr>
                <w:b w:val="false"/>
                <w:bCs w:val="false"/>
              </w:rPr>
              <w:t xml:space="preserve">Referencia de si el término ya tiene una acción previa en la cuenta.</w:t>
            </w:r>
          </w:p>
        </w:tc>
      </w:tr>
    </w:tbl>
    <w:p>
      <w:pPr>
        <w:spacing w:after="150"/>
      </w:pPr>
    </w:p>
    <w:p>
      <w:pPr>
        <w:pStyle w:val="Heading1"/>
        <w:spacing w:after="150" w:before="300"/>
      </w:pPr>
      <w:r>
        <w:t xml:space="preserve">5. Lógica de recomendaciones (Función 1)</w:t>
      </w:r>
    </w:p>
    <w:p>
      <w:pPr>
        <w:spacing w:after="120"/>
      </w:pPr>
      <w:r>
        <w:t xml:space="preserve">Sigue el orden de prioridad de negocio ya validado en el análisis manual del equipo: CPA primero, luego presupuesto/pacing, luego relevancia (CTR), luego ranking/calidad.</w:t>
      </w:r>
    </w:p>
    <w:p>
      <w:pPr>
        <w:spacing w:after="120"/>
      </w:pPr>
      <w:r>
        <w:rPr>
          <w:b/>
          <w:bCs/>
        </w:rPr>
        <w:t xml:space="preserve">CPA alto: </w:t>
      </w:r>
      <w:r>
        <w:t xml:space="preserve">campaña con CPA 20% o más por arriba del promedio simple de la cuenta → revisar palabras clave de mayor gasto.</w:t>
      </w:r>
    </w:p>
    <w:p>
      <w:pPr>
        <w:spacing w:after="120"/>
      </w:pPr>
      <w:r>
        <w:rPr>
          <w:b/>
          <w:bCs/>
        </w:rPr>
        <w:t xml:space="preserve">Presupuesto limitado: </w:t>
      </w:r>
      <w:r>
        <w:t xml:space="preserve">más de 10% de impression share perdido por presupuesto → candidata a subir presupuesto si el CPA es sano.</w:t>
      </w:r>
    </w:p>
    <w:p>
      <w:pPr>
        <w:spacing w:after="120"/>
      </w:pPr>
      <w:r>
        <w:rPr>
          <w:b/>
          <w:bCs/>
        </w:rPr>
        <w:t xml:space="preserve">CTR bajo: </w:t>
      </w:r>
      <w:r>
        <w:t xml:space="preserve">CTR por debajo de 2% → revisar relevancia de anuncios/keywords.</w:t>
      </w:r>
    </w:p>
    <w:p>
      <w:pPr>
        <w:spacing w:after="120"/>
      </w:pPr>
      <w:r>
        <w:rPr>
          <w:b/>
          <w:bCs/>
        </w:rPr>
        <w:t xml:space="preserve">Ranking bajo: </w:t>
      </w:r>
      <w:r>
        <w:t xml:space="preserve">más de 10% de impression share perdido por ranking → revisar Quality Score y estrategia de puja.</w:t>
      </w:r>
    </w:p>
    <w:p>
      <w:pPr>
        <w:spacing w:after="120"/>
      </w:pPr>
      <w:r>
        <w:t xml:space="preserve">Los umbrales están centralizados en analysis.py para que se puedan ajustar sin tocar el resto de la lógica.</w:t>
      </w:r>
    </w:p>
    <w:p>
      <w:pPr>
        <w:pStyle w:val="Heading1"/>
        <w:spacing w:after="150" w:before="300"/>
      </w:pPr>
      <w:r>
        <w:t xml:space="preserve">6. Mecanismo de negativización (Función 2)</w:t>
      </w:r>
    </w:p>
    <w:p>
      <w:pPr>
        <w:spacing w:after="120"/>
      </w:pPr>
      <w:r>
        <w:t xml:space="preserve">El mecanismo no usa un modelo de lenguaje por término — compara el texto contra "términos núcleo" y "excepciones" definidas por el usuario. Un término se marca "mantener" si contiene un núcleo, "negativizar" si no contiene ninguno, y "revisar" si contiene un núcleo y también una excepción.</w:t>
      </w:r>
    </w:p>
    <w:p>
      <w:pPr>
        <w:pStyle w:val="Heading2"/>
        <w:spacing w:after="100" w:before="200"/>
      </w:pPr>
      <w:r>
        <w:t xml:space="preserve">Validación con datos reales — cuenta Estelar Playa Manzanillo (12 jul. 2026)</w:t>
      </w:r>
    </w:p>
    <w:p>
      <w:pPr>
        <w:spacing w:after="120"/>
      </w:pPr>
      <w:r>
        <w:t xml:space="preserve">Se corrió sobre el reporte real de la cuenta (934 términos), con núcleo ["estelar", "manzanillo"] y excepción ["manzanillo del mar"]:</w:t>
      </w:r>
    </w:p>
    <w:tbl>
      <w:tblPr>
        <w:tblW w:type="dxa" w:w="10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2500"/>
        <w:gridCol w:w="2140"/>
      </w:tblGrid>
      <w:tr>
        <w:tc>
          <w:tcPr>
            <w:tcW w:type="dxa" w:w="32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Categoría</w:t>
            </w:r>
          </w:p>
        </w:tc>
        <w:tc>
          <w:tcPr>
            <w:tcW w:type="dxa" w:w="25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Términos</w:t>
            </w:r>
          </w:p>
        </w:tc>
        <w:tc>
          <w:tcPr>
            <w:tcW w:type="dxa" w:w="25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Costo (periodo)</w:t>
            </w:r>
          </w:p>
        </w:tc>
        <w:tc>
          <w:tcPr>
            <w:tcW w:type="dxa" w:w="214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Clics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Mantener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96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$674.47</w:t>
            </w:r>
          </w:p>
        </w:tc>
        <w:tc>
          <w:tcPr>
            <w:tcW w:type="dxa" w:w="2140"/>
          </w:tcPr>
          <w:p>
            <w:r>
              <w:rPr>
                <w:b w:val="false"/>
                <w:bCs w:val="false"/>
              </w:rPr>
              <w:t xml:space="preserve">629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Revisar (ambiguos)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$5.83</w:t>
            </w:r>
          </w:p>
        </w:tc>
        <w:tc>
          <w:tcPr>
            <w:tcW w:type="dxa" w:w="2140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Candidatos a negativo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824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$121.43</w:t>
            </w:r>
          </w:p>
        </w:tc>
        <w:tc>
          <w:tcPr>
            <w:tcW w:type="dxa" w:w="2140"/>
          </w:tcPr>
          <w:p>
            <w:r>
              <w:rPr>
                <w:b w:val="false"/>
                <w:bCs w:val="false"/>
              </w:rPr>
              <w:t xml:space="preserve">151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El caso que motivó la excepción: "Manzanillo del Mar" es un corregimiento real de Cartagena, distinto de la playa donde está el hotel — un match de texto simple habría mantenido por error los 14 términos que lo mencionan.</w:t>
      </w:r>
    </w:p>
    <w:p>
      <w:pPr>
        <w:pStyle w:val="Heading2"/>
        <w:spacing w:after="100" w:before="200"/>
      </w:pPr>
      <w:r>
        <w:t xml:space="preserve">Limitaciones conocidas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Solo detecta la ambigüedad que el usuario anticipa como excepción.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"Estelar" es el nombre de una cadena con varias propiedades en Colombia — un núcleo tan amplio puede retener búsquedas de otro hotel Estelar.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Nunca se debe subir "candidatos a negativo" a Google Ads sin revisión humana.</w:t>
      </w:r>
    </w:p>
    <w:p>
      <w:pPr>
        <w:pStyle w:val="Heading1"/>
        <w:spacing w:after="150" w:before="300"/>
      </w:pPr>
      <w:r>
        <w:t xml:space="preserve">7. Mecanismo de generación de copys (Función 3)</w:t>
      </w:r>
    </w:p>
    <w:p>
      <w:pPr>
        <w:spacing w:after="120"/>
      </w:pPr>
      <w:r>
        <w:t xml:space="preserve">Igual que en la Función 2, se decidió explícitamente no llamar a un modelo de lenguaje por URL: a 100+ cuentas, generar copy vía API para cada análisis tiene costo y latencia, y requeriría que cada persona del equipo tenga configurada su propia clave de API. En su lugar, la plataforma extrae señales reales de la página y las combina con plantillas de copywriting de conversión (urgencia, oferta, garantía, CTA directo).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3540"/>
      </w:tblGrid>
      <w:tr>
        <w:tc>
          <w:tcPr>
            <w:tcW w:type="dxa" w:w="32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Señal extraída</w:t>
            </w:r>
          </w:p>
        </w:tc>
        <w:tc>
          <w:tcPr>
            <w:tcW w:type="dxa" w:w="29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Fuente en la página</w:t>
            </w:r>
          </w:p>
        </w:tc>
        <w:tc>
          <w:tcPr>
            <w:tcW w:type="dxa" w:w="354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Uso en la generación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Título / H1 / H2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Etiquetas &lt;title&gt;, &lt;h1&gt;, &lt;h2&gt;</w:t>
            </w:r>
          </w:p>
        </w:tc>
        <w:tc>
          <w:tcPr>
            <w:tcW w:type="dxa" w:w="3540"/>
          </w:tcPr>
          <w:p>
            <w:r>
              <w:rPr>
                <w:b w:val="false"/>
                <w:bCs w:val="false"/>
              </w:rPr>
              <w:t xml:space="preserve">Candidatos directos de titular (recortados a 30 caracteres) y base de la "frase clave".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Meta description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Etiqueta &lt;meta name="description"&gt;</w:t>
            </w:r>
          </w:p>
        </w:tc>
        <w:tc>
          <w:tcPr>
            <w:tcW w:type="dxa" w:w="3540"/>
          </w:tcPr>
          <w:p>
            <w:r>
              <w:rPr>
                <w:b w:val="false"/>
                <w:bCs w:val="false"/>
              </w:rPr>
              <w:t xml:space="preserve">Candidato directo de descripción y base para plantillas.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Textos de botones/enlaces (CTA)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Etiquetas &lt;a&gt; y &lt;button&gt;</w:t>
            </w:r>
          </w:p>
        </w:tc>
        <w:tc>
          <w:tcPr>
            <w:tcW w:type="dxa" w:w="3540"/>
          </w:tcPr>
          <w:p>
            <w:r>
              <w:rPr>
                <w:b w:val="false"/>
                <w:bCs w:val="false"/>
              </w:rPr>
              <w:t xml:space="preserve">Candidatos de titular cortos (ej. "Reserva Ahora").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Ítems de lista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Etiquetas &lt;li&gt;</w:t>
            </w:r>
          </w:p>
        </w:tc>
        <w:tc>
          <w:tcPr>
            <w:tcW w:type="dxa" w:w="3540"/>
          </w:tcPr>
          <w:p>
            <w:r>
              <w:rPr>
                <w:b w:val="false"/>
                <w:bCs w:val="false"/>
              </w:rPr>
              <w:t xml:space="preserve">Candidatos directos de descripción (suelen ser features/beneficios).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Ofertas mencionadas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Texto completo de la página, por patrones (%, gratis, garantía, 2x1, etc.)</w:t>
            </w:r>
          </w:p>
        </w:tc>
        <w:tc>
          <w:tcPr>
            <w:tcW w:type="dxa" w:w="3540"/>
          </w:tcPr>
          <w:p>
            <w:r>
              <w:rPr>
                <w:b w:val="false"/>
                <w:bCs w:val="false"/>
              </w:rPr>
              <w:t xml:space="preserve">Rellena la variable {offer} en las plantillas de conversión.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Marca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Se infiere cruzando el dominio con los segmentos del título</w:t>
            </w:r>
          </w:p>
        </w:tc>
        <w:tc>
          <w:tcPr>
            <w:tcW w:type="dxa" w:w="3540"/>
          </w:tcPr>
          <w:p>
            <w:r>
              <w:rPr>
                <w:b w:val="false"/>
                <w:bCs w:val="false"/>
              </w:rPr>
              <w:t xml:space="preserve">Rellena la variable {brand} en las plantillas.</w:t>
            </w:r>
          </w:p>
        </w:tc>
      </w:tr>
    </w:tbl>
    <w:p>
      <w:pPr>
        <w:spacing w:after="150"/>
      </w:pPr>
    </w:p>
    <w:p>
      <w:pPr>
        <w:pStyle w:val="Heading2"/>
        <w:spacing w:after="100" w:before="200"/>
      </w:pPr>
      <w:r>
        <w:t xml:space="preserve">Validación</w:t>
      </w:r>
    </w:p>
    <w:p>
      <w:pPr>
        <w:spacing w:after="120"/>
      </w:pPr>
      <w:r>
        <w:t xml:space="preserve">Se probó con una página de hotel todo-incluido (título, meta description, H1/H2, lista de amenidades, CTAs "Reserva Ahora"/"Ver Disponibilidad", y menciones de "20% de descuento") y con una página mínima (solo un &lt;title&gt;, sin encabezados ni CTAs). En ambos casos la plataforma entregó exactamente 15 títulos y 10 descripciones, ninguno excede su límite de caracteres, y no hay duplicados — incluso en el caso de contenido mínimo, donde el sistema completa con plantillas genéricas de conversión.</w:t>
      </w:r>
    </w:p>
    <w:p>
      <w:pPr>
        <w:pStyle w:val="Heading2"/>
        <w:spacing w:after="100" w:before="200"/>
      </w:pPr>
      <w:r>
        <w:t xml:space="preserve">Limitaciones conocidas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"entiende" la página como lo haría un modelo de lenguaje: si la marca y la frase clave detectadas son idénticas (títulos de una sola frase, sin separador), algunas plantillas combinadas pueden sonar repetitivas.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Páginas que cargan su contenido por JavaScript (comunes en tiendas modernas) van a devolver poco texto al HTML inicial, y el resultado se apoya más en plantillas genéricas — la plataforma no ejecuta JavaScript.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valida las políticas de contenido de Google Ads (mayúsculas, superlativos, símbolos, marcas registradas de terceros) — solo longitud. Revisar antes de publicar.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detección de "marca" vs. "frase clave" es heurística (cruza el dominio con los segmentos del título) y puede fallar en títulos poco convencionales.</w:t>
      </w:r>
    </w:p>
    <w:p>
      <w:pPr>
        <w:pStyle w:val="Heading1"/>
        <w:spacing w:after="150" w:before="300"/>
      </w:pPr>
      <w:r>
        <w:t xml:space="preserve">8. Arquitectura y evolución</w:t>
      </w:r>
    </w:p>
    <w:p>
      <w:pPr>
        <w:pStyle w:val="Heading2"/>
        <w:spacing w:after="100" w:before="200"/>
      </w:pPr>
      <w:r>
        <w:t xml:space="preserve">v1 (este entregable — ya incluye las tres funciones)</w:t>
      </w:r>
    </w:p>
    <w:p>
      <w:pPr>
        <w:spacing w:after="120"/>
      </w:pPr>
      <w:r>
        <w:t xml:space="preserve">App en Streamlit: sin base de datos, sin login, cada análisis vive solo mientras el archivo/URL está cargado en la sesión. Corre localmente o en un servidor interno simple.</w:t>
      </w:r>
    </w:p>
    <w:p>
      <w:pPr>
        <w:pStyle w:val="Heading2"/>
        <w:spacing w:after="100" w:before="200"/>
      </w:pPr>
      <w:r>
        <w:t xml:space="preserve">v1.1 (si se valida con más cuentas)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Persistencia (base de datos ligera) para guardar el resumen de cada carga por cuenta y fecha.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 de acceso básico, dado que serán 100+ personas usando la misma herramienta.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Guardar términos núcleo/excepciones y URLs frecuentes por cuenta.</w:t>
      </w:r>
    </w:p>
    <w:p>
      <w:pPr>
        <w:pStyle w:val="Heading2"/>
        <w:spacing w:after="100" w:before="200"/>
      </w:pPr>
      <w:r>
        <w:t xml:space="preserve">v3.1 / v2.1 (evaluar solo si las reglas no bastan)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Clasificación semántica o generación de copy vía modelo de lenguaje, limitada a los casos que las reglas no resuelven bien, para controlar costo.</w:t>
      </w:r>
    </w:p>
    <w:p>
      <w:pPr>
        <w:pStyle w:val="Heading2"/>
        <w:spacing w:after="100" w:before="200"/>
      </w:pPr>
      <w:r>
        <w:t xml:space="preserve">v2+ (evaluar solo si hace falta)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Integración directa con la API de Google Ads para eliminar la exportación/carga manual.</w:t>
      </w:r>
    </w:p>
    <w:p>
      <w:pPr>
        <w:pStyle w:val="Heading1"/>
        <w:spacing w:after="150" w:before="300"/>
      </w:pPr>
      <w:r>
        <w:t xml:space="preserve">9. Riesgos y supuestos conocidos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umbral de CTR (2%) en la Función 1 no distingue todavía entre Search, Display y Performance Max.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CPA "promedio de cuenta" de las alertas (Función 1) es un promedio simple entre campañas, distinto del CPA ponderado del resumen ejecutivo.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la Función 2, un término núcleo genérico (ej. "estelar") puede retener búsquedas no deseadas.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la Función 3, el copy generado no pasa por revisión de políticas de Google Ads ni de tono de marca — requiere revisión humana antes de publicarse.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Ninguna de las tres funciones valida que el archivo/URL subido sea reciente ni de la cuenta correcta.</w:t>
      </w:r>
    </w:p>
    <w:p>
      <w:pPr>
        <w:pStyle w:val="Heading1"/>
        <w:spacing w:after="150" w:before="300"/>
      </w:pPr>
      <w:r>
        <w:t xml:space="preserve">10. Entregables de este sprint</w:t>
      </w:r>
    </w:p>
    <w:p>
      <w:pPr>
        <w:spacing w:after="120"/>
      </w:pPr>
      <w:r>
        <w:t xml:space="preserve">Incluidos en esta carpeta: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analysis.py — lógica de la Función 1 (rendimiento), sin UI, reusable.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negative_keywords.py — lógica de la Función 2 (negativización), sin UI, reusable.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copy_generator.py — lógica de la Función 3 (copys desde URL), sin UI, reusable.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app.py — interfaz Streamlit con las tres funciones (selector en la barra lateral).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sample_data.csv — datos de ejemplo para probar la Función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Negativos_Estelar_Playa_Manzanillo.xlsx — resultado real de la Función 2 para esa cuenta.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requirements.txt — dependencias (incluye requests y beautifulsoup4 para la Función 3).</w:t>
      </w:r>
    </w:p>
    <w:p>
      <w:pPr>
        <w:spacing w:after="120"/>
      </w:pPr>
      <w:r>
        <w:t xml:space="preserve">Para correr la app: pip install -r requirements.txt y streamlit run app.py.</w:t>
      </w:r>
    </w:p>
    <w:p>
      <w:pPr>
        <w:pStyle w:val="Heading1"/>
        <w:spacing w:after="150" w:before="300"/>
      </w:pPr>
      <w:r>
        <w:t xml:space="preserve">11. Próximos pasos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Revisar manualmente los 14 términos en "revisar" y los que solo contienen "estelar" antes de subir cualquier negativo real.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Correr la Función 1 con 3-5 cuentas más del equipo para calibrar umbrales.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Probar la Función 3 con 5-10 URLs reales de distintos clientes (landing pages, fichas de producto) y que un copywriter del equipo revise si el copy generado es publicable tal cual o necesita ajuste — esto define si el mecanismo de reglas alcanza o si vale la pena el costo de un modelo de lenguaje para esta función.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Decidir dónde vive la app para que el equipo la use sin depender de una máquina local.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2026-07-12T18:57:22.330Z</dcterms:created>
  <dcterms:modified xsi:type="dcterms:W3CDTF">2026-07-12T18:57:22.330Z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