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12 -->
  <w:body>
    <w:tbl>
      <w:tblPr>
        <w:tblW w:w="9072" w:type="dxa"/>
        <w:tblCellMar>
          <w:left w:w="0" w:type="dxa"/>
          <w:right w:w="0" w:type="dxa"/>
        </w:tblCellMar>
        <w:tblLook w:val="01E0"/>
      </w:tblPr>
      <w:tblGrid>
        <w:gridCol w:w="6804"/>
        <w:gridCol w:w="2268"/>
      </w:tblGrid>
      <w:tr w14:paraId="5A94034F" w14:textId="77777777" w:rsidTr="00C85D0F">
        <w:tblPrEx>
          <w:tblW w:w="9072" w:type="dxa"/>
          <w:tblCellMar>
            <w:left w:w="0" w:type="dxa"/>
            <w:right w:w="0" w:type="dxa"/>
          </w:tblCellMar>
          <w:tblLook w:val="01E0"/>
        </w:tblPrEx>
        <w:trPr>
          <w:trHeight w:hRule="exact" w:val="1418"/>
        </w:trPr>
        <w:tc>
          <w:tcPr>
            <w:tcW w:w="6804" w:type="dxa"/>
            <w:shd w:val="clear" w:color="auto" w:fill="auto"/>
            <w:vAlign w:val="center"/>
          </w:tcPr>
          <w:p w:rsidR="00B843F1" w:rsidRPr="00BE6EB6" w:rsidP="00C85D0F" w14:paraId="7AFD197E" w14:textId="4C0A6EC7">
            <w:pPr>
              <w:pStyle w:val="EPName"/>
            </w:pPr>
            <w:r w:rsidRPr="00BE6EB6">
              <w:t>Parlamento europeo</w:t>
            </w:r>
          </w:p>
          <w:p w:rsidR="00B843F1" w:rsidRPr="00BE6EB6" w:rsidP="00C85D0F" w14:paraId="5AC801D7" w14:textId="03A09A18">
            <w:pPr>
              <w:pStyle w:val="EPTerm"/>
            </w:pPr>
            <w:r w:rsidRPr="00BE6EB6">
              <w:t>2024-2029</w:t>
            </w:r>
          </w:p>
        </w:tc>
        <w:tc>
          <w:tcPr>
            <w:tcW w:w="2268" w:type="dxa"/>
            <w:shd w:val="clear" w:color="auto" w:fill="auto"/>
          </w:tcPr>
          <w:p w:rsidR="00B843F1" w:rsidRPr="00BE6EB6" w:rsidP="00C85D0F" w14:paraId="45FB73BD" w14:textId="77777777">
            <w:pPr>
              <w:pStyle w:val="EPLogo"/>
            </w:pPr>
            <w:r w:rsidRPr="00BE6EB6">
              <w:rPr>
                <w:noProof/>
                <w:lang w:eastAsia="ja-JP"/>
              </w:rPr>
              <w:drawing>
                <wp:inline distT="0" distB="0" distL="0" distR="0">
                  <wp:extent cx="1158875" cy="652145"/>
                  <wp:effectExtent l="0" t="0" r="0" b="0"/>
                  <wp:docPr id="1" name="Picture 1" descr="EP logo RGB_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75263" name="Picture 1" descr="EP logo RGB_Mute"/>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58875" cy="652145"/>
                          </a:xfrm>
                          <a:prstGeom prst="rect">
                            <a:avLst/>
                          </a:prstGeom>
                          <a:noFill/>
                          <a:ln>
                            <a:noFill/>
                          </a:ln>
                        </pic:spPr>
                      </pic:pic>
                    </a:graphicData>
                  </a:graphic>
                </wp:inline>
              </w:drawing>
            </w:r>
          </w:p>
        </w:tc>
      </w:tr>
    </w:tbl>
    <w:p w:rsidR="00233823" w:rsidRPr="00BE6EB6" w:rsidP="00233823" w14:paraId="7B4FCBE1" w14:textId="77777777">
      <w:pPr>
        <w:pStyle w:val="LineTop"/>
      </w:pPr>
    </w:p>
    <w:p w:rsidR="00233823" w:rsidRPr="00BE6EB6" w:rsidP="00233823" w14:paraId="3F4D834E" w14:textId="4AB6E280">
      <w:pPr>
        <w:pStyle w:val="EPBody"/>
      </w:pPr>
      <w:r w:rsidRPr="00BE6EB6">
        <w:t>Documento di seduta</w:t>
      </w:r>
    </w:p>
    <w:p w:rsidR="00233823" w:rsidRPr="00BE6EB6" w:rsidP="00233823" w14:paraId="1BB317E3" w14:textId="77777777">
      <w:pPr>
        <w:pStyle w:val="LineBottom"/>
      </w:pPr>
    </w:p>
    <w:p w:rsidR="00C23ADB" w:rsidRPr="00BE6EB6" w14:paraId="40A81D0E" w14:textId="7725577A">
      <w:pPr>
        <w:pStyle w:val="CoverReference"/>
      </w:pPr>
      <w:r w:rsidRPr="00BE6EB6">
        <w:rPr>
          <w:rStyle w:val="HideTWBExt"/>
        </w:rPr>
        <w:t>&lt;NoDocSe&gt;</w:t>
      </w:r>
      <w:r w:rsidRPr="00BE6EB6">
        <w:t>A10</w:t>
      </w:r>
      <w:r w:rsidRPr="00BE6EB6">
        <w:noBreakHyphen/>
        <w:t>0224/2026</w:t>
      </w:r>
      <w:r w:rsidRPr="00BE6EB6">
        <w:rPr>
          <w:rStyle w:val="HideTWBExt"/>
        </w:rPr>
        <w:t>&lt;/NoDocSe&gt;</w:t>
      </w:r>
    </w:p>
    <w:p w:rsidR="00C23ADB" w:rsidRPr="00BE6EB6" w14:paraId="0C6F87C4" w14:textId="0307F929">
      <w:pPr>
        <w:pStyle w:val="CoverDate"/>
      </w:pPr>
      <w:r w:rsidRPr="00BE6EB6">
        <w:rPr>
          <w:rStyle w:val="HideTWBExt"/>
        </w:rPr>
        <w:t>&lt;Date&gt;</w:t>
      </w:r>
      <w:r w:rsidRPr="00BE6EB6">
        <w:rPr>
          <w:rStyle w:val="HideTWBInt"/>
        </w:rPr>
        <w:t>{07/09/2026}</w:t>
      </w:r>
      <w:r w:rsidRPr="00BE6EB6">
        <w:t>7.9.2026</w:t>
      </w:r>
      <w:r w:rsidRPr="00BE6EB6">
        <w:rPr>
          <w:rStyle w:val="HideTWBExt"/>
        </w:rPr>
        <w:t>&lt;/Date&gt;</w:t>
      </w:r>
    </w:p>
    <w:p w:rsidR="00C23ADB" w:rsidRPr="00BE6EB6" w14:paraId="2DB83056" w14:textId="1E02BCBA">
      <w:pPr>
        <w:pStyle w:val="CoverDocType24a"/>
      </w:pPr>
      <w:r w:rsidRPr="00BE6EB6">
        <w:rPr>
          <w:rStyle w:val="HideTWBExt"/>
          <w:b w:val="0"/>
        </w:rPr>
        <w:t>&lt;TitreType&gt;</w:t>
      </w:r>
      <w:r w:rsidRPr="00BE6EB6">
        <w:t>RELAZIONE</w:t>
      </w:r>
      <w:r w:rsidRPr="00BE6EB6">
        <w:rPr>
          <w:rStyle w:val="HideTWBExt"/>
          <w:b w:val="0"/>
        </w:rPr>
        <w:t>&lt;/TitreType&gt;</w:t>
      </w:r>
    </w:p>
    <w:p w:rsidR="00CC684A" w:rsidRPr="00BE6EB6" w:rsidP="00CC684A" w14:paraId="778FF0EF" w14:textId="77777777">
      <w:pPr>
        <w:pStyle w:val="CoverNormal"/>
      </w:pPr>
      <w:r w:rsidRPr="00BE6EB6">
        <w:rPr>
          <w:rStyle w:val="HideTWBExt"/>
        </w:rPr>
        <w:t>&lt;Titre&gt;</w:t>
      </w:r>
      <w:r w:rsidRPr="00BE6EB6">
        <w:t xml:space="preserve">concernente la posizione del Consiglio sul progetto di bilancio rettificativo n. 2/2026 dell'Unione europea per l'esercizio 2026 – Aggiornamento delle entrate (risorse proprie) e adeguamenti delle spese </w:t>
      </w:r>
      <w:r w:rsidRPr="00BE6EB6">
        <w:rPr>
          <w:rStyle w:val="HideTWBExt"/>
        </w:rPr>
        <w:t>&lt;/Titre&gt;</w:t>
      </w:r>
    </w:p>
    <w:p w:rsidR="00D07EA9" w:rsidRPr="00AE5FC3" w:rsidP="00D07EA9" w14:paraId="74FBEBC8" w14:textId="77777777">
      <w:pPr>
        <w:pStyle w:val="CoverNormal24a"/>
      </w:pPr>
      <w:r w:rsidRPr="00BE6EB6">
        <w:rPr>
          <w:rStyle w:val="HideTWBExt"/>
        </w:rPr>
        <w:t>&lt;DocRef&gt;</w:t>
      </w:r>
      <w:r w:rsidRPr="00BE6EB6">
        <w:t>(11540/2026 – C10</w:t>
      </w:r>
      <w:r w:rsidRPr="00BE6EB6">
        <w:noBreakHyphen/>
        <w:t>0207/2026 – 2026/0144(BUD))</w:t>
      </w:r>
      <w:r w:rsidRPr="00BE6EB6">
        <w:rPr>
          <w:rStyle w:val="HideTWBExt"/>
        </w:rPr>
        <w:t>&lt;/DocRef&gt;</w:t>
      </w:r>
    </w:p>
    <w:p w:rsidR="00D07EA9" w:rsidRPr="00AE5FC3" w:rsidP="00D07EA9" w14:paraId="7F91420D" w14:textId="577CE70D">
      <w:pPr>
        <w:pStyle w:val="CoverNormal24a"/>
      </w:pPr>
      <w:r w:rsidRPr="00AE5FC3">
        <w:rPr>
          <w:rStyle w:val="HideTWBExt"/>
        </w:rPr>
        <w:t>&lt;Commission&gt;</w:t>
      </w:r>
      <w:r w:rsidRPr="00AE5FC3">
        <w:rPr>
          <w:rStyle w:val="HideTWBInt"/>
        </w:rPr>
        <w:t>{BUDG}</w:t>
      </w:r>
      <w:r w:rsidRPr="00AE5FC3">
        <w:t>Comm</w:t>
      </w:r>
      <w:r>
        <w:t>issione per i bilanci</w:t>
      </w:r>
      <w:r w:rsidRPr="00AE5FC3">
        <w:rPr>
          <w:rStyle w:val="HideTWBExt"/>
        </w:rPr>
        <w:t>&lt;/Commission&gt;</w:t>
      </w:r>
    </w:p>
    <w:p w:rsidR="00C23ADB" w:rsidRPr="00BE6EB6" w:rsidP="00D07EA9" w14:paraId="56C706B5" w14:textId="029FEA3B">
      <w:pPr>
        <w:pStyle w:val="CoverNormal"/>
      </w:pPr>
      <w:r w:rsidRPr="00BE6EB6">
        <w:t xml:space="preserve">Relatore: </w:t>
      </w:r>
      <w:r w:rsidRPr="00BE6EB6">
        <w:rPr>
          <w:rStyle w:val="HideTWBExt"/>
        </w:rPr>
        <w:t>&lt;Depute&gt;</w:t>
      </w:r>
      <w:r w:rsidRPr="00BE6EB6">
        <w:t>Andrzej Halicki</w:t>
      </w:r>
      <w:r w:rsidRPr="00BE6EB6">
        <w:rPr>
          <w:rStyle w:val="HideTWBExt"/>
        </w:rPr>
        <w:t>&lt;/Depute&gt;</w:t>
      </w:r>
    </w:p>
    <w:p w:rsidR="008D3A88" w:rsidRPr="00BE6EB6" w:rsidP="008D3A88" w14:paraId="2C592AAB" w14:textId="77777777">
      <w:pPr>
        <w:pStyle w:val="CoverNormal"/>
      </w:pPr>
    </w:p>
    <w:p w:rsidR="00C23ADB" w:rsidRPr="00BE6EB6" w:rsidP="0057259B" w14:paraId="73C69E96" w14:textId="76997627">
      <w:r w:rsidRPr="00BE6EB6">
        <w:br w:type="page"/>
      </w:r>
      <w:r w:rsidRPr="00BE6EB6">
        <w:t>PR_BUD_DABapp</w:t>
      </w:r>
    </w:p>
    <w:p w:rsidR="00C23ADB" w:rsidRPr="00BE6EB6" w14:paraId="25BED0BD" w14:textId="2F82C493">
      <w:pPr>
        <w:pStyle w:val="TOCHeading"/>
      </w:pPr>
      <w:r w:rsidRPr="00BE6EB6">
        <w:t>INDICE</w:t>
      </w:r>
    </w:p>
    <w:p w:rsidR="00C23ADB" w:rsidRPr="00BE6EB6" w14:paraId="245A9A09" w14:textId="34E46719">
      <w:pPr>
        <w:pStyle w:val="TOCPage"/>
      </w:pPr>
      <w:r w:rsidRPr="00BE6EB6">
        <w:t>Pagina</w:t>
      </w:r>
    </w:p>
    <w:p w:rsidR="00D07EA9" w14:paraId="7814EDDD" w14:textId="220D0644">
      <w:pPr>
        <w:pStyle w:val="TOC1"/>
        <w:tabs>
          <w:tab w:val="right" w:leader="dot" w:pos="9060"/>
        </w:tabs>
        <w:rPr>
          <w:rFonts w:asciiTheme="minorHAnsi" w:eastAsiaTheme="minorEastAsia" w:hAnsiTheme="minorHAnsi" w:cstheme="minorBidi"/>
          <w:noProof/>
          <w:kern w:val="2"/>
          <w:szCs w:val="24"/>
          <w:lang w:val="en-GB"/>
          <w14:ligatures w14:val="standardContextual"/>
        </w:rPr>
      </w:pPr>
      <w:r w:rsidRPr="00BE6EB6">
        <w:fldChar w:fldCharType="begin"/>
      </w:r>
      <w:r w:rsidRPr="00BE6EB6">
        <w:instrText xml:space="preserve"> TOC \t "PageHeading</w:instrText>
      </w:r>
      <w:r w:rsidRPr="00BE6EB6" w:rsidR="00F13DFB">
        <w:instrText>;</w:instrText>
      </w:r>
      <w:r w:rsidRPr="00BE6EB6">
        <w:instrText xml:space="preserve">1" </w:instrText>
      </w:r>
      <w:r w:rsidRPr="00BE6EB6">
        <w:fldChar w:fldCharType="separate"/>
      </w:r>
      <w:r>
        <w:rPr>
          <w:noProof/>
        </w:rPr>
        <w:t>PROPOSTA DI RISOLUZIONE DEL PARLAMENTO EUROPEO</w:t>
      </w:r>
      <w:r>
        <w:rPr>
          <w:noProof/>
        </w:rPr>
        <w:tab/>
      </w:r>
      <w:r>
        <w:rPr>
          <w:noProof/>
        </w:rPr>
        <w:fldChar w:fldCharType="begin"/>
      </w:r>
      <w:r>
        <w:rPr>
          <w:noProof/>
        </w:rPr>
        <w:instrText xml:space="preserve"> PAGEREF _Toc239844861 \h </w:instrText>
      </w:r>
      <w:r>
        <w:rPr>
          <w:noProof/>
        </w:rPr>
        <w:fldChar w:fldCharType="separate"/>
      </w:r>
      <w:r>
        <w:rPr>
          <w:noProof/>
        </w:rPr>
        <w:t>3</w:t>
      </w:r>
      <w:r>
        <w:rPr>
          <w:noProof/>
        </w:rPr>
        <w:fldChar w:fldCharType="end"/>
      </w:r>
    </w:p>
    <w:p w:rsidR="00D07EA9" w14:paraId="55F62953" w14:textId="304B0DB0">
      <w:pPr>
        <w:pStyle w:val="TOC1"/>
        <w:tabs>
          <w:tab w:val="right" w:leader="dot" w:pos="9060"/>
        </w:tabs>
        <w:rPr>
          <w:rFonts w:asciiTheme="minorHAnsi" w:eastAsiaTheme="minorEastAsia" w:hAnsiTheme="minorHAnsi" w:cstheme="minorBidi"/>
          <w:noProof/>
          <w:kern w:val="2"/>
          <w:szCs w:val="24"/>
          <w:lang w:val="en-GB"/>
          <w14:ligatures w14:val="standardContextual"/>
        </w:rPr>
      </w:pPr>
      <w:r>
        <w:rPr>
          <w:noProof/>
        </w:rPr>
        <w:t>ALLEGATO: DICHIARAZIONE DEI CONTRIBUTI</w:t>
      </w:r>
      <w:r>
        <w:rPr>
          <w:noProof/>
        </w:rPr>
        <w:tab/>
      </w:r>
      <w:r>
        <w:rPr>
          <w:noProof/>
        </w:rPr>
        <w:fldChar w:fldCharType="begin"/>
      </w:r>
      <w:r>
        <w:rPr>
          <w:noProof/>
        </w:rPr>
        <w:instrText xml:space="preserve"> PAGEREF _Toc239844862 \h </w:instrText>
      </w:r>
      <w:r>
        <w:rPr>
          <w:noProof/>
        </w:rPr>
        <w:fldChar w:fldCharType="separate"/>
      </w:r>
      <w:r>
        <w:rPr>
          <w:noProof/>
        </w:rPr>
        <w:t>7</w:t>
      </w:r>
      <w:r>
        <w:rPr>
          <w:noProof/>
        </w:rPr>
        <w:fldChar w:fldCharType="end"/>
      </w:r>
    </w:p>
    <w:p w:rsidR="00D07EA9" w14:paraId="5F9C40AC" w14:textId="50B455FB">
      <w:pPr>
        <w:pStyle w:val="TOC1"/>
        <w:tabs>
          <w:tab w:val="right" w:leader="dot" w:pos="9060"/>
        </w:tabs>
        <w:rPr>
          <w:rFonts w:asciiTheme="minorHAnsi" w:eastAsiaTheme="minorEastAsia" w:hAnsiTheme="minorHAnsi" w:cstheme="minorBidi"/>
          <w:noProof/>
          <w:kern w:val="2"/>
          <w:szCs w:val="24"/>
          <w:lang w:val="en-GB"/>
          <w14:ligatures w14:val="standardContextual"/>
        </w:rPr>
      </w:pPr>
      <w:r>
        <w:rPr>
          <w:noProof/>
        </w:rPr>
        <w:t>INFORMAZIONI SULL’APPROVAZIONE DA PARTE DELLA COMMISSIONE COMPETENTE PER IL MERITO</w:t>
      </w:r>
      <w:r>
        <w:rPr>
          <w:noProof/>
        </w:rPr>
        <w:tab/>
      </w:r>
      <w:r>
        <w:rPr>
          <w:noProof/>
        </w:rPr>
        <w:fldChar w:fldCharType="begin"/>
      </w:r>
      <w:r>
        <w:rPr>
          <w:noProof/>
        </w:rPr>
        <w:instrText xml:space="preserve"> PAGEREF _Toc239844863 \h </w:instrText>
      </w:r>
      <w:r>
        <w:rPr>
          <w:noProof/>
        </w:rPr>
        <w:fldChar w:fldCharType="separate"/>
      </w:r>
      <w:r>
        <w:rPr>
          <w:noProof/>
        </w:rPr>
        <w:t>8</w:t>
      </w:r>
      <w:r>
        <w:rPr>
          <w:noProof/>
        </w:rPr>
        <w:fldChar w:fldCharType="end"/>
      </w:r>
    </w:p>
    <w:p w:rsidR="00D07EA9" w14:paraId="0869F96E" w14:textId="691F04EA">
      <w:pPr>
        <w:pStyle w:val="TOC1"/>
        <w:tabs>
          <w:tab w:val="right" w:leader="dot" w:pos="9060"/>
        </w:tabs>
        <w:rPr>
          <w:rFonts w:asciiTheme="minorHAnsi" w:eastAsiaTheme="minorEastAsia" w:hAnsiTheme="minorHAnsi" w:cstheme="minorBidi"/>
          <w:noProof/>
          <w:kern w:val="2"/>
          <w:szCs w:val="24"/>
          <w:lang w:val="en-GB"/>
          <w14:ligatures w14:val="standardContextual"/>
        </w:rPr>
      </w:pPr>
      <w:r>
        <w:rPr>
          <w:noProof/>
        </w:rPr>
        <w:t>VOTAZIONE FINALE PER APPELLO NOMINALE DA PARTE DELLA COMMISSIONE COMPETENTE PER IL MERITO</w:t>
      </w:r>
      <w:r>
        <w:rPr>
          <w:noProof/>
        </w:rPr>
        <w:tab/>
      </w:r>
      <w:r>
        <w:rPr>
          <w:noProof/>
        </w:rPr>
        <w:fldChar w:fldCharType="begin"/>
      </w:r>
      <w:r>
        <w:rPr>
          <w:noProof/>
        </w:rPr>
        <w:instrText xml:space="preserve"> PAGEREF _Toc239844864 \h </w:instrText>
      </w:r>
      <w:r>
        <w:rPr>
          <w:noProof/>
        </w:rPr>
        <w:fldChar w:fldCharType="separate"/>
      </w:r>
      <w:r>
        <w:rPr>
          <w:noProof/>
        </w:rPr>
        <w:t>9</w:t>
      </w:r>
      <w:r>
        <w:rPr>
          <w:noProof/>
        </w:rPr>
        <w:fldChar w:fldCharType="end"/>
      </w:r>
    </w:p>
    <w:p w:rsidR="00C23ADB" w:rsidRPr="00BE6EB6" w:rsidP="0057259B" w14:paraId="5B36C7AB" w14:textId="64929680">
      <w:r w:rsidRPr="00BE6EB6">
        <w:fldChar w:fldCharType="end"/>
      </w:r>
    </w:p>
    <w:p w:rsidR="006A4E08" w:rsidRPr="00BE6EB6" w:rsidP="006A4E08" w14:paraId="3BB589BC" w14:textId="77777777">
      <w:pPr>
        <w:pStyle w:val="PageHeading"/>
      </w:pPr>
      <w:r w:rsidRPr="00BE6EB6">
        <w:br w:type="page"/>
      </w:r>
      <w:bookmarkStart w:id="0" w:name="_Toc239686187"/>
      <w:bookmarkStart w:id="1" w:name="_Toc239844861"/>
      <w:r w:rsidRPr="00BE6EB6">
        <w:t>PROPOSTA DI RISOLUZIONE DEL PARLAMENTO EUROPEO</w:t>
      </w:r>
      <w:bookmarkEnd w:id="0"/>
      <w:bookmarkEnd w:id="1"/>
    </w:p>
    <w:p w:rsidR="006A4E08" w:rsidRPr="00BE6EB6" w:rsidP="006A4E08" w14:paraId="3E71D33B" w14:textId="77777777">
      <w:pPr>
        <w:pStyle w:val="NormalBold"/>
      </w:pPr>
      <w:r w:rsidRPr="00BE6EB6">
        <w:t>concernente la posizione del Consiglio sul progetto di bilancio rettificativo n. 2/2026 dell'Unione europea per l'esercizio 2026 – Aggiornamento delle entrate (risorse proprie) e adeguamenti delle spese</w:t>
      </w:r>
    </w:p>
    <w:p w:rsidR="006A4E08" w:rsidRPr="00BE6EB6" w:rsidP="006A4E08" w14:paraId="2FC1416C" w14:textId="77777777">
      <w:pPr>
        <w:pStyle w:val="NormalBold"/>
      </w:pPr>
      <w:r w:rsidRPr="00BE6EB6">
        <w:t>(11540/2026 – C10</w:t>
      </w:r>
      <w:r w:rsidRPr="00BE6EB6">
        <w:noBreakHyphen/>
        <w:t>0207/2026 – 2026/0144(BUD))</w:t>
      </w:r>
    </w:p>
    <w:p w:rsidR="006A4E08" w:rsidRPr="00BE6EB6" w:rsidP="006A4E08" w14:paraId="23F78E8C" w14:textId="77777777">
      <w:pPr>
        <w:pStyle w:val="EPComma"/>
      </w:pPr>
      <w:r w:rsidRPr="00BE6EB6">
        <w:rPr>
          <w:i/>
        </w:rPr>
        <w:t>Il Parlamento europeo</w:t>
      </w:r>
      <w:r w:rsidRPr="00BE6EB6">
        <w:t>,</w:t>
      </w:r>
    </w:p>
    <w:p w:rsidR="006A4E08" w:rsidRPr="00BE6EB6" w:rsidP="006A4E08" w14:paraId="6B24612E" w14:textId="77777777">
      <w:pPr>
        <w:spacing w:after="240"/>
        <w:ind w:left="567" w:hanging="567"/>
      </w:pPr>
      <w:r w:rsidRPr="00BE6EB6">
        <w:t>–</w:t>
      </w:r>
      <w:r w:rsidRPr="00BE6EB6">
        <w:tab/>
        <w:t>visto l'articolo 314 del trattato sul funzionamento dell'Unione europea,</w:t>
      </w:r>
    </w:p>
    <w:p w:rsidR="006A4E08" w:rsidRPr="00BE6EB6" w:rsidP="006A4E08" w14:paraId="6DB1171F" w14:textId="77777777">
      <w:pPr>
        <w:spacing w:after="240"/>
        <w:ind w:left="567" w:hanging="567"/>
      </w:pPr>
      <w:r w:rsidRPr="00BE6EB6">
        <w:t>–</w:t>
      </w:r>
      <w:r w:rsidRPr="00BE6EB6">
        <w:tab/>
        <w:t>visto l'articolo 106 bis del trattato che istituisce la Comunità europea dell'energia atomica,</w:t>
      </w:r>
    </w:p>
    <w:p w:rsidR="006A4E08" w:rsidRPr="00BE6EB6" w:rsidP="006A4E08" w14:paraId="3DD0F261" w14:textId="77777777">
      <w:pPr>
        <w:spacing w:after="240"/>
        <w:ind w:left="567" w:hanging="567"/>
      </w:pPr>
      <w:r w:rsidRPr="00BE6EB6">
        <w:t>–</w:t>
      </w:r>
      <w:r w:rsidRPr="00BE6EB6">
        <w:tab/>
        <w:t>visto il regolamento (UE, Euratom) 2024/2509 del Parlamento europeo e del Consiglio, del 23 settembre 2024, che stabilisce le regole finanziarie applicabili al bilancio generale dell'Unione</w:t>
      </w:r>
      <w:r>
        <w:rPr>
          <w:vertAlign w:val="superscript"/>
        </w:rPr>
        <w:footnoteReference w:id="2"/>
      </w:r>
      <w:r w:rsidRPr="00BE6EB6">
        <w:t>, in particolare l'articolo 44,</w:t>
      </w:r>
    </w:p>
    <w:p w:rsidR="006A4E08" w:rsidRPr="00BE6EB6" w:rsidP="006A4E08" w14:paraId="13EF3F4B" w14:textId="77777777">
      <w:pPr>
        <w:spacing w:after="240"/>
        <w:ind w:left="567" w:hanging="567"/>
      </w:pPr>
      <w:r w:rsidRPr="00BE6EB6">
        <w:t>–</w:t>
      </w:r>
      <w:r w:rsidRPr="00BE6EB6">
        <w:tab/>
        <w:t>visto il bilancio generale dell'Unione europea per l'esercizio 2026, definitivamente adottato il 26 novembre 2025</w:t>
      </w:r>
      <w:r>
        <w:rPr>
          <w:vertAlign w:val="superscript"/>
        </w:rPr>
        <w:footnoteReference w:id="3"/>
      </w:r>
      <w:r w:rsidRPr="00BE6EB6">
        <w:t>,</w:t>
      </w:r>
    </w:p>
    <w:p w:rsidR="006A4E08" w:rsidRPr="00BE6EB6" w:rsidP="006A4E08" w14:paraId="5C5BE1BB" w14:textId="77777777">
      <w:pPr>
        <w:spacing w:after="240"/>
        <w:ind w:left="567" w:hanging="567"/>
      </w:pPr>
      <w:r w:rsidRPr="00BE6EB6">
        <w:t>–</w:t>
      </w:r>
      <w:r w:rsidRPr="00BE6EB6">
        <w:tab/>
        <w:t>visto il regolamento (UE, Euratom) 2020/2093 del Consiglio, del 17 dicembre 2020, che stabilisce il quadro finanziario pluriennale per il periodo 2021-2027</w:t>
      </w:r>
      <w:r>
        <w:rPr>
          <w:vertAlign w:val="superscript"/>
        </w:rPr>
        <w:footnoteReference w:id="4"/>
      </w:r>
      <w:r w:rsidRPr="00BE6EB6">
        <w:t>,</w:t>
      </w:r>
    </w:p>
    <w:p w:rsidR="006A4E08" w:rsidRPr="00BE6EB6" w:rsidP="006A4E08" w14:paraId="4BEFB9B2" w14:textId="77777777">
      <w:pPr>
        <w:spacing w:after="240"/>
        <w:ind w:left="567" w:hanging="567"/>
      </w:pPr>
      <w:r w:rsidRPr="00BE6EB6">
        <w:t>–</w:t>
      </w:r>
      <w:r w:rsidRPr="00BE6EB6">
        <w:tab/>
        <w:t>visto l'accordo interistituzionale, del 16 dicembre 2020, tra il Parlamento europeo, il Consiglio e la Commissione sulla disciplina di bilancio, sulla cooperazione in materia di bilancio e sulla sana gestione finanziaria, nonché su nuove risorse proprie, compresa una tabella di marcia per l'introduzione di nuove risorse proprie</w:t>
      </w:r>
      <w:r>
        <w:rPr>
          <w:vertAlign w:val="superscript"/>
        </w:rPr>
        <w:footnoteReference w:id="5"/>
      </w:r>
      <w:r w:rsidRPr="00BE6EB6">
        <w:rPr>
          <w:b/>
          <w:i/>
        </w:rPr>
        <w:t>,</w:t>
      </w:r>
    </w:p>
    <w:p w:rsidR="006A4E08" w:rsidRPr="00BE6EB6" w:rsidP="006A4E08" w14:paraId="46B3B7AF" w14:textId="77777777">
      <w:pPr>
        <w:spacing w:after="240"/>
        <w:ind w:left="567" w:hanging="567"/>
      </w:pPr>
      <w:r w:rsidRPr="00BE6EB6">
        <w:t>–</w:t>
      </w:r>
      <w:r w:rsidRPr="00BE6EB6">
        <w:tab/>
        <w:t>vista la decisione (UE, Euratom) 2020/2053 del Consiglio, del 14 dicembre 2020, relativa al sistema delle risorse proprie dell'Unione europea e che abroga la decisione 2014/335/UE, Euratom</w:t>
      </w:r>
      <w:r>
        <w:rPr>
          <w:vertAlign w:val="superscript"/>
        </w:rPr>
        <w:footnoteReference w:id="6"/>
      </w:r>
      <w:r w:rsidRPr="00BE6EB6">
        <w:t>,</w:t>
      </w:r>
    </w:p>
    <w:p w:rsidR="006A4E08" w:rsidRPr="00BE6EB6" w:rsidP="006A4E08" w14:paraId="779A7C21" w14:textId="77777777">
      <w:pPr>
        <w:spacing w:after="240"/>
        <w:ind w:left="567" w:hanging="567"/>
      </w:pPr>
      <w:r w:rsidRPr="00BE6EB6">
        <w:t>–</w:t>
      </w:r>
      <w:r w:rsidRPr="00BE6EB6">
        <w:tab/>
        <w:t>vista la sua risoluzione del 28 aprile 2026 sulla proposta di regolamento del Consiglio che stabilisce il quadro finanziario pluriennale per il periodo 2028-2034</w:t>
      </w:r>
      <w:r>
        <w:rPr>
          <w:rStyle w:val="FootnoteReference"/>
        </w:rPr>
        <w:footnoteReference w:id="7"/>
      </w:r>
      <w:r w:rsidRPr="00BE6EB6">
        <w:t>,</w:t>
      </w:r>
    </w:p>
    <w:p w:rsidR="006A4E08" w:rsidRPr="00BE6EB6" w:rsidP="006A4E08" w14:paraId="7C98E9BB" w14:textId="77777777">
      <w:pPr>
        <w:spacing w:after="240"/>
        <w:ind w:left="567" w:hanging="567"/>
      </w:pPr>
      <w:r w:rsidRPr="00BE6EB6">
        <w:t>–</w:t>
      </w:r>
      <w:r w:rsidRPr="00BE6EB6">
        <w:tab/>
        <w:t>visto il progetto di bilancio rettificativo n. 2/2026 adottato dalla Commissione il 9 giugno 2026 (COM(2026)0460),</w:t>
      </w:r>
    </w:p>
    <w:p w:rsidR="006A4E08" w:rsidRPr="00BE6EB6" w:rsidP="006A4E08" w14:paraId="114BB2EE" w14:textId="77777777">
      <w:pPr>
        <w:spacing w:after="240"/>
        <w:ind w:left="567" w:hanging="567"/>
      </w:pPr>
      <w:r w:rsidRPr="00BE6EB6">
        <w:t>–</w:t>
      </w:r>
      <w:r w:rsidRPr="00BE6EB6">
        <w:tab/>
        <w:t>vista la posizione sul progetto di bilancio rettificativo n. 2/2026 adottata dal Consiglio il 4 settembre 2026 e comunicata al Parlamento europeo lo stesso giorno (11540/2026 – C10</w:t>
      </w:r>
      <w:r w:rsidRPr="00BE6EB6">
        <w:noBreakHyphen/>
        <w:t>0207/2026),</w:t>
      </w:r>
    </w:p>
    <w:p w:rsidR="006A4E08" w:rsidRPr="00BE6EB6" w:rsidP="006A4E08" w14:paraId="201C2204" w14:textId="77777777">
      <w:pPr>
        <w:spacing w:after="240"/>
        <w:ind w:left="567" w:hanging="567"/>
      </w:pPr>
      <w:r w:rsidRPr="00BE6EB6">
        <w:t>–</w:t>
      </w:r>
      <w:r w:rsidRPr="00BE6EB6">
        <w:tab/>
        <w:t>visti gli articoli 96 e 98 del suo regolamento,</w:t>
      </w:r>
    </w:p>
    <w:p w:rsidR="006A4E08" w:rsidRPr="00BE6EB6" w:rsidP="006A4E08" w14:paraId="7251A6DA" w14:textId="77777777">
      <w:pPr>
        <w:spacing w:after="240"/>
        <w:ind w:left="567" w:hanging="567"/>
      </w:pPr>
      <w:r w:rsidRPr="00BE6EB6">
        <w:t>–</w:t>
      </w:r>
      <w:r w:rsidRPr="00BE6EB6">
        <w:tab/>
        <w:t>vista la relazione della commissione per i bilanci (A10-0224/2026),</w:t>
      </w:r>
    </w:p>
    <w:p w:rsidR="006A4E08" w:rsidRPr="00BE6EB6" w:rsidP="006A4E08" w14:paraId="417AEA43" w14:textId="77777777">
      <w:pPr>
        <w:spacing w:after="240"/>
        <w:ind w:left="567" w:hanging="567"/>
        <w:rPr>
          <w:color w:val="000000"/>
        </w:rPr>
      </w:pPr>
      <w:r w:rsidRPr="00BE6EB6">
        <w:rPr>
          <w:color w:val="000000"/>
        </w:rPr>
        <w:t>A.</w:t>
      </w:r>
      <w:r w:rsidRPr="00BE6EB6">
        <w:rPr>
          <w:color w:val="000000"/>
        </w:rPr>
        <w:tab/>
        <w:t xml:space="preserve">considerando che il progetto di bilancio rettificativo n. 2/2026 ha lo scopo di apportare adeguamenti delle spese, in particolare per quanto riguarda gli stanziamenti di pagamento, e di aggiornare le entrate del bilancio dell'Unione; </w:t>
      </w:r>
    </w:p>
    <w:p w:rsidR="006A4E08" w:rsidRPr="00BE6EB6" w:rsidP="006A4E08" w14:paraId="2379E9ED" w14:textId="77777777">
      <w:pPr>
        <w:spacing w:after="240"/>
        <w:ind w:left="567" w:hanging="567"/>
        <w:rPr>
          <w:color w:val="000000"/>
        </w:rPr>
      </w:pPr>
      <w:r w:rsidRPr="00BE6EB6">
        <w:rPr>
          <w:color w:val="000000"/>
        </w:rPr>
        <w:t>B.</w:t>
      </w:r>
      <w:r w:rsidRPr="00BE6EB6">
        <w:rPr>
          <w:color w:val="000000"/>
        </w:rPr>
        <w:tab/>
        <w:t xml:space="preserve">considerando che, per quanto concerne le spese, il progetto di bilancio rettificativo n. 2/2026 comporta un aumento netto di 444,2 milioni di EUR in stanziamenti di impegno e un aumento di 8 004,2 milioni di EUR in stanziamenti di pagamento; </w:t>
      </w:r>
    </w:p>
    <w:p w:rsidR="006A4E08" w:rsidRPr="00BE6EB6" w:rsidP="006A4E08" w14:paraId="170FFDEB" w14:textId="77777777">
      <w:pPr>
        <w:spacing w:after="240"/>
        <w:ind w:left="567" w:hanging="567"/>
        <w:rPr>
          <w:color w:val="000000"/>
        </w:rPr>
      </w:pPr>
      <w:r w:rsidRPr="00BE6EB6">
        <w:rPr>
          <w:color w:val="000000"/>
        </w:rPr>
        <w:t>C.</w:t>
      </w:r>
      <w:r w:rsidRPr="00BE6EB6">
        <w:rPr>
          <w:color w:val="000000"/>
        </w:rPr>
        <w:tab/>
        <w:t>considerando che, sul versante delle entrate, il progetto di bilancio rettificativo n. 2/2026 comporta un aumento dell'importo delle risorse proprie diverse dall'RNL di 2 997,9 milioni di EUR, nonché un aumento di altre entrate pari a 641,3 milioni di EUR (quale effetto combinato dell'aumento di 1 199,1 milioni di EUR delle entrate derivanti dalle ammende e della diminuzione pari a 557,8 milioni di EUR del contributo del Regno Unito);</w:t>
      </w:r>
    </w:p>
    <w:p w:rsidR="006A4E08" w:rsidRPr="00BE6EB6" w:rsidP="006A4E08" w14:paraId="5B8CEB86" w14:textId="77777777">
      <w:pPr>
        <w:spacing w:after="240"/>
        <w:ind w:left="567" w:hanging="567"/>
        <w:rPr>
          <w:color w:val="000000"/>
        </w:rPr>
      </w:pPr>
      <w:r w:rsidRPr="00BE6EB6">
        <w:rPr>
          <w:color w:val="000000"/>
        </w:rPr>
        <w:t>D.</w:t>
      </w:r>
      <w:r w:rsidRPr="00BE6EB6">
        <w:rPr>
          <w:color w:val="000000"/>
        </w:rPr>
        <w:tab/>
        <w:t>considerando che, a seguito di tali adeguamenti, sono richiesti contributi basati sull'RNL supplementari pari a 4 364,9 milioni di EUR rispetto al progetto di bilancio rettificativo n. 1/2026 per soddisfare il fabbisogno di pagamenti;</w:t>
      </w:r>
    </w:p>
    <w:p w:rsidR="006A4E08" w:rsidRPr="00BE6EB6" w:rsidP="006A4E08" w14:paraId="483454A3" w14:textId="77777777">
      <w:pPr>
        <w:spacing w:after="240"/>
        <w:ind w:left="567" w:hanging="567"/>
        <w:rPr>
          <w:color w:val="000000"/>
        </w:rPr>
      </w:pPr>
      <w:r w:rsidRPr="00BE6EB6">
        <w:rPr>
          <w:color w:val="000000"/>
        </w:rPr>
        <w:t xml:space="preserve">E. </w:t>
      </w:r>
      <w:r w:rsidRPr="00BE6EB6">
        <w:rPr>
          <w:color w:val="000000"/>
        </w:rPr>
        <w:tab/>
        <w:t>considerando che il deterioramento della situazione della sicurezza in diverse regioni alla frontiera orientale dell'Unione, comprese le ripetute incursioni di droni militari connesse alla guerra di aggressione condotta dalla Russia contro l'Ucraina, sta già avendo gravi conseguenze economiche in molteplici settori, in particolare per le PMI;</w:t>
      </w:r>
    </w:p>
    <w:p w:rsidR="006A4E08" w:rsidRPr="00BE6EB6" w:rsidP="006A4E08" w14:paraId="1A9FCCB4" w14:textId="77777777">
      <w:pPr>
        <w:spacing w:after="240"/>
        <w:ind w:left="567" w:hanging="567"/>
        <w:rPr>
          <w:color w:val="000000"/>
        </w:rPr>
      </w:pPr>
      <w:r w:rsidRPr="00BE6EB6">
        <w:rPr>
          <w:color w:val="000000"/>
        </w:rPr>
        <w:t>1.</w:t>
      </w:r>
      <w:r w:rsidRPr="00BE6EB6">
        <w:rPr>
          <w:color w:val="000000"/>
        </w:rPr>
        <w:tab/>
        <w:t>prende atto del progetto di bilancio rettificativo n. 2/2026 quale presentato dalla Commissione;</w:t>
      </w:r>
    </w:p>
    <w:p w:rsidR="006A4E08" w:rsidRPr="00BE6EB6" w:rsidP="006A4E08" w14:paraId="7F7CE6E9" w14:textId="77777777">
      <w:pPr>
        <w:spacing w:after="240"/>
        <w:ind w:left="567" w:hanging="567"/>
        <w:rPr>
          <w:color w:val="000000"/>
        </w:rPr>
      </w:pPr>
      <w:r w:rsidRPr="00BE6EB6">
        <w:rPr>
          <w:color w:val="000000"/>
        </w:rPr>
        <w:t>2.</w:t>
      </w:r>
      <w:r w:rsidRPr="00BE6EB6">
        <w:rPr>
          <w:color w:val="000000"/>
        </w:rPr>
        <w:tab/>
        <w:t>accoglie con favore l'aumento degli stanziamenti di pagamento per i programmi di coesione, pari a 5,4 miliardi di EUR, nonché l'aumento degli stanziamenti di pagamento per i piani strategici della PAC nell'ambito del Fondo europeo agricolo per lo sviluppo rurale (FEASR), pari a 2,2 miliardi di EUR, il che dimostra la prosecuzione dei notevoli progressi in termini di attuazione registrati a partire dal 2025; osserva tuttavia che l'arretrato della coesione dal 2025, unitamente all'accelerazione del ritmo di attuazione, determina una pressione sul bilancio 2026; invita la Commissione a continuare a monitorare l'esecuzione di tutto il bilancio nel contesto del prossimo esercizio di storno globale e ad adottare tutte le misure necessarie per attenuare il rischio di esaurire gli stanziamenti di pagamento; ritiene, inoltre, che l'aumento dei pagamenti nel 2026 dovrebbe contribuire ad alleviare la pressione sui pagamenti nel 2027 e garantire l'erogazione tempestiva dei fondi dell'Unione ai beneficiari, agli enti locali e regionali e alle regioni meno sviluppate;</w:t>
      </w:r>
    </w:p>
    <w:p w:rsidR="006A4E08" w:rsidRPr="00BE6EB6" w:rsidP="006A4E08" w14:paraId="75B36A75" w14:textId="77777777">
      <w:pPr>
        <w:spacing w:after="240"/>
        <w:ind w:left="567" w:hanging="567"/>
        <w:rPr>
          <w:color w:val="000000"/>
        </w:rPr>
      </w:pPr>
      <w:bookmarkStart w:id="2" w:name="_Hlk239265251"/>
      <w:r w:rsidRPr="00BE6EB6">
        <w:rPr>
          <w:color w:val="000000"/>
        </w:rPr>
        <w:t>3.</w:t>
      </w:r>
      <w:r w:rsidRPr="00BE6EB6">
        <w:rPr>
          <w:color w:val="000000"/>
        </w:rPr>
        <w:tab/>
        <w:t>esprime profonda preoccupazione dinanzi al deterioramento della situazione della sicurezza nelle regioni alla frontiera orientale dell'Unione a seguito delle ripetute incursioni di droni militari e di altre minacce ibride connesse alla guerra di aggressione condotta dalla Russia contro l'Ucraina; invita la Commissione a monitorare attentamente gli sviluppi, a valutare con urgenza le conseguenze socioeconomiche e di bilancio che ne derivano e, se del caso, a proporre le misure di bilancio necessarie, anche mediante un successivo progetto di bilancio rettificativo, per fornire un sostegno tempestivo dell'Unione alle regioni colpite; invita inoltre la Commissione a individuare e mobilitare con urgenza nel 2026 i finanziamenti necessari per la creazione di poli europei per la sicurezza marittima e la difesa;</w:t>
      </w:r>
      <w:bookmarkEnd w:id="2"/>
    </w:p>
    <w:p w:rsidR="006A4E08" w:rsidRPr="00BE6EB6" w:rsidP="006A4E08" w14:paraId="7F080768" w14:textId="77777777">
      <w:pPr>
        <w:spacing w:after="240"/>
        <w:ind w:left="567" w:hanging="567"/>
        <w:rPr>
          <w:color w:val="000000"/>
        </w:rPr>
      </w:pPr>
      <w:r w:rsidRPr="00BE6EB6">
        <w:rPr>
          <w:color w:val="000000"/>
        </w:rPr>
        <w:t>4.</w:t>
      </w:r>
      <w:r w:rsidRPr="00BE6EB6">
        <w:rPr>
          <w:color w:val="000000"/>
        </w:rPr>
        <w:tab/>
        <w:t xml:space="preserve">prende atto del piano d'azione per i concimi, adottato dalla Commissione il 19 maggio 2026, e della corrispondente proposta di aumentare la riserva agricola di 300 milioni di EUR per fornire rapidamente aiuti eccezionali agli agricoltori che si trovano ad affrontare gravi problemi di liquidità; invita la Commissione a continuare a monitorare la situazione globale per quanto riguarda possibili ulteriori shock del mercato che interessino gli agricoltori; </w:t>
      </w:r>
      <w:r w:rsidRPr="00BE6EB6">
        <w:t>prende atto, inoltre, del rafforzamento proposto di 140 milioni di EUR volto a coprire il fabbisogno del Fondo europeo agricolo di garanzia (FEAGA) e a compensare le entrate con destinazione specifica inferiori al previsto da riscuotere nel 2026, dopo l'integrazione delle decisioni di liquidazione effettive;</w:t>
      </w:r>
      <w:r w:rsidRPr="00BE6EB6">
        <w:rPr>
          <w:color w:val="000000"/>
        </w:rPr>
        <w:t xml:space="preserve"> sottolinea che il sostegno in caso di crisi non deve sostituire la necessità di una politica agricola comune forte, prevedibile e adeguatamente finanziata;</w:t>
      </w:r>
    </w:p>
    <w:p w:rsidR="006A4E08" w:rsidRPr="00BE6EB6" w:rsidP="006A4E08" w14:paraId="72111930" w14:textId="77777777">
      <w:pPr>
        <w:spacing w:after="240"/>
        <w:ind w:left="567" w:hanging="567"/>
        <w:rPr>
          <w:color w:val="000000"/>
        </w:rPr>
      </w:pPr>
      <w:r w:rsidRPr="00BE6EB6">
        <w:rPr>
          <w:color w:val="000000"/>
        </w:rPr>
        <w:t>5.</w:t>
      </w:r>
      <w:r w:rsidRPr="00BE6EB6">
        <w:rPr>
          <w:color w:val="000000"/>
        </w:rPr>
        <w:tab/>
        <w:t>prende atto del nuovo tipo di gestione finanziaria, giuridica e di bilancio necessario per il prestito a sostegno dell'Ucraina, che richiede ulteriori competenze ai fini della sua attuazione da parte della Commissione, con un totale di 53 posti nella tabella dell'organico, di cui 41 in più rispetto all'organico stabile, in linea con la scheda finanziaria e digitale legislativa allegata alla proposta della Commissione di regolamento del Parlamento europeo e del Consiglio relativo all'attuazione di una cooperazione rafforzata sull'istituzione del prestito a sostegno dell'Ucraina per il 2026 e il 2027</w:t>
      </w:r>
      <w:r>
        <w:rPr>
          <w:rStyle w:val="FootnoteReference"/>
          <w:color w:val="000000"/>
        </w:rPr>
        <w:footnoteReference w:id="8"/>
      </w:r>
      <w:r w:rsidRPr="00BE6EB6">
        <w:rPr>
          <w:color w:val="000000"/>
        </w:rPr>
        <w:t>; prende atto dell'incidenza sul bilancio stimata a 3,2 milioni di EUR nella rubrica 7 sulla base di una presenza di sei mesi nel 2026; rimarca con preoccupazione che il principio della stabilità dell'organico che la Commissione si è autoimposta si è rivelato controproducente per rispondere alle necessità operative; ricorda che il Parlamento ha sostenuto il rafforzamento della rubrica 7 nell'ambito della revisione del QFP del 2023;</w:t>
      </w:r>
      <w:r w:rsidRPr="00BE6EB6">
        <w:rPr>
          <w:color w:val="000000" w:themeColor="text1"/>
        </w:rPr>
        <w:t xml:space="preserve"> rileva i continui sforzi compiuti dalle istituzioni per riassegnare il personale e trovare ulteriori miglioramenti in termini di efficienza, ma riconosce i limiti di tale approccio nel corso degli anni; </w:t>
      </w:r>
      <w:r w:rsidRPr="00BE6EB6">
        <w:t>sottolinea che è inevitabile rafforzare il personale ove necessario, affinché le istituzioni possano adempiere ai loro mandati e, in tale contesto, ricorda la posizione del Parlamento secondo cui ogni nuovo compito dovrebbe essere coperto da risorse aggiuntive;</w:t>
      </w:r>
    </w:p>
    <w:p w:rsidR="006A4E08" w:rsidRPr="00BE6EB6" w:rsidP="006A4E08" w14:paraId="150042BF" w14:textId="77777777">
      <w:pPr>
        <w:spacing w:after="240"/>
        <w:ind w:left="567" w:hanging="567"/>
        <w:rPr>
          <w:color w:val="000000"/>
        </w:rPr>
      </w:pPr>
      <w:r w:rsidRPr="00BE6EB6">
        <w:rPr>
          <w:color w:val="000000"/>
        </w:rPr>
        <w:t>6.</w:t>
      </w:r>
      <w:r w:rsidRPr="00BE6EB6">
        <w:rPr>
          <w:color w:val="000000"/>
        </w:rPr>
        <w:tab/>
        <w:t xml:space="preserve">prende atto, inoltre, del fabbisogno supplementare di 1 milione di EUR in spese di sostegno nell'ambito della rubrica 2b per le attività di assunzione di prestiti e di gestione del debito relative al prestito a sostegno dell'Ucraina, che sarà coperto nel quadro dell'approccio unificato dell'UE in materia di finanziamenti; </w:t>
      </w:r>
      <w:r w:rsidRPr="00BE6EB6">
        <w:t>ricorda che tali costi costituiscono un onere aggiuntivo in un contesto di risorse estremamente scarse; ricorda altresì che la revisione del QFP ha creato lo strumento per il prestito a sostegno dell'Ucraina al solo scopo di finanziare il costo del servizio del debito per il prestito a sostegno dell'Ucraina; insiste sulla necessità che la Commissione fornisca informazioni affidabili, tempestive e accurate sugli oneri finanziari nonché sull'aggregazione delle passività coperte dal margine di manovra che dipendono dalle operazioni di assunzione e di erogazione di prestiti;</w:t>
      </w:r>
    </w:p>
    <w:p w:rsidR="006A4E08" w:rsidRPr="00BE6EB6" w:rsidP="006A4E08" w14:paraId="460D5A0D" w14:textId="77777777">
      <w:pPr>
        <w:spacing w:after="240"/>
        <w:ind w:left="567" w:hanging="567"/>
        <w:rPr>
          <w:color w:val="000000"/>
        </w:rPr>
      </w:pPr>
      <w:r w:rsidRPr="00BE6EB6">
        <w:rPr>
          <w:color w:val="000000"/>
        </w:rPr>
        <w:t>7.</w:t>
      </w:r>
      <w:r w:rsidRPr="00BE6EB6">
        <w:rPr>
          <w:color w:val="000000"/>
        </w:rPr>
        <w:tab/>
      </w:r>
      <w:r w:rsidRPr="00BE6EB6">
        <w:t>prende atto del fatto che, in assenza di margini nell'ambito della sottorubrica 2b e della rubrica 7, la Commissione propone di mobilitare lo strumento di flessibilità per un importo pari a 1 milione di EUR e lo strumento unico di margine per un importo pari a 3,2 milioni di EUR;</w:t>
      </w:r>
      <w:r w:rsidRPr="00BE6EB6">
        <w:rPr>
          <w:color w:val="000000"/>
        </w:rPr>
        <w:t xml:space="preserve"> ribadisce la sua profonda preoccupazione dinanzi al livello molto limitato di disponibilità nel bilancio 2026 per quanto riguarda le priorità e le esigenze di bilancio dell'Unione nonché la capacità di reagire alle emergenze e alle esigenze impreviste; </w:t>
      </w:r>
    </w:p>
    <w:p w:rsidR="006A4E08" w:rsidRPr="00BE6EB6" w:rsidP="006A4E08" w14:paraId="09447533" w14:textId="77777777">
      <w:pPr>
        <w:spacing w:after="240"/>
        <w:ind w:left="567" w:hanging="567"/>
        <w:rPr>
          <w:color w:val="000000"/>
        </w:rPr>
      </w:pPr>
      <w:r w:rsidRPr="00BE6EB6">
        <w:rPr>
          <w:color w:val="000000"/>
        </w:rPr>
        <w:t>8.</w:t>
      </w:r>
      <w:r w:rsidRPr="00BE6EB6">
        <w:rPr>
          <w:color w:val="000000"/>
        </w:rPr>
        <w:tab/>
        <w:t>prende atto del fatto che i negoziati sulla proposta di direttiva sulle asserzioni ambientali</w:t>
      </w:r>
      <w:r>
        <w:rPr>
          <w:rStyle w:val="FootnoteReference"/>
          <w:color w:val="000000"/>
        </w:rPr>
        <w:footnoteReference w:id="9"/>
      </w:r>
      <w:r w:rsidRPr="00BE6EB6">
        <w:rPr>
          <w:color w:val="000000"/>
        </w:rPr>
        <w:t xml:space="preserve"> sono in fase di stallo e che la proposta della Commissione relativa al monitoraggio delle foreste europee è stata ritirata dall'elenco delle iniziative in sospeso della Commissione; osserva che, di conseguenza, tutte le risorse finanziarie corrispondenti previste per l'esecuzione dei pertinenti compiti da parte dell'Agenzia europea dell'ambiente possono essere restituite al programma LIFE, dal quale tali stanziamenti erano stati inizialmente compensati;</w:t>
      </w:r>
    </w:p>
    <w:p w:rsidR="006A4E08" w:rsidRPr="00BE6EB6" w:rsidP="006A4E08" w14:paraId="2250DC27" w14:textId="77777777">
      <w:pPr>
        <w:spacing w:after="240"/>
        <w:ind w:left="567" w:hanging="567"/>
        <w:rPr>
          <w:color w:val="000000"/>
        </w:rPr>
      </w:pPr>
      <w:bookmarkStart w:id="3" w:name="_Hlk232524759"/>
      <w:r w:rsidRPr="00BE6EB6">
        <w:rPr>
          <w:color w:val="000000"/>
        </w:rPr>
        <w:t>9.</w:t>
      </w:r>
      <w:r w:rsidRPr="00BE6EB6">
        <w:rPr>
          <w:color w:val="000000"/>
        </w:rPr>
        <w:tab/>
        <w:t>prende atto dei commenti aggiornati per InvestEU a seguito dell'adozione del regolamento InvestEU/Omnibus II, quale mezzo per migliorare la coerenza di bilancio e rispecchiare l'attuale stato di attuazione;</w:t>
      </w:r>
      <w:bookmarkEnd w:id="3"/>
    </w:p>
    <w:p w:rsidR="006A4E08" w:rsidRPr="00BE6EB6" w:rsidP="006A4E08" w14:paraId="131A879B" w14:textId="77777777">
      <w:pPr>
        <w:spacing w:after="240"/>
        <w:ind w:left="567" w:hanging="567"/>
        <w:rPr>
          <w:color w:val="000000"/>
        </w:rPr>
      </w:pPr>
      <w:r w:rsidRPr="00BE6EB6">
        <w:rPr>
          <w:color w:val="000000"/>
        </w:rPr>
        <w:t>10.</w:t>
      </w:r>
      <w:r w:rsidRPr="00BE6EB6">
        <w:rPr>
          <w:color w:val="000000"/>
        </w:rPr>
        <w:tab/>
        <w:t>ribadisce la sua richiesta di lunga data relativa a entrate sostenibili, prevedibili e resilienti per il bilancio dell'Unione a norma dell'articolo 310 TFUE, che dovrebbero corrispondere al versante delle spese nonché alle priorità strategiche e alle esigenze di finanziamento individuate dell'Unione; ribadisce il fermo impegno del Parlamento a introdurre nuove risorse proprie, non solo per il rimborso del debito di NGEU, ma anche per finanziare le maggiori ambizioni politiche dell'Unione; ricorda che, senza nuove e autentiche risorse proprie, l'onere finanziario ricadrà inevitabilmente sugli Stati membri attraverso l'aumento dei contributi basati sull'RNL; ritiene pertanto che la posizione del Parlamento per quanto riguarda la necessità di introdurre un paniere equilibrato di nuove risorse proprie autentiche, eque e sostenibili per almeno 60 miliardi di EUR all'anno sia una condizione essenziale per un QFP ambizioso per il periodo 2028-2034; sottolinea, in tale contesto, che il Parlamento ha proposto tre nuove risorse proprie oltre a quelle previste dalle proposte della Commissione: un prelievo sul digitale, un prelievo sul gioco d'azzardo online e un prelievo sulle cripto-attività; invita il Consiglio e la Commissione a tenere pienamente conto delle proposte del Parlamento nelle discussioni in corso sul prossimo QFP e sul futuro sistema delle risorse proprie, al fine di garantire entrate dell'Unione prevedibili e commisurate alle sue priorità;</w:t>
      </w:r>
    </w:p>
    <w:p w:rsidR="006A4E08" w:rsidRPr="00BE6EB6" w:rsidP="006A4E08" w14:paraId="7BD10B10" w14:textId="77777777">
      <w:pPr>
        <w:spacing w:after="240"/>
        <w:ind w:left="567" w:hanging="567"/>
        <w:rPr>
          <w:color w:val="000000"/>
        </w:rPr>
      </w:pPr>
      <w:r w:rsidRPr="00BE6EB6">
        <w:rPr>
          <w:color w:val="000000"/>
        </w:rPr>
        <w:t>11.</w:t>
      </w:r>
      <w:r w:rsidRPr="00BE6EB6">
        <w:rPr>
          <w:color w:val="000000"/>
        </w:rPr>
        <w:tab/>
        <w:t>approva la posizione del Consiglio sul progetto di bilancio rettificativo n. 2/2026;</w:t>
      </w:r>
    </w:p>
    <w:p w:rsidR="006A4E08" w:rsidRPr="00BE6EB6" w:rsidP="006A4E08" w14:paraId="1DA26923" w14:textId="77777777">
      <w:pPr>
        <w:spacing w:after="240"/>
        <w:ind w:left="567" w:hanging="567"/>
        <w:rPr>
          <w:color w:val="000000"/>
        </w:rPr>
      </w:pPr>
      <w:r w:rsidRPr="00BE6EB6">
        <w:rPr>
          <w:color w:val="000000"/>
        </w:rPr>
        <w:t>12.</w:t>
      </w:r>
      <w:r w:rsidRPr="00BE6EB6">
        <w:rPr>
          <w:color w:val="000000"/>
        </w:rPr>
        <w:tab/>
        <w:t xml:space="preserve">incarica la sua Presidente di constatare che il bilancio rettificativo n. 2/2026 è definitivamente adottato e di provvedere alla sua pubblicazione nella </w:t>
      </w:r>
      <w:r w:rsidRPr="00BE6EB6">
        <w:rPr>
          <w:i/>
          <w:iCs/>
          <w:color w:val="000000"/>
        </w:rPr>
        <w:t>Gazzetta ufficiale dell'Unione europea</w:t>
      </w:r>
      <w:r w:rsidRPr="00BE6EB6">
        <w:rPr>
          <w:color w:val="000000"/>
        </w:rPr>
        <w:t>;</w:t>
      </w:r>
    </w:p>
    <w:p w:rsidR="006A4E08" w:rsidRPr="00BE6EB6" w:rsidP="006A4E08" w14:paraId="7AA83529" w14:textId="77777777">
      <w:pPr>
        <w:ind w:left="567" w:hanging="567"/>
      </w:pPr>
      <w:r w:rsidRPr="00BE6EB6">
        <w:t>13.</w:t>
      </w:r>
      <w:r w:rsidRPr="00BE6EB6">
        <w:tab/>
        <w:t>incarica la sua Presidente di trasmettere la presente risoluzione al Consiglio e alla Commissione e ai parlamenti nazionali.</w:t>
      </w:r>
    </w:p>
    <w:p w:rsidR="006A4E08" w:rsidRPr="00BE6EB6" w:rsidP="006A4E08" w14:paraId="476CF2BA" w14:textId="77777777">
      <w:pPr>
        <w:widowControl/>
        <w:sectPr w:rsidSect="00BE6EB6">
          <w:headerReference w:type="even" r:id="rId6"/>
          <w:headerReference w:type="default" r:id="rId7"/>
          <w:footerReference w:type="even" r:id="rId8"/>
          <w:footerReference w:type="default" r:id="rId9"/>
          <w:headerReference w:type="first" r:id="rId10"/>
          <w:footerReference w:type="first" r:id="rId11"/>
          <w:footnotePr>
            <w:numRestart w:val="eachSect"/>
          </w:footnotePr>
          <w:endnotePr>
            <w:numFmt w:val="decimal"/>
          </w:endnotePr>
          <w:pgSz w:w="11906" w:h="16838" w:code="9"/>
          <w:pgMar w:top="1134" w:right="1418" w:bottom="1418" w:left="1418" w:header="1134" w:footer="567" w:gutter="0"/>
          <w:cols w:space="720"/>
          <w:noEndnote/>
          <w:titlePg/>
        </w:sectPr>
      </w:pPr>
    </w:p>
    <w:p w:rsidR="006A4E08" w:rsidRPr="00BE6EB6" w:rsidP="007041CC" w14:paraId="23E9E9C3" w14:textId="11E7D4E9">
      <w:pPr>
        <w:pStyle w:val="PageHeading"/>
        <w:rPr>
          <w:noProof/>
        </w:rPr>
      </w:pPr>
      <w:bookmarkStart w:id="4" w:name="FootprintPageRR"/>
      <w:bookmarkStart w:id="5" w:name="_Toc239844862"/>
      <w:r w:rsidRPr="00BE6EB6">
        <w:t>ALLEGATO: DICHIARAZIONE DEI CONTRIBUTI</w:t>
      </w:r>
      <w:bookmarkEnd w:id="5"/>
    </w:p>
    <w:p w:rsidR="006A4E08" w:rsidRPr="00BE6EB6" w:rsidP="00B31C6A" w14:paraId="7280831D" w14:textId="052DA8A7">
      <w:pPr>
        <w:pStyle w:val="Normal24a"/>
        <w:spacing w:after="240"/>
      </w:pPr>
      <w:r w:rsidRPr="00BE6EB6">
        <w:rPr>
          <w:rStyle w:val="HideTWBExt"/>
        </w:rPr>
        <w:t>&lt;FootprintIntro&gt;</w:t>
      </w:r>
      <w:r w:rsidRPr="00BE6EB6">
        <w:t>Il relatore dichiara, sotto la sua esclusiva responsabilità, di non aver incluso nella sua relazione alcun contributo di rappresentanti di interessi che rientrano nell'ambito di applicazione dell'accordo interistituzionale su un registro per la trasparenza obbligatorio</w:t>
      </w:r>
      <w:r>
        <w:rPr>
          <w:rStyle w:val="FootnoteReference"/>
        </w:rPr>
        <w:footnoteReference w:id="10"/>
      </w:r>
      <w:r w:rsidRPr="00BE6EB6">
        <w:t>, o di rappresentanti delle pubbliche autorità di paesi terzi, incluse le loro missioni diplomatiche e ambasciate, da enumerare nel presente allegato in virtù dell'allegato I, articolo 8, del regolamento.</w:t>
      </w:r>
      <w:r w:rsidRPr="00BE6EB6">
        <w:rPr>
          <w:rStyle w:val="HideTWBExt"/>
        </w:rPr>
        <w:t>&lt;/FootprintIntro&gt;</w:t>
      </w:r>
    </w:p>
    <w:p w:rsidR="006A4E08" w:rsidRPr="00BE6EB6" w:rsidP="00646AD2" w14:paraId="45E5B67C" w14:textId="05DFB6A8">
      <w:pPr>
        <w:pStyle w:val="Footprint12b"/>
      </w:pPr>
    </w:p>
    <w:p w:rsidR="006A4E08" w:rsidRPr="00BE6EB6" w:rsidP="006A4E08" w14:paraId="1090A7B5" w14:textId="77777777"/>
    <w:bookmarkEnd w:id="4"/>
    <w:p w:rsidR="006A4E08" w:rsidRPr="00BE6EB6" w:rsidP="006A4E08" w14:paraId="187E7C22" w14:textId="77777777">
      <w:pPr>
        <w:sectPr w:rsidSect="006A4E08">
          <w:footnotePr>
            <w:numRestart w:val="eachSect"/>
          </w:footnotePr>
          <w:endnotePr>
            <w:numFmt w:val="decimal"/>
          </w:endnotePr>
          <w:pgSz w:w="11906" w:h="16838" w:code="9"/>
          <w:pgMar w:top="1134" w:right="1418" w:bottom="1418" w:left="1418" w:header="1134" w:footer="567" w:gutter="0"/>
          <w:cols w:space="720"/>
          <w:noEndnote/>
          <w:docGrid w:linePitch="326"/>
        </w:sectPr>
      </w:pPr>
    </w:p>
    <w:p w:rsidR="006A4E08" w:rsidRPr="00BE6EB6" w:rsidP="006A4E08" w14:paraId="30DADC66" w14:textId="77777777">
      <w:pPr>
        <w:pStyle w:val="PageHeading"/>
      </w:pPr>
      <w:bookmarkStart w:id="6" w:name="ProcPageRR"/>
      <w:bookmarkStart w:id="7" w:name="_Toc239844863"/>
      <w:r w:rsidRPr="00BE6EB6">
        <w:t>INFORMAZIONI SULL’APPROVAZIONE</w:t>
      </w:r>
      <w:r w:rsidRPr="00BE6EB6">
        <w:br/>
        <w:t>DA PARTE DELLA COMMISSIONE COMPETENTE PER IL MERITO</w:t>
      </w:r>
      <w:bookmarkEnd w:id="7"/>
    </w:p>
    <w:tbl>
      <w:tblPr>
        <w:tblW w:w="0" w:type="auto"/>
        <w:tblInd w:w="-10" w:type="dxa"/>
        <w:tblLayout w:type="fixed"/>
        <w:tblCellMar>
          <w:left w:w="0" w:type="dxa"/>
          <w:right w:w="0" w:type="dxa"/>
        </w:tblCellMar>
        <w:tblLook w:val="0000"/>
      </w:tblPr>
      <w:tblGrid>
        <w:gridCol w:w="3685"/>
        <w:gridCol w:w="1530"/>
        <w:gridCol w:w="1474"/>
        <w:gridCol w:w="1474"/>
        <w:gridCol w:w="1474"/>
      </w:tblGrid>
      <w:tr w14:paraId="7C76E864" w14:textId="77777777" w:rsidTr="00A92C3A">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6A4E08" w:rsidRPr="00BE6EB6" w:rsidP="00A92C3A" w14:paraId="57460693" w14:textId="77777777">
            <w:pPr>
              <w:autoSpaceDE w:val="0"/>
              <w:autoSpaceDN w:val="0"/>
              <w:adjustRightInd w:val="0"/>
              <w:rPr>
                <w:b/>
                <w:bCs/>
                <w:color w:val="000000"/>
                <w:sz w:val="20"/>
              </w:rPr>
            </w:pPr>
            <w:r w:rsidRPr="00BE6EB6">
              <w:rPr>
                <w:b/>
                <w:color w:val="000000"/>
                <w:sz w:val="20"/>
              </w:rPr>
              <w:t>Approvazione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6A4E08" w:rsidRPr="00BE6EB6" w:rsidP="00A92C3A" w14:paraId="34772738" w14:textId="77777777">
            <w:pPr>
              <w:autoSpaceDE w:val="0"/>
              <w:autoSpaceDN w:val="0"/>
              <w:adjustRightInd w:val="0"/>
              <w:rPr>
                <w:color w:val="000000"/>
                <w:sz w:val="20"/>
              </w:rPr>
            </w:pPr>
            <w:r w:rsidRPr="00BE6EB6">
              <w:rPr>
                <w:color w:val="000000"/>
                <w:sz w:val="20"/>
              </w:rPr>
              <w:t>3.9.2026</w:t>
            </w: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6A4E08" w:rsidRPr="00BE6EB6" w:rsidP="00A92C3A" w14:paraId="5A2865CF"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nil"/>
            </w:tcBorders>
            <w:tcMar>
              <w:top w:w="79" w:type="dxa"/>
              <w:left w:w="79" w:type="dxa"/>
              <w:bottom w:w="79" w:type="dxa"/>
              <w:right w:w="79" w:type="dxa"/>
            </w:tcMar>
          </w:tcPr>
          <w:p w:rsidR="006A4E08" w:rsidRPr="00BE6EB6" w:rsidP="00A92C3A" w14:paraId="5AD6A790" w14:textId="77777777">
            <w:pPr>
              <w:autoSpaceDE w:val="0"/>
              <w:autoSpaceDN w:val="0"/>
              <w:adjustRightInd w:val="0"/>
              <w:rPr>
                <w:rFonts w:ascii="sans-serif" w:hAnsi="sans-serif" w:cs="sans-serif"/>
                <w:color w:val="000000"/>
              </w:rPr>
            </w:pPr>
          </w:p>
        </w:tc>
        <w:tc>
          <w:tcPr>
            <w:tcW w:w="1474" w:type="dxa"/>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6A4E08" w:rsidRPr="00BE6EB6" w:rsidP="00A92C3A" w14:paraId="77E738B1" w14:textId="77777777">
            <w:pPr>
              <w:autoSpaceDE w:val="0"/>
              <w:autoSpaceDN w:val="0"/>
              <w:adjustRightInd w:val="0"/>
              <w:rPr>
                <w:rFonts w:ascii="sans-serif" w:hAnsi="sans-serif" w:cs="sans-serif"/>
                <w:color w:val="000000"/>
              </w:rPr>
            </w:pPr>
          </w:p>
        </w:tc>
      </w:tr>
      <w:tr w14:paraId="18D3B8DA" w14:textId="77777777" w:rsidTr="00A92C3A">
        <w:tblPrEx>
          <w:tblW w:w="0" w:type="auto"/>
          <w:tblInd w:w="-10" w:type="dxa"/>
          <w:tblLayout w:type="fixed"/>
          <w:tblCellMar>
            <w:left w:w="0" w:type="dxa"/>
            <w:right w:w="0" w:type="dxa"/>
          </w:tblCellMar>
          <w:tblLook w:val="0000"/>
        </w:tblPrEx>
        <w:tc>
          <w:tcPr>
            <w:tcW w:w="3685" w:type="dxa"/>
            <w:tcBorders>
              <w:top w:val="single" w:sz="8" w:space="0" w:color="000000"/>
              <w:left w:val="single" w:sz="8" w:space="0" w:color="000000"/>
              <w:bottom w:val="single" w:sz="8" w:space="0" w:color="000000"/>
              <w:right w:val="single" w:sz="8" w:space="0" w:color="000000"/>
            </w:tcBorders>
            <w:tcMar>
              <w:top w:w="79" w:type="dxa"/>
              <w:left w:w="79" w:type="dxa"/>
              <w:bottom w:w="79" w:type="dxa"/>
              <w:right w:w="79" w:type="dxa"/>
            </w:tcMar>
          </w:tcPr>
          <w:p w:rsidR="006A4E08" w:rsidRPr="00BE6EB6" w:rsidP="00A92C3A" w14:paraId="78BE3B89" w14:textId="77777777">
            <w:pPr>
              <w:autoSpaceDE w:val="0"/>
              <w:autoSpaceDN w:val="0"/>
              <w:adjustRightInd w:val="0"/>
              <w:rPr>
                <w:b/>
                <w:bCs/>
                <w:color w:val="000000"/>
                <w:sz w:val="20"/>
              </w:rPr>
            </w:pPr>
            <w:r w:rsidRPr="00BE6EB6">
              <w:rPr>
                <w:b/>
                <w:color w:val="000000"/>
                <w:sz w:val="20"/>
              </w:rPr>
              <w:t>Esito della votazione finale</w:t>
            </w:r>
          </w:p>
        </w:tc>
        <w:tc>
          <w:tcPr>
            <w:tcW w:w="1530" w:type="dxa"/>
            <w:tcBorders>
              <w:top w:val="single" w:sz="8" w:space="0" w:color="000000"/>
              <w:left w:val="nil"/>
              <w:bottom w:val="single" w:sz="8" w:space="0" w:color="000000"/>
              <w:right w:val="nil"/>
            </w:tcBorders>
            <w:tcMar>
              <w:top w:w="79" w:type="dxa"/>
              <w:left w:w="79" w:type="dxa"/>
              <w:bottom w:w="79" w:type="dxa"/>
              <w:right w:w="79" w:type="dxa"/>
            </w:tcMar>
          </w:tcPr>
          <w:p w:rsidR="006A4E08" w:rsidRPr="00BE6EB6" w:rsidP="00A92C3A" w14:paraId="34FEF6AC" w14:textId="77777777">
            <w:pPr>
              <w:autoSpaceDE w:val="0"/>
              <w:autoSpaceDN w:val="0"/>
              <w:adjustRightInd w:val="0"/>
              <w:rPr>
                <w:color w:val="000000"/>
                <w:sz w:val="20"/>
              </w:rPr>
            </w:pPr>
            <w:r w:rsidRPr="00BE6EB6">
              <w:rPr>
                <w:color w:val="000000"/>
                <w:sz w:val="20"/>
              </w:rPr>
              <w:t>+:</w:t>
            </w:r>
          </w:p>
          <w:p w:rsidR="006A4E08" w:rsidRPr="00BE6EB6" w:rsidP="00A92C3A" w14:paraId="344A00B9" w14:textId="77777777">
            <w:pPr>
              <w:autoSpaceDE w:val="0"/>
              <w:autoSpaceDN w:val="0"/>
              <w:adjustRightInd w:val="0"/>
              <w:rPr>
                <w:color w:val="000000"/>
                <w:sz w:val="20"/>
              </w:rPr>
            </w:pPr>
            <w:r w:rsidRPr="00BE6EB6">
              <w:rPr>
                <w:color w:val="000000"/>
                <w:sz w:val="20"/>
              </w:rPr>
              <w:t>–:</w:t>
            </w:r>
          </w:p>
          <w:p w:rsidR="006A4E08" w:rsidRPr="00BE6EB6" w:rsidP="00A92C3A" w14:paraId="160A83B0" w14:textId="77777777">
            <w:pPr>
              <w:autoSpaceDE w:val="0"/>
              <w:autoSpaceDN w:val="0"/>
              <w:adjustRightInd w:val="0"/>
              <w:rPr>
                <w:color w:val="000000"/>
                <w:sz w:val="20"/>
              </w:rPr>
            </w:pPr>
            <w:r w:rsidRPr="00BE6EB6">
              <w:rPr>
                <w:color w:val="000000"/>
                <w:sz w:val="20"/>
              </w:rPr>
              <w:t>0:</w:t>
            </w:r>
          </w:p>
        </w:tc>
        <w:tc>
          <w:tcPr>
            <w:tcW w:w="4422" w:type="dxa"/>
            <w:gridSpan w:val="3"/>
            <w:tcBorders>
              <w:top w:val="single" w:sz="8" w:space="0" w:color="000000"/>
              <w:left w:val="nil"/>
              <w:bottom w:val="single" w:sz="8" w:space="0" w:color="000000"/>
              <w:right w:val="single" w:sz="8" w:space="0" w:color="000000"/>
            </w:tcBorders>
            <w:tcMar>
              <w:top w:w="79" w:type="dxa"/>
              <w:left w:w="79" w:type="dxa"/>
              <w:bottom w:w="79" w:type="dxa"/>
              <w:right w:w="79" w:type="dxa"/>
            </w:tcMar>
          </w:tcPr>
          <w:p w:rsidR="006A4E08" w:rsidRPr="00BE6EB6" w:rsidP="00A92C3A" w14:paraId="2C6ABF8B" w14:textId="77777777">
            <w:pPr>
              <w:autoSpaceDE w:val="0"/>
              <w:autoSpaceDN w:val="0"/>
              <w:adjustRightInd w:val="0"/>
              <w:rPr>
                <w:color w:val="000000"/>
                <w:sz w:val="20"/>
              </w:rPr>
            </w:pPr>
            <w:r w:rsidRPr="00BE6EB6">
              <w:rPr>
                <w:color w:val="000000"/>
                <w:sz w:val="20"/>
              </w:rPr>
              <w:t>21</w:t>
            </w:r>
          </w:p>
          <w:p w:rsidR="006A4E08" w:rsidRPr="00BE6EB6" w:rsidP="00A92C3A" w14:paraId="164311B6" w14:textId="77777777">
            <w:pPr>
              <w:autoSpaceDE w:val="0"/>
              <w:autoSpaceDN w:val="0"/>
              <w:adjustRightInd w:val="0"/>
              <w:rPr>
                <w:color w:val="000000"/>
                <w:sz w:val="20"/>
              </w:rPr>
            </w:pPr>
            <w:r w:rsidRPr="00BE6EB6">
              <w:rPr>
                <w:color w:val="000000"/>
                <w:sz w:val="20"/>
              </w:rPr>
              <w:t>5</w:t>
            </w:r>
          </w:p>
          <w:p w:rsidR="006A4E08" w:rsidRPr="00BE6EB6" w:rsidP="00A92C3A" w14:paraId="260B4145" w14:textId="77777777">
            <w:pPr>
              <w:autoSpaceDE w:val="0"/>
              <w:autoSpaceDN w:val="0"/>
              <w:adjustRightInd w:val="0"/>
              <w:rPr>
                <w:color w:val="000000"/>
                <w:sz w:val="20"/>
              </w:rPr>
            </w:pPr>
            <w:r w:rsidRPr="00BE6EB6">
              <w:rPr>
                <w:color w:val="000000"/>
                <w:sz w:val="20"/>
              </w:rPr>
              <w:t>3</w:t>
            </w:r>
          </w:p>
        </w:tc>
      </w:tr>
    </w:tbl>
    <w:p w:rsidR="006A4E08" w:rsidRPr="00BE6EB6" w:rsidP="006A4E08" w14:paraId="0D67534C" w14:textId="77777777"/>
    <w:bookmarkEnd w:id="6"/>
    <w:p w:rsidR="006A4E08" w:rsidRPr="00BE6EB6" w:rsidP="006A4E08" w14:paraId="4FF344C1" w14:textId="77777777"/>
    <w:p w:rsidR="006A4E08" w:rsidRPr="00BE6EB6" w:rsidP="006A4E08" w14:paraId="42A17827" w14:textId="77777777">
      <w:pPr>
        <w:sectPr w:rsidSect="006A4E08">
          <w:pgSz w:w="11906" w:h="16838" w:code="9"/>
          <w:pgMar w:top="1700" w:right="1417" w:bottom="1417" w:left="1417" w:header="720" w:footer="720" w:gutter="0"/>
          <w:cols w:space="720"/>
          <w:noEndnote/>
          <w:docGrid w:linePitch="326"/>
        </w:sectPr>
      </w:pPr>
    </w:p>
    <w:p w:rsidR="006A4E08" w:rsidRPr="00BE6EB6" w:rsidP="008B71C9" w14:paraId="1B06CADB" w14:textId="765E6BBB">
      <w:pPr>
        <w:pStyle w:val="PageHeading"/>
      </w:pPr>
      <w:bookmarkStart w:id="8" w:name="RollCallPageRR"/>
      <w:bookmarkStart w:id="9" w:name="_Toc239844864"/>
      <w:r w:rsidRPr="00BE6EB6">
        <w:t>VOTAZIONE FINALE PER APPELLO NOMINALE</w:t>
      </w:r>
      <w:r w:rsidRPr="00BE6EB6">
        <w:br/>
        <w:t>DA PARTE DELLA COMMISSIONE COMPETENTE PER IL MERITO</w:t>
      </w:r>
      <w:bookmarkEnd w:id="9"/>
    </w:p>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0C8987E8" w14:textId="77777777" w:rsidTr="00A92C3A">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6A4E08" w:rsidRPr="00BE6EB6" w:rsidP="00A92C3A" w14:paraId="7B9CC7C5" w14:textId="77777777">
            <w:pPr>
              <w:pStyle w:val="RollCallVotes"/>
            </w:pPr>
            <w:r w:rsidRPr="00BE6EB6">
              <w:t>21</w:t>
            </w:r>
          </w:p>
        </w:tc>
        <w:tc>
          <w:tcPr>
            <w:tcW w:w="7371" w:type="dxa"/>
            <w:shd w:val="pct10" w:color="000000" w:fill="FFFFFF"/>
          </w:tcPr>
          <w:p w:rsidR="006A4E08" w:rsidRPr="00BE6EB6" w:rsidP="00A92C3A" w14:paraId="48A8BDE3" w14:textId="77777777">
            <w:pPr>
              <w:pStyle w:val="RollCallSymbols14pt"/>
            </w:pPr>
            <w:r w:rsidRPr="00BE6EB6">
              <w:t>+</w:t>
            </w:r>
          </w:p>
        </w:tc>
      </w:tr>
      <w:tr w14:paraId="4E3E51BF"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132F8BFA" w14:textId="77777777">
            <w:pPr>
              <w:pStyle w:val="RollCallTable"/>
            </w:pPr>
            <w:r w:rsidRPr="00BE6EB6">
              <w:t>PPE</w:t>
            </w:r>
          </w:p>
        </w:tc>
        <w:tc>
          <w:tcPr>
            <w:tcW w:w="7371" w:type="dxa"/>
            <w:shd w:val="clear" w:color="auto" w:fill="FFFFFF"/>
          </w:tcPr>
          <w:p w:rsidR="006A4E08" w:rsidRPr="00BE6EB6" w:rsidP="00A92C3A" w14:paraId="2219AE3E" w14:textId="77777777">
            <w:pPr>
              <w:pStyle w:val="RollCallTable"/>
            </w:pPr>
            <w:r w:rsidRPr="00BE6EB6">
              <w:t>Georgios Aftias, Isabel Benjumea Benjumea, Christian Ehler, Michalis Hadjipantela, Janusz Lewandowski, Fernando Navarrete Rojas, Danuše Nerudová, Jacek Protas, Jüri Ratas, Hélder Sousa Silva</w:t>
            </w:r>
          </w:p>
        </w:tc>
      </w:tr>
      <w:tr w14:paraId="6F5CA019"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47D2E254" w14:textId="77777777">
            <w:pPr>
              <w:pStyle w:val="RollCallTable"/>
            </w:pPr>
            <w:r w:rsidRPr="00BE6EB6">
              <w:t>Renew</w:t>
            </w:r>
          </w:p>
        </w:tc>
        <w:tc>
          <w:tcPr>
            <w:tcW w:w="7371" w:type="dxa"/>
            <w:shd w:val="clear" w:color="auto" w:fill="FFFFFF"/>
          </w:tcPr>
          <w:p w:rsidR="006A4E08" w:rsidRPr="00BE6EB6" w:rsidP="00A92C3A" w14:paraId="00419779" w14:textId="77777777">
            <w:pPr>
              <w:pStyle w:val="RollCallTable"/>
            </w:pPr>
            <w:r w:rsidRPr="00BE6EB6">
              <w:t>Fabienne Keller, Lucia Yar</w:t>
            </w:r>
          </w:p>
        </w:tc>
      </w:tr>
      <w:tr w14:paraId="3F7C00BC"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4F76C031" w14:textId="77777777">
            <w:pPr>
              <w:pStyle w:val="RollCallTable"/>
            </w:pPr>
            <w:r w:rsidRPr="00BE6EB6">
              <w:t>S&amp;D</w:t>
            </w:r>
          </w:p>
        </w:tc>
        <w:tc>
          <w:tcPr>
            <w:tcW w:w="7371" w:type="dxa"/>
            <w:shd w:val="clear" w:color="auto" w:fill="FFFFFF"/>
          </w:tcPr>
          <w:p w:rsidR="006A4E08" w:rsidRPr="00BE6EB6" w:rsidP="00A92C3A" w14:paraId="19B7E940" w14:textId="77777777">
            <w:pPr>
              <w:pStyle w:val="RollCallTable"/>
            </w:pPr>
            <w:r w:rsidRPr="00BE6EB6">
              <w:t>Matthias Ecke, Jonás Fernández, Jean-Marc Germain, Victor Negrescu, Nils Ušakovs</w:t>
            </w:r>
          </w:p>
        </w:tc>
      </w:tr>
      <w:tr w14:paraId="21DB5843"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133506E3" w14:textId="77777777">
            <w:pPr>
              <w:pStyle w:val="RollCallTable"/>
            </w:pPr>
            <w:r w:rsidRPr="00BE6EB6">
              <w:t>The Left</w:t>
            </w:r>
          </w:p>
        </w:tc>
        <w:tc>
          <w:tcPr>
            <w:tcW w:w="7371" w:type="dxa"/>
            <w:shd w:val="clear" w:color="auto" w:fill="FFFFFF"/>
          </w:tcPr>
          <w:p w:rsidR="006A4E08" w:rsidRPr="00BE6EB6" w:rsidP="00A92C3A" w14:paraId="7455FD17" w14:textId="77777777">
            <w:pPr>
              <w:pStyle w:val="RollCallTable"/>
            </w:pPr>
            <w:r w:rsidRPr="00BE6EB6">
              <w:t>Jussi Saramo</w:t>
            </w:r>
          </w:p>
        </w:tc>
      </w:tr>
      <w:tr w14:paraId="67035E83"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76D5D462" w14:textId="77777777">
            <w:pPr>
              <w:pStyle w:val="RollCallTable"/>
            </w:pPr>
            <w:r w:rsidRPr="00BE6EB6">
              <w:t>Verts/ALE</w:t>
            </w:r>
          </w:p>
        </w:tc>
        <w:tc>
          <w:tcPr>
            <w:tcW w:w="7371" w:type="dxa"/>
            <w:shd w:val="clear" w:color="auto" w:fill="FFFFFF"/>
          </w:tcPr>
          <w:p w:rsidR="006A4E08" w:rsidRPr="00BE6EB6" w:rsidP="00A92C3A" w14:paraId="0441AFD6" w14:textId="77777777">
            <w:pPr>
              <w:pStyle w:val="RollCallTable"/>
            </w:pPr>
            <w:r w:rsidRPr="00BE6EB6">
              <w:t>Ignazio Roberto Marino, Rasmus Nordqvist, Kai Tegethoff</w:t>
            </w:r>
          </w:p>
        </w:tc>
      </w:tr>
    </w:tbl>
    <w:p w:rsidR="006A4E08" w:rsidRPr="00BE6EB6" w:rsidP="006A4E08" w14:paraId="074DA328" w14:textId="77777777"/>
    <w:tbl>
      <w:tblPr>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254876A" w14:textId="77777777" w:rsidTr="00A92C3A">
        <w:tblPrEx>
          <w:tblW w:w="0" w:type="auto"/>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6A4E08" w:rsidRPr="00BE6EB6" w:rsidP="00A92C3A" w14:paraId="4878E7A8" w14:textId="77777777">
            <w:pPr>
              <w:pStyle w:val="RollCallVotes"/>
            </w:pPr>
            <w:r w:rsidRPr="00BE6EB6">
              <w:t>5</w:t>
            </w:r>
          </w:p>
        </w:tc>
        <w:tc>
          <w:tcPr>
            <w:tcW w:w="7371" w:type="dxa"/>
            <w:shd w:val="pct10" w:color="000000" w:fill="FFFFFF"/>
          </w:tcPr>
          <w:p w:rsidR="006A4E08" w:rsidRPr="00BE6EB6" w:rsidP="00A92C3A" w14:paraId="615C05B9" w14:textId="77777777">
            <w:pPr>
              <w:pStyle w:val="RollCallSymbols14pt"/>
            </w:pPr>
            <w:r w:rsidRPr="00BE6EB6">
              <w:t>-</w:t>
            </w:r>
          </w:p>
        </w:tc>
      </w:tr>
      <w:tr w14:paraId="0A946F8B"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1FDBB4FE" w14:textId="77777777">
            <w:pPr>
              <w:pStyle w:val="RollCallTable"/>
            </w:pPr>
            <w:r w:rsidRPr="00BE6EB6">
              <w:t>ESN</w:t>
            </w:r>
          </w:p>
        </w:tc>
        <w:tc>
          <w:tcPr>
            <w:tcW w:w="7371" w:type="dxa"/>
            <w:shd w:val="clear" w:color="auto" w:fill="FFFFFF"/>
          </w:tcPr>
          <w:p w:rsidR="006A4E08" w:rsidRPr="00BE6EB6" w:rsidP="00A92C3A" w14:paraId="4ABB32B0" w14:textId="77777777">
            <w:pPr>
              <w:pStyle w:val="RollCallTable"/>
            </w:pPr>
            <w:r w:rsidRPr="00BE6EB6">
              <w:t>Alexander Jungbluth</w:t>
            </w:r>
          </w:p>
        </w:tc>
      </w:tr>
      <w:tr w14:paraId="0FD8D679"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7B87E6A8" w14:textId="77777777">
            <w:pPr>
              <w:pStyle w:val="RollCallTable"/>
            </w:pPr>
            <w:r w:rsidRPr="00BE6EB6">
              <w:t>NI</w:t>
            </w:r>
          </w:p>
        </w:tc>
        <w:tc>
          <w:tcPr>
            <w:tcW w:w="7371" w:type="dxa"/>
            <w:shd w:val="clear" w:color="auto" w:fill="FFFFFF"/>
          </w:tcPr>
          <w:p w:rsidR="006A4E08" w:rsidRPr="00BE6EB6" w:rsidP="00A92C3A" w14:paraId="27A8BFF5" w14:textId="77777777">
            <w:pPr>
              <w:pStyle w:val="RollCallTable"/>
            </w:pPr>
            <w:r w:rsidRPr="00BE6EB6">
              <w:t>Thomas Geisel</w:t>
            </w:r>
          </w:p>
        </w:tc>
      </w:tr>
      <w:tr w14:paraId="3217EF56" w14:textId="77777777" w:rsidTr="00A92C3A">
        <w:tblPrEx>
          <w:tblW w:w="0" w:type="auto"/>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0CA8A9D7" w14:textId="77777777">
            <w:pPr>
              <w:pStyle w:val="RollCallTable"/>
            </w:pPr>
            <w:r w:rsidRPr="00BE6EB6">
              <w:t>PfE</w:t>
            </w:r>
          </w:p>
        </w:tc>
        <w:tc>
          <w:tcPr>
            <w:tcW w:w="7371" w:type="dxa"/>
            <w:shd w:val="clear" w:color="auto" w:fill="FFFFFF"/>
          </w:tcPr>
          <w:p w:rsidR="006A4E08" w:rsidRPr="00BE6EB6" w:rsidP="00A92C3A" w14:paraId="3D885454" w14:textId="77777777">
            <w:pPr>
              <w:pStyle w:val="RollCallTable"/>
            </w:pPr>
            <w:r w:rsidRPr="00BE6EB6">
              <w:t>Tomasz Buczek, Angéline Furet, Julien Sanchez</w:t>
            </w:r>
          </w:p>
        </w:tc>
      </w:tr>
    </w:tbl>
    <w:p w:rsidR="006A4E08" w:rsidRPr="00BE6EB6" w:rsidP="006A4E08" w14:paraId="5B458165" w14:textId="77777777"/>
    <w:tbl>
      <w:tblPr>
        <w:tblW w:w="9072" w:type="dxa"/>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
      <w:tblGrid>
        <w:gridCol w:w="1701"/>
        <w:gridCol w:w="7371"/>
      </w:tblGrid>
      <w:tr w14:paraId="2DFB0C45" w14:textId="77777777" w:rsidTr="00A92C3A">
        <w:tblPrEx>
          <w:tblW w:w="9072" w:type="dxa"/>
          <w:tblInd w:w="145" w:type="dxa"/>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Layout w:type="fixed"/>
          <w:tblCellMar>
            <w:left w:w="145" w:type="dxa"/>
            <w:right w:w="145" w:type="dxa"/>
          </w:tblCellMar>
          <w:tblLook w:val="0000"/>
        </w:tblPrEx>
        <w:trPr>
          <w:cantSplit/>
        </w:trPr>
        <w:tc>
          <w:tcPr>
            <w:tcW w:w="1701" w:type="dxa"/>
            <w:shd w:val="pct10" w:color="000000" w:fill="FFFFFF"/>
            <w:vAlign w:val="center"/>
          </w:tcPr>
          <w:p w:rsidR="006A4E08" w:rsidRPr="00BE6EB6" w:rsidP="00A92C3A" w14:paraId="1481E0A7" w14:textId="77777777">
            <w:pPr>
              <w:pStyle w:val="RollCallVotes"/>
            </w:pPr>
            <w:r w:rsidRPr="00BE6EB6">
              <w:t>3</w:t>
            </w:r>
          </w:p>
        </w:tc>
        <w:tc>
          <w:tcPr>
            <w:tcW w:w="7371" w:type="dxa"/>
            <w:shd w:val="pct10" w:color="000000" w:fill="FFFFFF"/>
          </w:tcPr>
          <w:p w:rsidR="006A4E08" w:rsidRPr="00BE6EB6" w:rsidP="00A92C3A" w14:paraId="55941BCB" w14:textId="77777777">
            <w:pPr>
              <w:pStyle w:val="RollCallSymbols14pt"/>
            </w:pPr>
            <w:r w:rsidRPr="00BE6EB6">
              <w:t>0</w:t>
            </w:r>
          </w:p>
        </w:tc>
      </w:tr>
      <w:tr w14:paraId="75B50C05" w14:textId="77777777" w:rsidTr="00A92C3A">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13127E86" w14:textId="77777777">
            <w:pPr>
              <w:pStyle w:val="RollCallTable"/>
            </w:pPr>
            <w:r w:rsidRPr="00BE6EB6">
              <w:t>ECR</w:t>
            </w:r>
          </w:p>
        </w:tc>
        <w:tc>
          <w:tcPr>
            <w:tcW w:w="7371" w:type="dxa"/>
            <w:shd w:val="clear" w:color="auto" w:fill="FFFFFF"/>
          </w:tcPr>
          <w:p w:rsidR="006A4E08" w:rsidRPr="00BE6EB6" w:rsidP="00A92C3A" w14:paraId="478C8AC9" w14:textId="77777777">
            <w:pPr>
              <w:pStyle w:val="RollCallTable"/>
            </w:pPr>
            <w:r w:rsidRPr="00BE6EB6">
              <w:t>Tobiasz Bocheński, Bogdan Rzońca</w:t>
            </w:r>
          </w:p>
        </w:tc>
      </w:tr>
      <w:tr w14:paraId="060099C1" w14:textId="77777777" w:rsidTr="00A92C3A">
        <w:tblPrEx>
          <w:tblW w:w="9072" w:type="dxa"/>
          <w:tblInd w:w="145" w:type="dxa"/>
          <w:tblLayout w:type="fixed"/>
          <w:tblCellMar>
            <w:left w:w="145" w:type="dxa"/>
            <w:right w:w="145" w:type="dxa"/>
          </w:tblCellMar>
          <w:tblLook w:val="0000"/>
        </w:tblPrEx>
        <w:trPr>
          <w:cantSplit/>
        </w:trPr>
        <w:tc>
          <w:tcPr>
            <w:tcW w:w="1701" w:type="dxa"/>
            <w:shd w:val="clear" w:color="auto" w:fill="FFFFFF"/>
          </w:tcPr>
          <w:p w:rsidR="006A4E08" w:rsidRPr="00BE6EB6" w:rsidP="00A92C3A" w14:paraId="3D9B1533" w14:textId="77777777">
            <w:pPr>
              <w:pStyle w:val="RollCallTable"/>
            </w:pPr>
            <w:r w:rsidRPr="00BE6EB6">
              <w:t>The Left</w:t>
            </w:r>
          </w:p>
        </w:tc>
        <w:tc>
          <w:tcPr>
            <w:tcW w:w="7371" w:type="dxa"/>
            <w:shd w:val="clear" w:color="auto" w:fill="FFFFFF"/>
          </w:tcPr>
          <w:p w:rsidR="006A4E08" w:rsidRPr="00BE6EB6" w:rsidP="00A92C3A" w14:paraId="01892943" w14:textId="77777777">
            <w:pPr>
              <w:pStyle w:val="RollCallTable"/>
            </w:pPr>
            <w:r w:rsidRPr="00BE6EB6">
              <w:t>João Oliveira</w:t>
            </w:r>
          </w:p>
        </w:tc>
      </w:tr>
    </w:tbl>
    <w:p w:rsidR="006A4E08" w:rsidRPr="00BE6EB6" w:rsidP="00147FBF" w14:paraId="3001C781" w14:textId="77777777">
      <w:pPr>
        <w:pStyle w:val="Normal12a"/>
      </w:pPr>
    </w:p>
    <w:p w:rsidR="006A4E08" w:rsidRPr="00BE6EB6" w:rsidP="00B735E3" w14:paraId="4F4F66BF" w14:textId="60C3360A">
      <w:r w:rsidRPr="00BE6EB6">
        <w:t>Significato dei simboli utilizzati:</w:t>
      </w:r>
    </w:p>
    <w:p w:rsidR="006A4E08" w:rsidRPr="00BE6EB6" w:rsidP="001C6342" w14:paraId="342580C8" w14:textId="74C83671">
      <w:pPr>
        <w:pStyle w:val="RollCallTabs"/>
      </w:pPr>
      <w:r w:rsidRPr="00BE6EB6">
        <w:t>+</w:t>
      </w:r>
      <w:r w:rsidRPr="00BE6EB6">
        <w:tab/>
        <w:t>:</w:t>
      </w:r>
      <w:r w:rsidRPr="00BE6EB6">
        <w:tab/>
        <w:t>favorevoli</w:t>
      </w:r>
    </w:p>
    <w:p w:rsidR="006A4E08" w:rsidRPr="00BE6EB6" w:rsidP="001C6342" w14:paraId="1DCA58DE" w14:textId="30EE2EE2">
      <w:pPr>
        <w:pStyle w:val="RollCallTabs"/>
      </w:pPr>
      <w:r w:rsidRPr="00BE6EB6">
        <w:t>-</w:t>
      </w:r>
      <w:r w:rsidRPr="00BE6EB6">
        <w:tab/>
        <w:t>:</w:t>
      </w:r>
      <w:r w:rsidRPr="00BE6EB6">
        <w:tab/>
        <w:t>contrari</w:t>
      </w:r>
    </w:p>
    <w:p w:rsidR="006A4E08" w:rsidRPr="00BE6EB6" w:rsidP="001C6342" w14:paraId="76BFF8D0" w14:textId="7C3ACB86">
      <w:pPr>
        <w:pStyle w:val="RollCallTabs"/>
      </w:pPr>
      <w:r w:rsidRPr="00BE6EB6">
        <w:t>0</w:t>
      </w:r>
      <w:r w:rsidRPr="00BE6EB6">
        <w:tab/>
        <w:t>:</w:t>
      </w:r>
      <w:r w:rsidRPr="00BE6EB6">
        <w:tab/>
        <w:t>astenuti</w:t>
      </w:r>
    </w:p>
    <w:bookmarkEnd w:id="8"/>
    <w:p w:rsidR="00F13DFB" w:rsidRPr="00BE6EB6" w:rsidP="006A4E08" w14:paraId="13AB560D" w14:textId="75C3A945">
      <w:pPr>
        <w:pStyle w:val="PageHeading"/>
      </w:pPr>
    </w:p>
    <w:sectPr w:rsidSect="006A4E08">
      <w:headerReference w:type="even" r:id="rId12"/>
      <w:headerReference w:type="default" r:id="rId13"/>
      <w:headerReference w:type="first" r:id="rId14"/>
      <w:footerReference w:type="first" r:id="rId15"/>
      <w:pgSz w:w="11894" w:h="15840"/>
      <w:pgMar w:top="1700" w:right="1417" w:bottom="1417" w:left="1417"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DokChampa">
    <w:altName w:val="Leelawadee UI"/>
    <w:charset w:val="DE"/>
    <w:family w:val="swiss"/>
    <w:pitch w:val="variable"/>
    <w:sig w:usb0="83000003" w:usb1="00000000" w:usb2="00000000" w:usb3="00000000" w:csb0="00010001" w:csb1="00000000"/>
  </w:font>
  <w:font w:name="sans-serif">
    <w:altName w:val="Calibri"/>
    <w:panose1 w:val="00000000000000000000"/>
    <w:charset w:val="00"/>
    <w:family w:val="auto"/>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6EB6" w:rsidRPr="00BE6EB6" w:rsidP="00BE6EB6" w14:paraId="3E02906E" w14:textId="77777777">
    <w:pPr>
      <w:pStyle w:val="EPFooter"/>
    </w:pPr>
    <w:r w:rsidRPr="00BE6EB6">
      <w:t>PE</w:t>
    </w:r>
    <w:r w:rsidRPr="00BE6EB6">
      <w:rPr>
        <w:rStyle w:val="HideTWBExt"/>
      </w:rPr>
      <w:t>&lt;NoPE&gt;</w:t>
    </w:r>
    <w:r w:rsidRPr="00BE6EB6">
      <w:t>790.007</w:t>
    </w:r>
    <w:r w:rsidRPr="00BE6EB6">
      <w:rPr>
        <w:rStyle w:val="HideTWBExt"/>
      </w:rPr>
      <w:t>&lt;/NoPE&gt;&lt;Version&gt;</w:t>
    </w:r>
    <w:r w:rsidRPr="00BE6EB6">
      <w:t>v02-00</w:t>
    </w:r>
    <w:r w:rsidRPr="00BE6EB6">
      <w:rPr>
        <w:rStyle w:val="HideTWBExt"/>
      </w:rPr>
      <w:t>&lt;/Version&gt;</w:t>
    </w:r>
    <w:r w:rsidRPr="00BE6EB6">
      <w:tab/>
    </w:r>
    <w:r w:rsidRPr="00BE6EB6">
      <w:fldChar w:fldCharType="begin"/>
    </w:r>
    <w:r w:rsidRPr="00BE6EB6">
      <w:instrText xml:space="preserve"> PAGE  \* MERGEFORMAT </w:instrText>
    </w:r>
    <w:r w:rsidRPr="00BE6EB6">
      <w:fldChar w:fldCharType="separate"/>
    </w:r>
    <w:r w:rsidRPr="00BE6EB6">
      <w:rPr>
        <w:noProof/>
      </w:rPr>
      <w:t>2</w:t>
    </w:r>
    <w:r w:rsidRPr="00BE6EB6">
      <w:fldChar w:fldCharType="end"/>
    </w:r>
    <w:r w:rsidRPr="00BE6EB6">
      <w:t>/</w:t>
    </w:r>
    <w:r>
      <w:fldChar w:fldCharType="begin"/>
    </w:r>
    <w:r>
      <w:instrText xml:space="preserve"> NUMPAGES  \* MERGEFORMAT </w:instrText>
    </w:r>
    <w:r>
      <w:fldChar w:fldCharType="separate"/>
    </w:r>
    <w:r w:rsidRPr="00BE6EB6">
      <w:rPr>
        <w:noProof/>
      </w:rPr>
      <w:t>9</w:t>
    </w:r>
    <w:r w:rsidRPr="00BE6EB6">
      <w:rPr>
        <w:noProof/>
      </w:rPr>
      <w:fldChar w:fldCharType="end"/>
    </w:r>
    <w:r w:rsidRPr="00BE6EB6">
      <w:tab/>
    </w:r>
    <w:r w:rsidRPr="00BE6EB6">
      <w:rPr>
        <w:rStyle w:val="HideTWBExt"/>
      </w:rPr>
      <w:t>&lt;PathFdR&gt;</w:t>
    </w:r>
    <w:r w:rsidRPr="00BE6EB6">
      <w:t>RR\1350061IT.docx</w:t>
    </w:r>
    <w:r w:rsidRPr="00BE6EB6">
      <w:rPr>
        <w:rStyle w:val="HideTWBExt"/>
      </w:rPr>
      <w:t>&lt;/PathFdR&gt;</w:t>
    </w:r>
  </w:p>
  <w:p w:rsidR="006A4E08" w:rsidRPr="00BE6EB6" w:rsidP="00BE6EB6" w14:paraId="1F7375FC" w14:textId="58DFEA57">
    <w:pPr>
      <w:pStyle w:val="EPFooter2"/>
    </w:pPr>
    <w:r w:rsidRPr="00BE6EB6">
      <w:t>IT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6EB6" w:rsidRPr="00BE6EB6" w:rsidP="00BE6EB6" w14:paraId="11805690" w14:textId="77777777">
    <w:pPr>
      <w:pStyle w:val="EPFooter"/>
    </w:pPr>
    <w:r w:rsidRPr="00BE6EB6">
      <w:rPr>
        <w:rStyle w:val="HideTWBExt"/>
      </w:rPr>
      <w:t>&lt;PathFdR&gt;</w:t>
    </w:r>
    <w:r w:rsidRPr="00BE6EB6">
      <w:t>RR\1350061IT.docx</w:t>
    </w:r>
    <w:r w:rsidRPr="00BE6EB6">
      <w:rPr>
        <w:rStyle w:val="HideTWBExt"/>
      </w:rPr>
      <w:t>&lt;/PathFdR&gt;</w:t>
    </w:r>
    <w:r w:rsidRPr="00BE6EB6">
      <w:tab/>
    </w:r>
    <w:r w:rsidRPr="00BE6EB6">
      <w:fldChar w:fldCharType="begin"/>
    </w:r>
    <w:r w:rsidRPr="00BE6EB6">
      <w:instrText xml:space="preserve"> PAGE  \* MERGEFORMAT </w:instrText>
    </w:r>
    <w:r w:rsidRPr="00BE6EB6">
      <w:fldChar w:fldCharType="separate"/>
    </w:r>
    <w:r w:rsidRPr="00BE6EB6">
      <w:rPr>
        <w:noProof/>
      </w:rPr>
      <w:t>9</w:t>
    </w:r>
    <w:r w:rsidRPr="00BE6EB6">
      <w:fldChar w:fldCharType="end"/>
    </w:r>
    <w:r w:rsidRPr="00BE6EB6">
      <w:t>/</w:t>
    </w:r>
    <w:r>
      <w:fldChar w:fldCharType="begin"/>
    </w:r>
    <w:r>
      <w:instrText xml:space="preserve"> NUMPAGES  \* MERGEFORMAT </w:instrText>
    </w:r>
    <w:r>
      <w:fldChar w:fldCharType="separate"/>
    </w:r>
    <w:r w:rsidRPr="00BE6EB6">
      <w:rPr>
        <w:noProof/>
      </w:rPr>
      <w:t>9</w:t>
    </w:r>
    <w:r w:rsidRPr="00BE6EB6">
      <w:rPr>
        <w:noProof/>
      </w:rPr>
      <w:fldChar w:fldCharType="end"/>
    </w:r>
    <w:r w:rsidRPr="00BE6EB6">
      <w:tab/>
      <w:t>PE</w:t>
    </w:r>
    <w:r w:rsidRPr="00BE6EB6">
      <w:rPr>
        <w:rStyle w:val="HideTWBExt"/>
      </w:rPr>
      <w:t>&lt;NoPE&gt;</w:t>
    </w:r>
    <w:r w:rsidRPr="00BE6EB6">
      <w:t>790.007</w:t>
    </w:r>
    <w:r w:rsidRPr="00BE6EB6">
      <w:rPr>
        <w:rStyle w:val="HideTWBExt"/>
      </w:rPr>
      <w:t>&lt;/NoPE&gt;&lt;Version&gt;</w:t>
    </w:r>
    <w:r w:rsidRPr="00BE6EB6">
      <w:t>v02-00</w:t>
    </w:r>
    <w:r w:rsidRPr="00BE6EB6">
      <w:rPr>
        <w:rStyle w:val="HideTWBExt"/>
      </w:rPr>
      <w:t>&lt;/Version&gt;</w:t>
    </w:r>
  </w:p>
  <w:p w:rsidR="006A4E08" w:rsidRPr="00BE6EB6" w:rsidP="00BE6EB6" w14:paraId="757B1498" w14:textId="055EE94D">
    <w:pPr>
      <w:pStyle w:val="EPFooter2"/>
    </w:pPr>
    <w:r w:rsidRPr="00BE6EB6">
      <w:tab/>
    </w:r>
    <w:r w:rsidRPr="00BE6EB6">
      <w:tab/>
      <w:t>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6EB6" w:rsidRPr="00BE6EB6" w:rsidP="00BE6EB6" w14:paraId="6F239381" w14:textId="77777777">
    <w:pPr>
      <w:pStyle w:val="EPFooter"/>
    </w:pPr>
    <w:r w:rsidRPr="00BE6EB6">
      <w:rPr>
        <w:rStyle w:val="HideTWBExt"/>
      </w:rPr>
      <w:t>&lt;PathFdR&gt;</w:t>
    </w:r>
    <w:r w:rsidRPr="00BE6EB6">
      <w:t>RR\1350061IT.docx</w:t>
    </w:r>
    <w:r w:rsidRPr="00BE6EB6">
      <w:rPr>
        <w:rStyle w:val="HideTWBExt"/>
      </w:rPr>
      <w:t>&lt;/PathFdR&gt;</w:t>
    </w:r>
    <w:r w:rsidRPr="00BE6EB6">
      <w:tab/>
    </w:r>
    <w:r w:rsidRPr="00BE6EB6">
      <w:tab/>
      <w:t>PE</w:t>
    </w:r>
    <w:r w:rsidRPr="00BE6EB6">
      <w:rPr>
        <w:rStyle w:val="HideTWBExt"/>
      </w:rPr>
      <w:t>&lt;NoPE&gt;</w:t>
    </w:r>
    <w:r w:rsidRPr="00BE6EB6">
      <w:t>790.007</w:t>
    </w:r>
    <w:r w:rsidRPr="00BE6EB6">
      <w:rPr>
        <w:rStyle w:val="HideTWBExt"/>
      </w:rPr>
      <w:t>&lt;/NoPE&gt;&lt;Version&gt;</w:t>
    </w:r>
    <w:r w:rsidRPr="00BE6EB6">
      <w:t>v02-00</w:t>
    </w:r>
    <w:r w:rsidRPr="00BE6EB6">
      <w:rPr>
        <w:rStyle w:val="HideTWBExt"/>
      </w:rPr>
      <w:t>&lt;/Version&gt;</w:t>
    </w:r>
  </w:p>
  <w:p w:rsidR="006A4E08" w:rsidRPr="00BE6EB6" w:rsidP="00BE6EB6" w14:paraId="53BB874A" w14:textId="6167F2DA">
    <w:pPr>
      <w:pStyle w:val="EPFooter2"/>
    </w:pPr>
    <w:r w:rsidRPr="00BE6EB6">
      <w:t>IT</w:t>
    </w:r>
    <w:r w:rsidRPr="00BE6EB6">
      <w:tab/>
    </w:r>
    <w:r w:rsidRPr="00BE6EB6">
      <w:rPr>
        <w:b w:val="0"/>
        <w:i/>
        <w:color w:val="C0C0C0"/>
        <w:sz w:val="22"/>
      </w:rPr>
      <w:t>Unita nella diversità</w:t>
    </w:r>
    <w:r w:rsidRPr="00BE6EB6">
      <w:tab/>
      <w:t>IT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3DFB" w:rsidRPr="00BE6EB6" w:rsidP="00F13DFB" w14:paraId="2849AFA5" w14:textId="77777777">
    <w:pPr>
      <w:pStyle w:val="EPFooter"/>
    </w:pPr>
    <w:r w:rsidRPr="00BE6EB6">
      <w:rPr>
        <w:rStyle w:val="HideTWBExt"/>
      </w:rPr>
      <w:t>&lt;PathFdR&gt;</w:t>
    </w:r>
    <w:r w:rsidRPr="00BE6EB6">
      <w:t>RR\1350061IT.docx</w:t>
    </w:r>
    <w:r w:rsidRPr="00BE6EB6">
      <w:rPr>
        <w:rStyle w:val="HideTWBExt"/>
      </w:rPr>
      <w:t>&lt;/PathFdR&gt;</w:t>
    </w:r>
    <w:r w:rsidRPr="00BE6EB6">
      <w:tab/>
    </w:r>
    <w:r w:rsidRPr="00BE6EB6">
      <w:tab/>
      <w:t>PE</w:t>
    </w:r>
    <w:r w:rsidRPr="00BE6EB6">
      <w:rPr>
        <w:rStyle w:val="HideTWBExt"/>
      </w:rPr>
      <w:t>&lt;NoPE&gt;</w:t>
    </w:r>
    <w:r w:rsidRPr="00BE6EB6">
      <w:t>790.007</w:t>
    </w:r>
    <w:r w:rsidRPr="00BE6EB6">
      <w:rPr>
        <w:rStyle w:val="HideTWBExt"/>
      </w:rPr>
      <w:t>&lt;/NoPE&gt;&lt;Version&gt;</w:t>
    </w:r>
    <w:r w:rsidRPr="00BE6EB6">
      <w:t>v02-00</w:t>
    </w:r>
    <w:r w:rsidRPr="00BE6EB6">
      <w:rPr>
        <w:rStyle w:val="HideTWBExt"/>
      </w:rPr>
      <w:t>&lt;/Version&gt;</w:t>
    </w:r>
  </w:p>
  <w:p w:rsidR="002D6EBB" w:rsidRPr="00BE6EB6" w:rsidP="00F13DFB" w14:paraId="122D6BC4" w14:textId="5CB70E80">
    <w:pPr>
      <w:pStyle w:val="EPFooter2"/>
    </w:pPr>
    <w:r w:rsidRPr="00BE6EB6">
      <w:t>IT</w:t>
    </w:r>
    <w:r w:rsidRPr="00BE6EB6">
      <w:tab/>
    </w:r>
    <w:r w:rsidRPr="00BE6EB6">
      <w:rPr>
        <w:b w:val="0"/>
        <w:i/>
        <w:color w:val="C0C0C0"/>
        <w:sz w:val="22"/>
      </w:rPr>
      <w:t>Unita nella diversità</w:t>
    </w:r>
    <w:r w:rsidRPr="00BE6EB6">
      <w:tab/>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576D39" w:rsidRPr="00BE6EB6" w14:paraId="2E32FDE7" w14:textId="77777777">
      <w:r w:rsidRPr="00BE6EB6">
        <w:separator/>
      </w:r>
    </w:p>
  </w:footnote>
  <w:footnote w:type="continuationSeparator" w:id="1">
    <w:p w:rsidR="00576D39" w:rsidRPr="00BE6EB6" w14:paraId="33E6CF88" w14:textId="77777777">
      <w:r w:rsidRPr="00BE6EB6">
        <w:continuationSeparator/>
      </w:r>
    </w:p>
  </w:footnote>
  <w:footnote w:id="2">
    <w:p w:rsidR="006A4E08" w:rsidRPr="00BE6EB6" w:rsidP="006A4E08" w14:paraId="17E63538" w14:textId="37F25A66">
      <w:pPr>
        <w:pStyle w:val="FootnoteText"/>
      </w:pPr>
      <w:r w:rsidRPr="00BE6EB6">
        <w:rPr>
          <w:rStyle w:val="FootnoteReference"/>
        </w:rPr>
        <w:footnoteRef/>
      </w:r>
      <w:r w:rsidRPr="00BE6EB6">
        <w:t xml:space="preserve"> GU L, 2024/2509, 26.9.2024, ELI: </w:t>
      </w:r>
      <w:hyperlink r:id="rId1" w:history="1">
        <w:r w:rsidRPr="00BE6EB6">
          <w:rPr>
            <w:rStyle w:val="Hyperlink1"/>
          </w:rPr>
          <w:t>http://data.europa.eu/eli/reg/2024/2509/oj</w:t>
        </w:r>
      </w:hyperlink>
      <w:r w:rsidRPr="00BE6EB6">
        <w:t>.</w:t>
      </w:r>
    </w:p>
  </w:footnote>
  <w:footnote w:id="3">
    <w:p w:rsidR="006A4E08" w:rsidRPr="00BE6EB6" w:rsidP="006A4E08" w14:paraId="75945BD0" w14:textId="20D22B01">
      <w:pPr>
        <w:pStyle w:val="FootnoteText"/>
      </w:pPr>
      <w:r w:rsidRPr="00BE6EB6">
        <w:rPr>
          <w:rStyle w:val="FootnoteReference"/>
        </w:rPr>
        <w:footnoteRef/>
      </w:r>
      <w:r w:rsidRPr="00BE6EB6">
        <w:t xml:space="preserve"> GU L, 2026/72, 26.2.2026, ELI: </w:t>
      </w:r>
      <w:hyperlink r:id="rId2" w:history="1">
        <w:r w:rsidRPr="00BE6EB6">
          <w:rPr>
            <w:rStyle w:val="Hyperlink"/>
          </w:rPr>
          <w:t>http://data.europa.eu/eli/budget/2026/72/oj</w:t>
        </w:r>
      </w:hyperlink>
      <w:r w:rsidRPr="00BE6EB6">
        <w:t xml:space="preserve">. </w:t>
      </w:r>
    </w:p>
  </w:footnote>
  <w:footnote w:id="4">
    <w:p w:rsidR="006A4E08" w:rsidRPr="00BE6EB6" w:rsidP="006A4E08" w14:paraId="57933CC9" w14:textId="5D434595">
      <w:pPr>
        <w:pStyle w:val="FootnoteText"/>
      </w:pPr>
      <w:r w:rsidRPr="00BE6EB6">
        <w:rPr>
          <w:rStyle w:val="FootnoteReference"/>
        </w:rPr>
        <w:footnoteRef/>
      </w:r>
      <w:r w:rsidRPr="00BE6EB6">
        <w:t xml:space="preserve"> GU L 433 I del 22.12.2020, pag. 11, ELI: </w:t>
      </w:r>
      <w:hyperlink r:id="rId3" w:history="1">
        <w:r w:rsidRPr="00BE6EB6">
          <w:rPr>
            <w:rStyle w:val="Hyperlink1"/>
          </w:rPr>
          <w:t>http://data.europa.eu/eli/reg/2020/433/oj</w:t>
        </w:r>
      </w:hyperlink>
      <w:r w:rsidRPr="00BE6EB6">
        <w:t>.</w:t>
      </w:r>
    </w:p>
  </w:footnote>
  <w:footnote w:id="5">
    <w:p w:rsidR="006A4E08" w:rsidRPr="00BE6EB6" w:rsidP="006A4E08" w14:paraId="468FDF88" w14:textId="11B0DC01">
      <w:pPr>
        <w:pStyle w:val="FootnoteText"/>
      </w:pPr>
      <w:r w:rsidRPr="00BE6EB6">
        <w:rPr>
          <w:rStyle w:val="FootnoteReference"/>
        </w:rPr>
        <w:footnoteRef/>
      </w:r>
      <w:r w:rsidRPr="00BE6EB6">
        <w:t xml:space="preserve"> GU L 433 I del 22.12.2020, pag. 28, ELI: </w:t>
      </w:r>
      <w:hyperlink r:id="rId4" w:history="1">
        <w:r w:rsidRPr="00BE6EB6">
          <w:rPr>
            <w:rStyle w:val="Hyperlink1"/>
          </w:rPr>
          <w:t>http://data.europa.eu/eli/agree_interinstit/2020/1222/oj</w:t>
        </w:r>
      </w:hyperlink>
      <w:r w:rsidRPr="00BE6EB6">
        <w:t>.</w:t>
      </w:r>
    </w:p>
  </w:footnote>
  <w:footnote w:id="6">
    <w:p w:rsidR="006A4E08" w:rsidRPr="00BE6EB6" w:rsidP="006A4E08" w14:paraId="187F4F8E" w14:textId="74BE31EE">
      <w:pPr>
        <w:pStyle w:val="FootnoteText"/>
      </w:pPr>
      <w:r w:rsidRPr="00BE6EB6">
        <w:rPr>
          <w:rStyle w:val="FootnoteReference"/>
        </w:rPr>
        <w:footnoteRef/>
      </w:r>
      <w:r w:rsidRPr="00BE6EB6">
        <w:t xml:space="preserve"> GU L 424 del 15.12.2020, pag. 1, ELI: http://data.europa.eu/eli/dec/2020/2053/oj.</w:t>
      </w:r>
    </w:p>
  </w:footnote>
  <w:footnote w:id="7">
    <w:p w:rsidR="006A4E08" w:rsidRPr="00BE6EB6" w:rsidP="006A4E08" w14:paraId="671BCAAF" w14:textId="77777777">
      <w:pPr>
        <w:pStyle w:val="FootnoteText"/>
      </w:pPr>
      <w:r w:rsidRPr="00BE6EB6">
        <w:rPr>
          <w:rStyle w:val="FootnoteReference"/>
        </w:rPr>
        <w:footnoteRef/>
      </w:r>
      <w:r w:rsidRPr="00BE6EB6">
        <w:t xml:space="preserve"> Testi approvati, P10_TA(2025)0111.</w:t>
      </w:r>
    </w:p>
  </w:footnote>
  <w:footnote w:id="8">
    <w:p w:rsidR="006A4E08" w:rsidRPr="00BE6EB6" w:rsidP="006A4E08" w14:paraId="303B7C15" w14:textId="77777777">
      <w:pPr>
        <w:pStyle w:val="FootnoteText"/>
      </w:pPr>
      <w:r w:rsidRPr="00BE6EB6">
        <w:rPr>
          <w:rStyle w:val="FootnoteReference"/>
        </w:rPr>
        <w:footnoteRef/>
      </w:r>
      <w:r w:rsidRPr="00BE6EB6">
        <w:t xml:space="preserve"> COM(2026)0020.</w:t>
      </w:r>
    </w:p>
  </w:footnote>
  <w:footnote w:id="9">
    <w:p w:rsidR="006A4E08" w:rsidRPr="00BE6EB6" w:rsidP="006A4E08" w14:paraId="751409AB" w14:textId="77777777">
      <w:pPr>
        <w:pStyle w:val="FootnoteText"/>
      </w:pPr>
      <w:r w:rsidRPr="00BE6EB6">
        <w:rPr>
          <w:rStyle w:val="FootnoteReference"/>
        </w:rPr>
        <w:footnoteRef/>
      </w:r>
      <w:r w:rsidRPr="00BE6EB6">
        <w:t xml:space="preserve"> COM(2023)0166.</w:t>
      </w:r>
    </w:p>
  </w:footnote>
  <w:footnote w:id="10">
    <w:p w:rsidR="006A4E08" w:rsidRPr="00BE6EB6" w14:paraId="43ABD28E" w14:textId="74EE7164">
      <w:pPr>
        <w:pStyle w:val="FootnoteText"/>
      </w:pPr>
      <w:r w:rsidRPr="00BE6EB6">
        <w:rPr>
          <w:rStyle w:val="FootnoteReference"/>
        </w:rPr>
        <w:footnoteRef/>
      </w:r>
      <w:r w:rsidRPr="00BE6EB6">
        <w:t xml:space="preserve"> Accordo interistituzionale del 20 maggio 2021 tra il Parlamento europeo, il Consiglio dell'Unione europea e la Commissione europea su un registro per la trasparenza obbligatorio (GU L 207 dell'11.6.2021, pag. 1, ELI: </w:t>
      </w:r>
      <w:hyperlink r:id="rId5" w:tooltip="http://data.europa.eu/eli/agree_interinstit/2021/611/oj" w:history="1">
        <w:r w:rsidRPr="00BE6EB6">
          <w:rPr>
            <w:rStyle w:val="Hyperlink"/>
          </w:rPr>
          <w:t>http://data.europa.eu/eli/agree_interinstit/2021/611/oj</w:t>
        </w:r>
      </w:hyperlink>
      <w:r w:rsidRPr="00BE6EB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07EA9" w14:paraId="7E42F21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07EA9" w14:paraId="0338328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07EA9" w14:paraId="3AEAA5E9"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684A" w14:paraId="5B442221"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684A" w14:paraId="69273EA2"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684A" w14:paraId="47AB86E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5B22A8A2"/>
    <w:lvl w:ilvl="0">
      <w:start w:val="1"/>
      <w:numFmt w:val="decimal"/>
      <w:lvlText w:val="%1."/>
      <w:lvlJc w:val="left"/>
      <w:pPr>
        <w:tabs>
          <w:tab w:val="num" w:pos="1492"/>
        </w:tabs>
        <w:ind w:left="1492" w:hanging="360"/>
      </w:pPr>
    </w:lvl>
  </w:abstractNum>
  <w:abstractNum w:abstractNumId="1">
    <w:nsid w:val="FFFFFF7D"/>
    <w:multiLevelType w:val="singleLevel"/>
    <w:tmpl w:val="D0C0EE6C"/>
    <w:lvl w:ilvl="0">
      <w:start w:val="1"/>
      <w:numFmt w:val="decimal"/>
      <w:lvlText w:val="%1."/>
      <w:lvlJc w:val="left"/>
      <w:pPr>
        <w:tabs>
          <w:tab w:val="num" w:pos="1209"/>
        </w:tabs>
        <w:ind w:left="1209" w:hanging="360"/>
      </w:pPr>
    </w:lvl>
  </w:abstractNum>
  <w:abstractNum w:abstractNumId="2">
    <w:nsid w:val="FFFFFF7E"/>
    <w:multiLevelType w:val="singleLevel"/>
    <w:tmpl w:val="BFB40F5E"/>
    <w:lvl w:ilvl="0">
      <w:start w:val="1"/>
      <w:numFmt w:val="decimal"/>
      <w:lvlText w:val="%1."/>
      <w:lvlJc w:val="left"/>
      <w:pPr>
        <w:tabs>
          <w:tab w:val="num" w:pos="926"/>
        </w:tabs>
        <w:ind w:left="926" w:hanging="360"/>
      </w:pPr>
    </w:lvl>
  </w:abstractNum>
  <w:abstractNum w:abstractNumId="3">
    <w:nsid w:val="FFFFFF7F"/>
    <w:multiLevelType w:val="singleLevel"/>
    <w:tmpl w:val="BF525DAA"/>
    <w:lvl w:ilvl="0">
      <w:start w:val="1"/>
      <w:numFmt w:val="decimal"/>
      <w:lvlText w:val="%1."/>
      <w:lvlJc w:val="left"/>
      <w:pPr>
        <w:tabs>
          <w:tab w:val="num" w:pos="643"/>
        </w:tabs>
        <w:ind w:left="643" w:hanging="360"/>
      </w:pPr>
    </w:lvl>
  </w:abstractNum>
  <w:abstractNum w:abstractNumId="4">
    <w:nsid w:val="FFFFFF80"/>
    <w:multiLevelType w:val="singleLevel"/>
    <w:tmpl w:val="973091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026A28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CDC9AF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E120C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92AAA74"/>
    <w:lvl w:ilvl="0">
      <w:start w:val="1"/>
      <w:numFmt w:val="decimal"/>
      <w:lvlText w:val="%1."/>
      <w:lvlJc w:val="left"/>
      <w:pPr>
        <w:tabs>
          <w:tab w:val="num" w:pos="360"/>
        </w:tabs>
        <w:ind w:left="360" w:hanging="360"/>
      </w:pPr>
    </w:lvl>
  </w:abstractNum>
  <w:abstractNum w:abstractNumId="9">
    <w:nsid w:val="FFFFFF89"/>
    <w:multiLevelType w:val="singleLevel"/>
    <w:tmpl w:val="AB4278A6"/>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425"/>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39"/>
    <w:rsid w:val="000018EE"/>
    <w:rsid w:val="00007893"/>
    <w:rsid w:val="000324D4"/>
    <w:rsid w:val="000404FE"/>
    <w:rsid w:val="00045F86"/>
    <w:rsid w:val="000530F0"/>
    <w:rsid w:val="00057DE7"/>
    <w:rsid w:val="000B7D89"/>
    <w:rsid w:val="000E3D68"/>
    <w:rsid w:val="00135FEA"/>
    <w:rsid w:val="00147FBF"/>
    <w:rsid w:val="0017450C"/>
    <w:rsid w:val="001C6342"/>
    <w:rsid w:val="001D6C47"/>
    <w:rsid w:val="00233823"/>
    <w:rsid w:val="0025563C"/>
    <w:rsid w:val="002714EB"/>
    <w:rsid w:val="00285943"/>
    <w:rsid w:val="002870B6"/>
    <w:rsid w:val="002930F3"/>
    <w:rsid w:val="00294E99"/>
    <w:rsid w:val="002A3E24"/>
    <w:rsid w:val="002D6EBB"/>
    <w:rsid w:val="00321B1E"/>
    <w:rsid w:val="00332F58"/>
    <w:rsid w:val="003477BB"/>
    <w:rsid w:val="00364812"/>
    <w:rsid w:val="00387D59"/>
    <w:rsid w:val="003D5A57"/>
    <w:rsid w:val="00414159"/>
    <w:rsid w:val="0045077A"/>
    <w:rsid w:val="0045495B"/>
    <w:rsid w:val="004B6A35"/>
    <w:rsid w:val="004D0149"/>
    <w:rsid w:val="00506405"/>
    <w:rsid w:val="00533A78"/>
    <w:rsid w:val="0057259B"/>
    <w:rsid w:val="00576D39"/>
    <w:rsid w:val="00585EFA"/>
    <w:rsid w:val="005A273A"/>
    <w:rsid w:val="0060242C"/>
    <w:rsid w:val="00637CDC"/>
    <w:rsid w:val="00646AD2"/>
    <w:rsid w:val="00661ECC"/>
    <w:rsid w:val="00671805"/>
    <w:rsid w:val="00681D37"/>
    <w:rsid w:val="0068241C"/>
    <w:rsid w:val="00691635"/>
    <w:rsid w:val="006942A7"/>
    <w:rsid w:val="006A4E08"/>
    <w:rsid w:val="006E1229"/>
    <w:rsid w:val="00702830"/>
    <w:rsid w:val="00702C8D"/>
    <w:rsid w:val="007041CC"/>
    <w:rsid w:val="00742829"/>
    <w:rsid w:val="0074723E"/>
    <w:rsid w:val="00772EC8"/>
    <w:rsid w:val="007B2901"/>
    <w:rsid w:val="007E368A"/>
    <w:rsid w:val="007F7FA6"/>
    <w:rsid w:val="008239BD"/>
    <w:rsid w:val="008313FA"/>
    <w:rsid w:val="00863BD9"/>
    <w:rsid w:val="008679BA"/>
    <w:rsid w:val="008B331C"/>
    <w:rsid w:val="008B71C9"/>
    <w:rsid w:val="008C750D"/>
    <w:rsid w:val="008D3A88"/>
    <w:rsid w:val="009151BB"/>
    <w:rsid w:val="00935F49"/>
    <w:rsid w:val="009556F7"/>
    <w:rsid w:val="009A6474"/>
    <w:rsid w:val="009C163A"/>
    <w:rsid w:val="009C4C04"/>
    <w:rsid w:val="009C6617"/>
    <w:rsid w:val="009D230B"/>
    <w:rsid w:val="009E14E1"/>
    <w:rsid w:val="00A012E2"/>
    <w:rsid w:val="00A92C3A"/>
    <w:rsid w:val="00AC252D"/>
    <w:rsid w:val="00AD20BC"/>
    <w:rsid w:val="00AD2E0B"/>
    <w:rsid w:val="00AE5FC3"/>
    <w:rsid w:val="00B118B3"/>
    <w:rsid w:val="00B31C6A"/>
    <w:rsid w:val="00B46239"/>
    <w:rsid w:val="00B735E3"/>
    <w:rsid w:val="00B843F1"/>
    <w:rsid w:val="00BA48ED"/>
    <w:rsid w:val="00BE6EB6"/>
    <w:rsid w:val="00C20F44"/>
    <w:rsid w:val="00C23ADB"/>
    <w:rsid w:val="00C6226C"/>
    <w:rsid w:val="00C64197"/>
    <w:rsid w:val="00C73CFE"/>
    <w:rsid w:val="00C85D0F"/>
    <w:rsid w:val="00C91266"/>
    <w:rsid w:val="00C96001"/>
    <w:rsid w:val="00CB35E4"/>
    <w:rsid w:val="00CC684A"/>
    <w:rsid w:val="00CE3732"/>
    <w:rsid w:val="00D07EA9"/>
    <w:rsid w:val="00D47DA0"/>
    <w:rsid w:val="00DB7028"/>
    <w:rsid w:val="00E37820"/>
    <w:rsid w:val="00E428B6"/>
    <w:rsid w:val="00EB1788"/>
    <w:rsid w:val="00F13DFB"/>
    <w:rsid w:val="00F2436B"/>
    <w:rsid w:val="00FB5D9F"/>
    <w:rsid w:val="00FE6C93"/>
  </w:rsids>
  <w:docVars>
    <w:docVar w:name="AUTHORMFMNU" w:val=" 1"/>
    <w:docVar w:name="AUTHORMFPMNU" w:val=" 1"/>
    <w:docVar w:name="CONTRIBUTIONMNU" w:val=" 2"/>
    <w:docVar w:name="DOCDT" w:val="16/06/2026"/>
    <w:docVar w:name="LastEditedSection" w:val=" 1"/>
    <w:docVar w:name="NVAR1" w:val="0"/>
    <w:docVar w:name="SECTION1MNU" w:val=" 1"/>
    <w:docVar w:name="SECTIONSMNU" w:val=" 1"/>
    <w:docVar w:name="strDocTypeID" w:val="PR_BUD_DABapp"/>
    <w:docVar w:name="strSubDir" w:val="1350"/>
    <w:docVar w:name="TXTAUTHOR" w:val="Andrzej Halicki"/>
    <w:docVar w:name="TXTBUDYEAR" w:val="2026"/>
    <w:docVar w:name="TXTLANGUE" w:val="IT"/>
    <w:docVar w:name="TXTLANGUEMIN" w:val="it"/>
    <w:docVar w:name="TXTNRBUD" w:val="2026/0144"/>
    <w:docVar w:name="TXTNRCOM" w:val="(2026)460"/>
    <w:docVar w:name="TXTNRDAB" w:val="2"/>
    <w:docVar w:name="TXTNRPE" w:val="790.007"/>
    <w:docVar w:name="TXTPEorAP" w:val="PE"/>
    <w:docVar w:name="TXTROUTE" w:val="RR\1350061IT.docx"/>
    <w:docVar w:name="TXTVERSION" w:val="02-00"/>
  </w:docVars>
  <m:mathPr>
    <m:mathFont m:val="Cambria Math"/>
  </m:mathPr>
  <w:themeFontLang w:val="en-GB" w:eastAsia="ja-JP" w:bidi="lo-LA"/>
  <w:clrSchemeMapping w:bg1="light1" w:t1="dark1" w:bg2="light2" w:t2="dark2" w:accent1="accent1" w:accent2="accent2" w:accent3="accent3" w:accent4="accent4" w:accent5="accent5" w:accent6="accent6" w:hyperlink="hyperlink" w:followedHyperlink="followedHyperlink"/>
  <w:doNotIncludeSubdocsInStats/>
  <w15:chartTrackingRefBased/>
  <w15:docId w15:val="{F1BB04DA-0020-4D0A-B0FA-8E3B5986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semiHidden="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FEA"/>
    <w:pPr>
      <w:widowControl w:val="0"/>
    </w:pPr>
    <w:rPr>
      <w:sz w:val="24"/>
    </w:rPr>
  </w:style>
  <w:style w:type="paragraph" w:styleId="Heading1">
    <w:name w:val="heading 1"/>
    <w:basedOn w:val="Normal"/>
    <w:next w:val="Normal"/>
    <w:semiHidden/>
    <w:qFormat/>
    <w:pPr>
      <w:keepNext/>
      <w:spacing w:before="240" w:after="60"/>
      <w:outlineLvl w:val="0"/>
    </w:pPr>
    <w:rPr>
      <w:rFonts w:ascii="Arial" w:hAnsi="Arial"/>
      <w:b/>
      <w:kern w:val="28"/>
      <w:sz w:val="28"/>
    </w:rPr>
  </w:style>
  <w:style w:type="paragraph" w:styleId="Heading2">
    <w:name w:val="heading 2"/>
    <w:basedOn w:val="Normal"/>
    <w:next w:val="Normal"/>
    <w:semiHidden/>
    <w:qFormat/>
    <w:pPr>
      <w:keepNext/>
      <w:spacing w:before="240" w:after="60"/>
      <w:outlineLvl w:val="1"/>
    </w:pPr>
    <w:rPr>
      <w:rFonts w:ascii="Arial" w:hAnsi="Arial"/>
      <w:b/>
      <w:i/>
    </w:rPr>
  </w:style>
  <w:style w:type="paragraph" w:styleId="Heading3">
    <w:name w:val="heading 3"/>
    <w:basedOn w:val="Normal"/>
    <w:next w:val="Normal"/>
    <w:semiHidden/>
    <w:qFormat/>
    <w:pPr>
      <w:keepNext/>
      <w:spacing w:before="240" w:after="60"/>
      <w:outlineLvl w:val="2"/>
    </w:pPr>
    <w:rPr>
      <w:rFonts w:ascii="Arial" w:hAnsi="Arial"/>
    </w:rPr>
  </w:style>
  <w:style w:type="paragraph" w:styleId="Heading4">
    <w:name w:val="heading 4"/>
    <w:basedOn w:val="Normal"/>
    <w:next w:val="Normal"/>
    <w:semiHidden/>
    <w:qFormat/>
    <w:pPr>
      <w:keepNext/>
      <w:spacing w:before="240" w:after="60"/>
      <w:outlineLvl w:val="3"/>
    </w:pPr>
    <w:rPr>
      <w:rFonts w:ascii="Arial" w:hAnsi="Arial"/>
      <w:b/>
    </w:rPr>
  </w:style>
  <w:style w:type="paragraph" w:styleId="Heading5">
    <w:name w:val="heading 5"/>
    <w:basedOn w:val="Normal"/>
    <w:next w:val="Normal"/>
    <w:semiHidden/>
    <w:qFormat/>
    <w:pPr>
      <w:spacing w:before="240" w:after="60"/>
      <w:outlineLvl w:val="4"/>
    </w:pPr>
    <w:rPr>
      <w:sz w:val="22"/>
    </w:rPr>
  </w:style>
  <w:style w:type="paragraph" w:styleId="Heading6">
    <w:name w:val="heading 6"/>
    <w:basedOn w:val="Normal"/>
    <w:next w:val="Normal"/>
    <w:semiHidden/>
    <w:qFormat/>
    <w:pPr>
      <w:spacing w:before="240" w:after="60"/>
      <w:outlineLvl w:val="5"/>
    </w:pPr>
    <w:rPr>
      <w:i/>
      <w:sz w:val="22"/>
    </w:rPr>
  </w:style>
  <w:style w:type="paragraph" w:styleId="Heading7">
    <w:name w:val="heading 7"/>
    <w:basedOn w:val="Normal"/>
    <w:next w:val="Normal"/>
    <w:semiHidden/>
    <w:qFormat/>
    <w:pPr>
      <w:spacing w:before="240" w:after="60"/>
      <w:outlineLvl w:val="6"/>
    </w:pPr>
    <w:rPr>
      <w:rFonts w:ascii="Arial" w:hAnsi="Arial"/>
    </w:rPr>
  </w:style>
  <w:style w:type="paragraph" w:styleId="Heading8">
    <w:name w:val="heading 8"/>
    <w:basedOn w:val="Normal"/>
    <w:next w:val="Normal"/>
    <w:semiHidden/>
    <w:qFormat/>
    <w:pPr>
      <w:spacing w:before="240" w:after="60"/>
      <w:outlineLvl w:val="7"/>
    </w:pPr>
    <w:rPr>
      <w:rFonts w:ascii="Arial" w:hAnsi="Arial"/>
      <w:i/>
    </w:rPr>
  </w:style>
  <w:style w:type="paragraph" w:styleId="Heading9">
    <w:name w:val="heading 9"/>
    <w:basedOn w:val="Normal"/>
    <w:next w:val="Normal"/>
    <w:semiHidden/>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deTWBExt">
    <w:name w:val="HideTWBExt"/>
    <w:basedOn w:val="DefaultParagraphFont"/>
    <w:rPr>
      <w:rFonts w:ascii="Arial" w:hAnsi="Arial" w:cs="Arial"/>
      <w:noProof/>
      <w:vanish/>
      <w:color w:val="000080"/>
      <w:sz w:val="20"/>
    </w:rPr>
  </w:style>
  <w:style w:type="paragraph" w:customStyle="1" w:styleId="EPFooter2">
    <w:name w:val="EPFooter2"/>
    <w:basedOn w:val="Normal"/>
    <w:next w:val="Normal"/>
    <w:pPr>
      <w:widowControl/>
      <w:tabs>
        <w:tab w:val="center" w:pos="4535"/>
        <w:tab w:val="right" w:pos="9921"/>
      </w:tabs>
      <w:ind w:left="-850" w:right="-850"/>
    </w:pPr>
    <w:rPr>
      <w:rFonts w:ascii="Arial" w:hAnsi="Arial" w:cs="Arial"/>
      <w:b/>
      <w:sz w:val="48"/>
    </w:rPr>
  </w:style>
  <w:style w:type="paragraph" w:customStyle="1" w:styleId="EPComma">
    <w:name w:val="EPComma"/>
    <w:basedOn w:val="Normal"/>
    <w:rsid w:val="0057259B"/>
    <w:pPr>
      <w:spacing w:before="480" w:after="240"/>
    </w:pPr>
  </w:style>
  <w:style w:type="paragraph" w:styleId="TOC1">
    <w:name w:val="toc 1"/>
    <w:basedOn w:val="Normal"/>
    <w:next w:val="Normal"/>
    <w:autoRedefine/>
    <w:uiPriority w:val="39"/>
    <w:rsid w:val="00A012E2"/>
    <w:pPr>
      <w:spacing w:after="240"/>
    </w:pPr>
  </w:style>
  <w:style w:type="paragraph" w:styleId="TOCHeading">
    <w:name w:val="TOC Heading"/>
    <w:basedOn w:val="Normal"/>
    <w:next w:val="TOCPage"/>
    <w:qFormat/>
    <w:pPr>
      <w:keepNext/>
      <w:spacing w:before="240" w:after="240"/>
      <w:jc w:val="center"/>
    </w:pPr>
    <w:rPr>
      <w:rFonts w:ascii="Arial" w:hAnsi="Arial"/>
      <w:b/>
    </w:rPr>
  </w:style>
  <w:style w:type="paragraph" w:customStyle="1" w:styleId="TOCPage">
    <w:name w:val="TOC Page"/>
    <w:basedOn w:val="Normal"/>
    <w:next w:val="TOC1"/>
    <w:pPr>
      <w:keepNext/>
      <w:spacing w:after="240"/>
      <w:jc w:val="right"/>
    </w:pPr>
    <w:rPr>
      <w:rFonts w:ascii="Arial" w:hAnsi="Arial"/>
      <w:b/>
    </w:rPr>
  </w:style>
  <w:style w:type="character" w:customStyle="1" w:styleId="HideTWBInt">
    <w:name w:val="HideTWBInt"/>
    <w:basedOn w:val="DefaultParagraphFont"/>
    <w:rPr>
      <w:rFonts w:ascii="Arial" w:hAnsi="Arial" w:cs="Arial"/>
      <w:noProof/>
      <w:vanish/>
      <w:color w:val="808080"/>
      <w:sz w:val="20"/>
    </w:rPr>
  </w:style>
  <w:style w:type="paragraph" w:customStyle="1" w:styleId="PageHeading">
    <w:name w:val="PageHeading"/>
    <w:basedOn w:val="Normal"/>
    <w:pPr>
      <w:keepNext/>
      <w:spacing w:after="480"/>
      <w:jc w:val="center"/>
    </w:pPr>
    <w:rPr>
      <w:rFonts w:ascii="Arial" w:hAnsi="Arial" w:cs="Arial"/>
      <w:b/>
    </w:rPr>
  </w:style>
  <w:style w:type="paragraph" w:customStyle="1" w:styleId="NormalBold">
    <w:name w:val="NormalBold"/>
    <w:basedOn w:val="Normal"/>
    <w:rPr>
      <w:b/>
    </w:rPr>
  </w:style>
  <w:style w:type="paragraph" w:customStyle="1" w:styleId="NormalHanging12a">
    <w:name w:val="NormalHanging12a"/>
    <w:basedOn w:val="Normal"/>
    <w:pPr>
      <w:spacing w:after="240"/>
      <w:ind w:left="567" w:hanging="567"/>
    </w:pPr>
  </w:style>
  <w:style w:type="paragraph" w:customStyle="1" w:styleId="EPName">
    <w:name w:val="EPName"/>
    <w:basedOn w:val="Normal"/>
    <w:rsid w:val="00AD2E0B"/>
    <w:pPr>
      <w:spacing w:before="80" w:after="80"/>
    </w:pPr>
    <w:rPr>
      <w:rFonts w:ascii="Arial Narrow" w:hAnsi="Arial Narrow" w:cs="Arial"/>
      <w:b/>
      <w:sz w:val="32"/>
      <w:szCs w:val="22"/>
    </w:rPr>
  </w:style>
  <w:style w:type="paragraph" w:customStyle="1" w:styleId="CoverNormal24a">
    <w:name w:val="CoverNormal24a"/>
    <w:basedOn w:val="Normal"/>
    <w:rsid w:val="000018EE"/>
    <w:pPr>
      <w:spacing w:after="480"/>
      <w:ind w:left="1417"/>
    </w:pPr>
  </w:style>
  <w:style w:type="paragraph" w:customStyle="1" w:styleId="CoverNormal">
    <w:name w:val="CoverNormal"/>
    <w:basedOn w:val="Normal"/>
    <w:pPr>
      <w:ind w:left="1418"/>
    </w:pPr>
  </w:style>
  <w:style w:type="paragraph" w:customStyle="1" w:styleId="CoverReference">
    <w:name w:val="CoverReference"/>
    <w:basedOn w:val="Normal"/>
    <w:rsid w:val="00414159"/>
    <w:pPr>
      <w:spacing w:before="1080"/>
      <w:jc w:val="right"/>
    </w:pPr>
    <w:rPr>
      <w:rFonts w:ascii="Arial" w:hAnsi="Arial" w:cs="Arial"/>
      <w:b/>
    </w:rPr>
  </w:style>
  <w:style w:type="paragraph" w:customStyle="1" w:styleId="CoverDocType24a">
    <w:name w:val="CoverDocType24a"/>
    <w:basedOn w:val="Normal"/>
    <w:rsid w:val="000018EE"/>
    <w:pPr>
      <w:spacing w:after="480"/>
      <w:ind w:left="1418"/>
    </w:pPr>
    <w:rPr>
      <w:rFonts w:ascii="Arial" w:hAnsi="Arial"/>
      <w:b/>
      <w:sz w:val="48"/>
    </w:rPr>
  </w:style>
  <w:style w:type="paragraph" w:customStyle="1" w:styleId="CoverDate">
    <w:name w:val="CoverDate"/>
    <w:basedOn w:val="Normal"/>
    <w:pPr>
      <w:spacing w:before="240" w:after="1200"/>
    </w:pPr>
  </w:style>
  <w:style w:type="paragraph" w:styleId="Header">
    <w:name w:val="header"/>
    <w:basedOn w:val="Normal"/>
    <w:link w:val="HeaderChar"/>
    <w:semiHidden/>
    <w:rsid w:val="00681D37"/>
    <w:pPr>
      <w:tabs>
        <w:tab w:val="center" w:pos="4513"/>
        <w:tab w:val="right" w:pos="9026"/>
      </w:tabs>
    </w:pPr>
  </w:style>
  <w:style w:type="table" w:styleId="TableGrid">
    <w:name w:val="Table Grid"/>
    <w:basedOn w:val="TableNormal"/>
    <w:rsid w:val="0077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Body">
    <w:name w:val="EPBody"/>
    <w:basedOn w:val="Normal"/>
    <w:rsid w:val="00772EC8"/>
    <w:pPr>
      <w:jc w:val="center"/>
    </w:pPr>
    <w:rPr>
      <w:rFonts w:ascii="Arial" w:hAnsi="Arial" w:cs="Arial"/>
      <w:i/>
      <w:sz w:val="22"/>
      <w:szCs w:val="22"/>
    </w:rPr>
  </w:style>
  <w:style w:type="paragraph" w:customStyle="1" w:styleId="LineTop">
    <w:name w:val="LineTop"/>
    <w:basedOn w:val="Normal"/>
    <w:next w:val="Normal"/>
    <w:rsid w:val="00772EC8"/>
    <w:pPr>
      <w:pBdr>
        <w:top w:val="single" w:sz="4" w:space="1" w:color="auto"/>
      </w:pBdr>
      <w:jc w:val="center"/>
    </w:pPr>
    <w:rPr>
      <w:rFonts w:ascii="Arial" w:hAnsi="Arial" w:cs="Arial"/>
      <w:sz w:val="16"/>
      <w:szCs w:val="16"/>
    </w:rPr>
  </w:style>
  <w:style w:type="paragraph" w:customStyle="1" w:styleId="LineBottom">
    <w:name w:val="LineBottom"/>
    <w:basedOn w:val="Normal"/>
    <w:next w:val="Normal"/>
    <w:rsid w:val="00772EC8"/>
    <w:pPr>
      <w:pBdr>
        <w:bottom w:val="single" w:sz="4" w:space="1" w:color="auto"/>
      </w:pBdr>
      <w:spacing w:after="240"/>
      <w:jc w:val="center"/>
    </w:pPr>
    <w:rPr>
      <w:rFonts w:ascii="Arial" w:hAnsi="Arial" w:cs="Arial"/>
      <w:sz w:val="16"/>
      <w:szCs w:val="16"/>
    </w:rPr>
  </w:style>
  <w:style w:type="paragraph" w:customStyle="1" w:styleId="EPTerm">
    <w:name w:val="EPTerm"/>
    <w:basedOn w:val="Normal"/>
    <w:next w:val="Normal"/>
    <w:rsid w:val="00AD2E0B"/>
    <w:pPr>
      <w:spacing w:after="80"/>
    </w:pPr>
    <w:rPr>
      <w:rFonts w:ascii="Arial" w:hAnsi="Arial" w:cs="Arial"/>
      <w:sz w:val="20"/>
      <w:szCs w:val="22"/>
    </w:rPr>
  </w:style>
  <w:style w:type="paragraph" w:customStyle="1" w:styleId="EPLogo">
    <w:name w:val="EPLogo"/>
    <w:basedOn w:val="Normal"/>
    <w:qFormat/>
    <w:rsid w:val="00AD2E0B"/>
    <w:pPr>
      <w:jc w:val="right"/>
    </w:pPr>
  </w:style>
  <w:style w:type="paragraph" w:customStyle="1" w:styleId="EPFooter">
    <w:name w:val="EPFooter"/>
    <w:basedOn w:val="Normal"/>
    <w:rsid w:val="000018EE"/>
    <w:pPr>
      <w:tabs>
        <w:tab w:val="center" w:pos="4535"/>
        <w:tab w:val="right" w:pos="9071"/>
      </w:tabs>
      <w:spacing w:before="240" w:after="240"/>
    </w:pPr>
    <w:rPr>
      <w:color w:val="010000"/>
      <w:sz w:val="22"/>
    </w:rPr>
  </w:style>
  <w:style w:type="character" w:styleId="PageNumber">
    <w:name w:val="page number"/>
    <w:basedOn w:val="DefaultParagraphFont"/>
    <w:semiHidden/>
    <w:rsid w:val="00691635"/>
  </w:style>
  <w:style w:type="character" w:customStyle="1" w:styleId="HeaderChar">
    <w:name w:val="Header Char"/>
    <w:basedOn w:val="DefaultParagraphFont"/>
    <w:link w:val="Header"/>
    <w:semiHidden/>
    <w:rsid w:val="00681D37"/>
    <w:rPr>
      <w:sz w:val="24"/>
    </w:rPr>
  </w:style>
  <w:style w:type="paragraph" w:styleId="FootnoteText">
    <w:name w:val="footnote text"/>
    <w:basedOn w:val="Normal"/>
    <w:link w:val="FootnoteTextChar"/>
    <w:rsid w:val="00CC684A"/>
    <w:rPr>
      <w:sz w:val="20"/>
    </w:rPr>
  </w:style>
  <w:style w:type="character" w:customStyle="1" w:styleId="FootnoteTextChar">
    <w:name w:val="Footnote Text Char"/>
    <w:basedOn w:val="DefaultParagraphFont"/>
    <w:link w:val="FootnoteText"/>
    <w:rsid w:val="00CC684A"/>
    <w:rPr>
      <w:lang w:val="it-IT"/>
    </w:rPr>
  </w:style>
  <w:style w:type="character" w:styleId="FootnoteReference">
    <w:name w:val="footnote reference"/>
    <w:basedOn w:val="DefaultParagraphFont"/>
    <w:rsid w:val="00CC684A"/>
    <w:rPr>
      <w:vertAlign w:val="superscript"/>
    </w:rPr>
  </w:style>
  <w:style w:type="character" w:styleId="Hyperlink">
    <w:name w:val="Hyperlink"/>
    <w:basedOn w:val="DefaultParagraphFont"/>
    <w:uiPriority w:val="99"/>
    <w:rsid w:val="00CC684A"/>
    <w:rPr>
      <w:color w:val="0563C1" w:themeColor="hyperlink"/>
      <w:u w:val="single"/>
    </w:rPr>
  </w:style>
  <w:style w:type="character" w:customStyle="1" w:styleId="UnresolvedMention">
    <w:name w:val="Unresolved Mention"/>
    <w:basedOn w:val="DefaultParagraphFont"/>
    <w:uiPriority w:val="99"/>
    <w:semiHidden/>
    <w:unhideWhenUsed/>
    <w:rsid w:val="00CC684A"/>
    <w:rPr>
      <w:color w:val="605E5C"/>
      <w:shd w:val="clear" w:color="auto" w:fill="E1DFDD"/>
    </w:rPr>
  </w:style>
  <w:style w:type="character" w:styleId="FollowedHyperlink">
    <w:name w:val="FollowedHyperlink"/>
    <w:basedOn w:val="DefaultParagraphFont"/>
    <w:rsid w:val="00CC684A"/>
    <w:rPr>
      <w:color w:val="954F72" w:themeColor="followedHyperlink"/>
      <w:u w:val="single"/>
    </w:rPr>
  </w:style>
  <w:style w:type="paragraph" w:styleId="Footer">
    <w:name w:val="footer"/>
    <w:basedOn w:val="Normal"/>
    <w:link w:val="FooterChar"/>
    <w:semiHidden/>
    <w:rsid w:val="00CC684A"/>
    <w:pPr>
      <w:tabs>
        <w:tab w:val="center" w:pos="4513"/>
        <w:tab w:val="right" w:pos="9026"/>
      </w:tabs>
    </w:pPr>
  </w:style>
  <w:style w:type="character" w:customStyle="1" w:styleId="FooterChar">
    <w:name w:val="Footer Char"/>
    <w:basedOn w:val="DefaultParagraphFont"/>
    <w:link w:val="Footer"/>
    <w:semiHidden/>
    <w:rsid w:val="00CC684A"/>
    <w:rPr>
      <w:sz w:val="24"/>
      <w:lang w:val="it-IT"/>
    </w:rPr>
  </w:style>
  <w:style w:type="character" w:customStyle="1" w:styleId="Hyperlink1">
    <w:name w:val="Hyperlink1"/>
    <w:basedOn w:val="DefaultParagraphFont"/>
    <w:uiPriority w:val="99"/>
    <w:rsid w:val="006A4E08"/>
    <w:rPr>
      <w:color w:val="0563C1"/>
      <w:u w:val="single"/>
    </w:rPr>
  </w:style>
  <w:style w:type="paragraph" w:customStyle="1" w:styleId="Normal24a">
    <w:name w:val="Normal24a"/>
    <w:basedOn w:val="Normal"/>
    <w:rsid w:val="006A4E08"/>
    <w:pPr>
      <w:spacing w:after="480"/>
    </w:pPr>
  </w:style>
  <w:style w:type="paragraph" w:customStyle="1" w:styleId="Normal12a">
    <w:name w:val="Normal12a"/>
    <w:basedOn w:val="Normal"/>
    <w:rsid w:val="006A4E08"/>
    <w:pPr>
      <w:spacing w:after="240"/>
    </w:pPr>
  </w:style>
  <w:style w:type="paragraph" w:customStyle="1" w:styleId="RollCallVotes">
    <w:name w:val="RollCallVotes"/>
    <w:basedOn w:val="Normal"/>
    <w:rsid w:val="006A4E08"/>
    <w:pPr>
      <w:spacing w:before="120" w:after="120"/>
      <w:jc w:val="center"/>
    </w:pPr>
    <w:rPr>
      <w:b/>
      <w:bCs/>
      <w:snapToGrid w:val="0"/>
      <w:sz w:val="16"/>
      <w:lang w:eastAsia="en-US"/>
    </w:rPr>
  </w:style>
  <w:style w:type="paragraph" w:customStyle="1" w:styleId="RollCallTabs">
    <w:name w:val="RollCallTabs"/>
    <w:basedOn w:val="Normal"/>
    <w:qFormat/>
    <w:rsid w:val="006A4E08"/>
    <w:pPr>
      <w:tabs>
        <w:tab w:val="center" w:pos="284"/>
        <w:tab w:val="left" w:pos="426"/>
      </w:tabs>
    </w:pPr>
    <w:rPr>
      <w:snapToGrid w:val="0"/>
      <w:lang w:eastAsia="en-US"/>
    </w:rPr>
  </w:style>
  <w:style w:type="paragraph" w:customStyle="1" w:styleId="RollCallSymbols14pt">
    <w:name w:val="RollCallSymbols14pt"/>
    <w:basedOn w:val="Normal"/>
    <w:rsid w:val="006A4E08"/>
    <w:pPr>
      <w:spacing w:before="120" w:after="120"/>
      <w:jc w:val="center"/>
    </w:pPr>
    <w:rPr>
      <w:rFonts w:ascii="Arial" w:hAnsi="Arial"/>
      <w:b/>
      <w:bCs/>
      <w:snapToGrid w:val="0"/>
      <w:sz w:val="28"/>
      <w:lang w:eastAsia="en-US"/>
    </w:rPr>
  </w:style>
  <w:style w:type="paragraph" w:customStyle="1" w:styleId="RollCallTable">
    <w:name w:val="RollCallTable"/>
    <w:basedOn w:val="Normal"/>
    <w:rsid w:val="006A4E08"/>
    <w:pPr>
      <w:spacing w:before="120" w:after="120"/>
    </w:pPr>
    <w:rPr>
      <w:snapToGrid w:val="0"/>
      <w:sz w:val="16"/>
      <w:lang w:eastAsia="en-US"/>
    </w:rPr>
  </w:style>
  <w:style w:type="paragraph" w:customStyle="1" w:styleId="NormalBoldCenter">
    <w:name w:val="NormalBoldCenter"/>
    <w:basedOn w:val="Normal"/>
    <w:rsid w:val="006A4E08"/>
    <w:pPr>
      <w:jc w:val="center"/>
    </w:pPr>
    <w:rPr>
      <w:b/>
    </w:rPr>
  </w:style>
  <w:style w:type="paragraph" w:customStyle="1" w:styleId="Footprint12b">
    <w:name w:val="Footprint12b"/>
    <w:basedOn w:val="Normal"/>
    <w:rsid w:val="006A4E08"/>
    <w:pPr>
      <w:spacing w:before="240"/>
    </w:pPr>
    <w:rPr>
      <w:szCs w:val="24"/>
    </w:rPr>
  </w:style>
  <w:style w:type="paragraph" w:customStyle="1" w:styleId="NormalSingle">
    <w:name w:val="NormalSingle"/>
    <w:basedOn w:val="Normal"/>
    <w:qFormat/>
    <w:rsid w:val="006A4E08"/>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4.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notes.xml.rels>&#65279;<?xml version="1.0" encoding="utf-8" standalone="yes"?><Relationships xmlns="http://schemas.openxmlformats.org/package/2006/relationships"><Relationship Id="rId1" Type="http://schemas.openxmlformats.org/officeDocument/2006/relationships/hyperlink" Target="http://data.europa.eu/eli/reg/2024/2509/oj" TargetMode="External" /><Relationship Id="rId2" Type="http://schemas.openxmlformats.org/officeDocument/2006/relationships/hyperlink" Target="http://data.europa.eu/eli/budget/2026/72/oj" TargetMode="External" /><Relationship Id="rId3" Type="http://schemas.openxmlformats.org/officeDocument/2006/relationships/hyperlink" Target="http://data.europa.eu/eli/reg/2020/433/oj" TargetMode="External" /><Relationship Id="rId4" Type="http://schemas.openxmlformats.org/officeDocument/2006/relationships/hyperlink" Target="http://data.europa.eu/eli/agree_interinstit/2020/1222/oj" TargetMode="External" /><Relationship Id="rId5" Type="http://schemas.openxmlformats.org/officeDocument/2006/relationships/hyperlink" Target="http://data.europa.eu/eli/agree_interinstit/2021/611/o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2106</Words>
  <Characters>12491</Characters>
  <Application>Microsoft Office Word</Application>
  <DocSecurity>0</DocSecurity>
  <Lines>254</Lines>
  <Paragraphs>112</Paragraphs>
  <ScaleCrop>false</ScaleCrop>
  <HeadingPairs>
    <vt:vector size="2" baseType="variant">
      <vt:variant>
        <vt:lpstr>Title</vt:lpstr>
      </vt:variant>
      <vt:variant>
        <vt:i4>1</vt:i4>
      </vt:variant>
    </vt:vector>
  </HeadingPairs>
  <TitlesOfParts>
    <vt:vector size="1" baseType="lpstr">
      <vt:lpstr>PR_BUD_DABapp</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PR_BUD_DABapp</dc:title>
  <dc:creator>European Parliament</dc:creator>
  <cp:lastModifiedBy>European Parliament</cp:lastModifiedBy>
  <cp:revision>2</cp:revision>
  <cp:lastPrinted>2004-05-27T07:49:00Z</cp:lastPrinted>
  <dcterms:created xsi:type="dcterms:W3CDTF">2026-09-09T09:14:00Z</dcterms:created>
  <dcterms:modified xsi:type="dcterms:W3CDTF">2026-09-09T09:14:00Z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IT</vt:lpwstr>
  </property>
  <property fmtid="{D5CDD505-2E9C-101B-9397-08002B2CF9AE}" pid="3" name="&lt;FdR&gt;">
    <vt:lpwstr>1350061</vt:lpwstr>
  </property>
  <property fmtid="{D5CDD505-2E9C-101B-9397-08002B2CF9AE}" pid="4" name="&lt;Model&gt;">
    <vt:lpwstr>PR_BUD_DABapp</vt:lpwstr>
  </property>
  <property fmtid="{D5CDD505-2E9C-101B-9397-08002B2CF9AE}" pid="5" name="&lt;ModelCod&gt;">
    <vt:lpwstr>\\eiciLUXpr1\pdocep$\DocEP\DOCS\General\PR\PR_BUD\BUDGET\BUD\PR_BUD_DABapp.dotx(05/07/2024 10:40:03)</vt:lpwstr>
  </property>
  <property fmtid="{D5CDD505-2E9C-101B-9397-08002B2CF9AE}" pid="6" name="&lt;ModelTra&gt;">
    <vt:lpwstr>\\eiciLUXpr1\pdocep$\DocEP\TRANSFIL\IT\PR_BUD_DABapp.IT(03/03/2026 15:20:39)</vt:lpwstr>
  </property>
  <property fmtid="{D5CDD505-2E9C-101B-9397-08002B2CF9AE}" pid="7" name="&lt;Type&gt;">
    <vt:lpwstr>RR</vt:lpwstr>
  </property>
  <property fmtid="{D5CDD505-2E9C-101B-9397-08002B2CF9AE}" pid="8" name="Bookout">
    <vt:lpwstr>OK - 2026/09/09 11:14</vt:lpwstr>
  </property>
  <property fmtid="{D5CDD505-2E9C-101B-9397-08002B2CF9AE}" pid="9" name="Created with">
    <vt:lpwstr>10.3.0 Build [20260401]</vt:lpwstr>
  </property>
  <property fmtid="{D5CDD505-2E9C-101B-9397-08002B2CF9AE}" pid="10" name="FooterPath">
    <vt:lpwstr>RR\1350061IT.docx</vt:lpwstr>
  </property>
  <property fmtid="{D5CDD505-2E9C-101B-9397-08002B2CF9AE}" pid="11" name="LastEdited with">
    <vt:lpwstr>10.3.1 Build [20260701]</vt:lpwstr>
  </property>
  <property fmtid="{D5CDD505-2E9C-101B-9397-08002B2CF9AE}" pid="12" name="PE number">
    <vt:lpwstr>790.007</vt:lpwstr>
  </property>
  <property fmtid="{D5CDD505-2E9C-101B-9397-08002B2CF9AE}" pid="13" name="RegistreCheck">
    <vt:lpwstr>OK</vt:lpwstr>
  </property>
  <property fmtid="{D5CDD505-2E9C-101B-9397-08002B2CF9AE}" pid="14" name="SDLStudio">
    <vt:lpwstr/>
  </property>
</Properties>
</file>