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19.12 -->
  <w:body>
    <w:tbl>
      <w:tblPr>
        <w:tblW w:w="9072" w:type="dxa"/>
        <w:tblCellMar>
          <w:left w:w="0" w:type="dxa"/>
          <w:right w:w="0" w:type="dxa"/>
        </w:tblCellMar>
        <w:tblLook w:val="01E0"/>
      </w:tblPr>
      <w:tblGrid>
        <w:gridCol w:w="6804"/>
        <w:gridCol w:w="2268"/>
      </w:tblGrid>
      <w:tr w14:paraId="6C5005A4" w14:textId="77777777" w:rsidTr="00C85D0F">
        <w:tblPrEx>
          <w:tblW w:w="9072" w:type="dxa"/>
          <w:tblCellMar>
            <w:left w:w="0" w:type="dxa"/>
            <w:right w:w="0" w:type="dxa"/>
          </w:tblCellMar>
          <w:tblLook w:val="01E0"/>
        </w:tblPrEx>
        <w:trPr>
          <w:trHeight w:hRule="exact" w:val="1418"/>
        </w:trPr>
        <w:tc>
          <w:tcPr>
            <w:tcW w:w="6804" w:type="dxa"/>
            <w:vAlign w:val="center"/>
          </w:tcPr>
          <w:p w:rsidR="00C7061A" w:rsidRPr="00BB5DE9" w:rsidP="00C85D0F" w14:paraId="3161DBA1" w14:textId="530A61B7">
            <w:pPr>
              <w:pStyle w:val="EPName"/>
            </w:pPr>
            <w:r w:rsidRPr="00BB5DE9">
              <w:t>Parlamento europeo</w:t>
            </w:r>
          </w:p>
          <w:p w:rsidR="00C7061A" w:rsidRPr="00BB5DE9" w:rsidP="00C85D0F" w14:paraId="12337387" w14:textId="0EB5DAE4">
            <w:pPr>
              <w:pStyle w:val="EPTerm"/>
            </w:pPr>
            <w:r w:rsidRPr="00BB5DE9">
              <w:t>2024-2029</w:t>
            </w:r>
          </w:p>
        </w:tc>
        <w:tc>
          <w:tcPr>
            <w:tcW w:w="2268" w:type="dxa"/>
          </w:tcPr>
          <w:p w:rsidR="00C7061A" w:rsidRPr="00BB5DE9" w:rsidP="00C85D0F" w14:paraId="5AE3B2D2" w14:textId="77777777">
            <w:pPr>
              <w:pStyle w:val="EPLogo"/>
            </w:pPr>
            <w:r w:rsidRPr="00BB5DE9">
              <w:rPr>
                <w:lang w:eastAsia="ja-JP"/>
              </w:rPr>
              <w:drawing>
                <wp:inline distT="0" distB="0" distL="0" distR="0">
                  <wp:extent cx="1158875" cy="652145"/>
                  <wp:effectExtent l="0" t="0" r="0" b="0"/>
                  <wp:docPr id="1" name="Picture 1" descr="EP logo RGB_Mu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055248" name="Picture 1" descr="EP logo RGB_Mute"/>
                          <pic:cNvPicPr>
                            <a:picLocks noChangeAspect="1" noChangeArrowheads="1"/>
                          </pic:cNvPicPr>
                        </pic:nvPicPr>
                        <pic:blipFill>
                          <a:blip xmlns:r="http://schemas.openxmlformats.org/officeDocument/2006/relationships" r:embed="rId6"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1158875" cy="652145"/>
                          </a:xfrm>
                          <a:prstGeom prst="rect">
                            <a:avLst/>
                          </a:prstGeom>
                          <a:noFill/>
                          <a:ln>
                            <a:noFill/>
                          </a:ln>
                        </pic:spPr>
                      </pic:pic>
                    </a:graphicData>
                  </a:graphic>
                </wp:inline>
              </w:drawing>
            </w:r>
          </w:p>
        </w:tc>
      </w:tr>
    </w:tbl>
    <w:p w:rsidR="00BB2F4E" w:rsidRPr="00BB5DE9" w:rsidP="00BB2F4E" w14:paraId="54F55F3C" w14:textId="77777777">
      <w:pPr>
        <w:pStyle w:val="LineTop"/>
      </w:pPr>
    </w:p>
    <w:p w:rsidR="00BB2F4E" w:rsidRPr="00BB5DE9" w:rsidP="00BB2F4E" w14:paraId="645367F9" w14:textId="0B198F70">
      <w:pPr>
        <w:pStyle w:val="EPBody"/>
      </w:pPr>
      <w:r w:rsidRPr="00BB5DE9">
        <w:rPr>
          <w:lang w:eastAsia="en-US"/>
        </w:rPr>
        <w:t>Documento di seduta</w:t>
      </w:r>
    </w:p>
    <w:p w:rsidR="00BB2F4E" w:rsidRPr="00BB5DE9" w:rsidP="00BB2F4E" w14:paraId="6EC899DD" w14:textId="77777777">
      <w:pPr>
        <w:pStyle w:val="LineBottom"/>
      </w:pPr>
    </w:p>
    <w:p w:rsidR="00F55F30" w:rsidRPr="00BB5DE9" w14:paraId="20C3AE65" w14:textId="7DB75B02">
      <w:pPr>
        <w:pStyle w:val="CoverReference"/>
      </w:pPr>
      <w:r w:rsidRPr="00BB5DE9">
        <w:rPr>
          <w:rStyle w:val="HideTWBExt"/>
          <w:b w:val="0"/>
        </w:rPr>
        <w:t>&lt;NoDocSe&gt;</w:t>
      </w:r>
      <w:r w:rsidRPr="00BB5DE9">
        <w:t>A10</w:t>
      </w:r>
      <w:r w:rsidRPr="00BB5DE9">
        <w:noBreakHyphen/>
        <w:t>0272/2026</w:t>
      </w:r>
      <w:r w:rsidRPr="00BB5DE9">
        <w:rPr>
          <w:rStyle w:val="HideTWBExt"/>
          <w:b w:val="0"/>
        </w:rPr>
        <w:t>&lt;/NoDocSe&gt;</w:t>
      </w:r>
    </w:p>
    <w:p w:rsidR="00577455" w:rsidRPr="00BB5DE9" w:rsidP="00577455" w14:paraId="0E061CF4" w14:textId="4AFF9541">
      <w:pPr>
        <w:pStyle w:val="CoverRefPart"/>
      </w:pPr>
      <w:r w:rsidRPr="00BB5DE9">
        <w:rPr>
          <w:rStyle w:val="HideTWBExt"/>
        </w:rPr>
        <w:t>&lt;RefVer&gt;</w:t>
      </w:r>
      <w:r w:rsidRPr="00BB5DE9" w:rsidR="003B3824">
        <w:t>Parte 1</w:t>
      </w:r>
      <w:r w:rsidRPr="00BB5DE9">
        <w:rPr>
          <w:rStyle w:val="HideTWBExt"/>
        </w:rPr>
        <w:t>&lt;/RefVer&gt;</w:t>
      </w:r>
    </w:p>
    <w:p w:rsidR="00F55F30" w:rsidRPr="00BB5DE9" w14:paraId="1B918254" w14:textId="1BCFB031">
      <w:pPr>
        <w:pStyle w:val="CoverDateRefPart"/>
      </w:pPr>
      <w:r w:rsidRPr="00BB5DE9">
        <w:rPr>
          <w:rStyle w:val="HideTWBExt"/>
        </w:rPr>
        <w:t>&lt;Date&gt;</w:t>
      </w:r>
      <w:r w:rsidRPr="00BB5DE9" w:rsidR="003B3824">
        <w:rPr>
          <w:rStyle w:val="HideTWBInt"/>
        </w:rPr>
        <w:t>{12/10/2026}</w:t>
      </w:r>
      <w:r w:rsidRPr="00BB5DE9" w:rsidR="003B3824">
        <w:t>12.10.2026</w:t>
      </w:r>
      <w:r w:rsidRPr="00BB5DE9">
        <w:rPr>
          <w:rStyle w:val="HideTWBExt"/>
        </w:rPr>
        <w:t>&lt;/Date&gt;</w:t>
      </w:r>
    </w:p>
    <w:p w:rsidR="00F55F30" w:rsidRPr="00BB5DE9" w14:paraId="38418125" w14:textId="5EF9FC13">
      <w:pPr>
        <w:pStyle w:val="CoverDocType24a"/>
      </w:pPr>
      <w:r w:rsidRPr="00BB5DE9">
        <w:rPr>
          <w:rStyle w:val="HideTWBExt"/>
          <w:b w:val="0"/>
        </w:rPr>
        <w:t>&lt;TitreType&gt;</w:t>
      </w:r>
      <w:r w:rsidRPr="00BB5DE9" w:rsidR="003B3824">
        <w:t>RELAZIONE</w:t>
      </w:r>
      <w:r w:rsidRPr="00BB5DE9">
        <w:rPr>
          <w:rStyle w:val="HideTWBExt"/>
          <w:b w:val="0"/>
        </w:rPr>
        <w:t>&lt;/TitreType&gt;</w:t>
      </w:r>
    </w:p>
    <w:p w:rsidR="00F55F30" w:rsidRPr="00BB5DE9" w14:paraId="44043DDC" w14:textId="0768841E">
      <w:pPr>
        <w:pStyle w:val="CoverNormal"/>
      </w:pPr>
      <w:r w:rsidRPr="00BB5DE9">
        <w:rPr>
          <w:rStyle w:val="HideTWBExt"/>
        </w:rPr>
        <w:t>&lt;Titre&gt;</w:t>
      </w:r>
      <w:r w:rsidRPr="00BB5DE9">
        <w:t>concernente la posizione del Consiglio sul progetto di bilancio generale dell'Unione europea per l'esercizio 2027</w:t>
      </w:r>
      <w:r w:rsidRPr="00BB5DE9">
        <w:rPr>
          <w:rStyle w:val="HideTWBExt"/>
        </w:rPr>
        <w:t>&lt;/Titre&gt;</w:t>
      </w:r>
    </w:p>
    <w:p w:rsidR="00F55F30" w:rsidRPr="00BB5DE9" w14:paraId="71C5FD75" w14:textId="07CC0C17">
      <w:pPr>
        <w:pStyle w:val="CoverNormal24a"/>
      </w:pPr>
      <w:r w:rsidRPr="00BB5DE9">
        <w:rPr>
          <w:rStyle w:val="HideTWBExt"/>
        </w:rPr>
        <w:t>&lt;DocRef&gt;</w:t>
      </w:r>
      <w:r w:rsidRPr="00BB5DE9">
        <w:t>(11547/2026 – C10</w:t>
      </w:r>
      <w:r w:rsidRPr="00BB5DE9">
        <w:noBreakHyphen/>
        <w:t>0218/2026 – 2026/0196(BUD))</w:t>
      </w:r>
      <w:r w:rsidRPr="00BB5DE9">
        <w:rPr>
          <w:rStyle w:val="HideTWBExt"/>
        </w:rPr>
        <w:t>&lt;/DocRef&gt;</w:t>
      </w:r>
    </w:p>
    <w:p w:rsidR="00F55F30" w:rsidRPr="00BB5DE9" w14:paraId="3CCC4B32" w14:textId="0B30E29D">
      <w:pPr>
        <w:pStyle w:val="CoverNormal24a"/>
      </w:pPr>
      <w:r w:rsidRPr="00BB5DE9">
        <w:t>Parte 1: Proposta di risoluzione</w:t>
      </w:r>
    </w:p>
    <w:p w:rsidR="00F55F30" w:rsidRPr="00BB5DE9" w14:paraId="046D8074" w14:textId="57154C45">
      <w:pPr>
        <w:pStyle w:val="CoverNormal24a"/>
      </w:pPr>
      <w:r w:rsidRPr="00BB5DE9">
        <w:rPr>
          <w:rStyle w:val="HideTWBExt"/>
        </w:rPr>
        <w:t>&lt;Commission&gt;</w:t>
      </w:r>
      <w:r w:rsidRPr="00BB5DE9">
        <w:rPr>
          <w:rStyle w:val="HideTWBInt"/>
        </w:rPr>
        <w:t>{BUDG}</w:t>
      </w:r>
      <w:r w:rsidRPr="00BB5DE9">
        <w:t>Commissione per i bilanci</w:t>
      </w:r>
      <w:r w:rsidRPr="00BB5DE9">
        <w:rPr>
          <w:rStyle w:val="HideTWBExt"/>
        </w:rPr>
        <w:t>&lt;/Commission&gt;</w:t>
      </w:r>
    </w:p>
    <w:p w:rsidR="008A0282" w:rsidRPr="00BB5DE9" w:rsidP="00EE5E77" w14:paraId="77E599F6" w14:textId="560B40EA">
      <w:pPr>
        <w:pStyle w:val="CoverNormalHanging"/>
      </w:pPr>
      <w:r w:rsidRPr="00BB5DE9">
        <w:t xml:space="preserve">Relatori: </w:t>
      </w:r>
      <w:r w:rsidRPr="00BB5DE9">
        <w:tab/>
      </w:r>
      <w:r w:rsidRPr="00BB5DE9">
        <w:rPr>
          <w:rStyle w:val="HideTWBExt"/>
        </w:rPr>
        <w:t>&lt;Depute&gt;</w:t>
      </w:r>
      <w:r w:rsidRPr="00BB5DE9">
        <w:t>Nils Ušakovs (Sezione III – Commissione)</w:t>
      </w:r>
      <w:r w:rsidRPr="00BB5DE9">
        <w:rPr>
          <w:rStyle w:val="HideTWBExt"/>
        </w:rPr>
        <w:t>&lt;/Depute&gt;</w:t>
      </w:r>
    </w:p>
    <w:p w:rsidR="008A0282" w:rsidRPr="00BB5DE9" w:rsidP="00EE5E77" w14:paraId="3E505892" w14:textId="683463A6">
      <w:pPr>
        <w:pStyle w:val="CoverNormalHanging"/>
      </w:pPr>
      <w:r w:rsidRPr="00BB5DE9">
        <w:tab/>
      </w:r>
      <w:r w:rsidRPr="00BB5DE9">
        <w:rPr>
          <w:rStyle w:val="HideTWBExt"/>
        </w:rPr>
        <w:t>&lt;Depute&gt;</w:t>
      </w:r>
      <w:r w:rsidRPr="00BB5DE9">
        <w:t>Michalis Hadjipantela (Altre sezioni)</w:t>
      </w:r>
      <w:r w:rsidRPr="00BB5DE9">
        <w:rPr>
          <w:rStyle w:val="HideTWBExt"/>
        </w:rPr>
        <w:t>&lt;/Depute&gt;</w:t>
      </w:r>
    </w:p>
    <w:p w:rsidR="00FD23D7" w:rsidRPr="00BB5DE9" w:rsidP="00FD23D7" w14:paraId="2B62A997" w14:textId="77777777">
      <w:pPr>
        <w:pStyle w:val="CoverNormal24a"/>
      </w:pPr>
    </w:p>
    <w:p w:rsidR="00F55F30" w:rsidRPr="00BB5DE9" w:rsidP="0079501A" w14:paraId="0310C373" w14:textId="6310B1B7">
      <w:pPr>
        <w:widowControl/>
        <w:tabs>
          <w:tab w:val="center" w:pos="4677"/>
        </w:tabs>
      </w:pPr>
      <w:r w:rsidRPr="00BB5DE9">
        <w:br w:type="page"/>
      </w:r>
      <w:r w:rsidRPr="00BB5DE9">
        <w:t>PR_BUD_1all</w:t>
      </w:r>
    </w:p>
    <w:p w:rsidR="007F2104" w:rsidRPr="00BB5DE9" w:rsidP="007F2104" w14:paraId="3526D218" w14:textId="1D1A4023">
      <w:pPr>
        <w:pStyle w:val="TOCHeading"/>
      </w:pPr>
      <w:r w:rsidRPr="00BB5DE9">
        <w:t>INDICE</w:t>
      </w:r>
    </w:p>
    <w:p w:rsidR="00F55F30" w:rsidRPr="00BB5DE9" w14:paraId="2D56A8DB" w14:textId="15B1CFDB">
      <w:pPr>
        <w:pStyle w:val="TOCPage"/>
      </w:pPr>
      <w:r w:rsidRPr="00BB5DE9">
        <w:t>Pagina</w:t>
      </w:r>
    </w:p>
    <w:p w:rsidR="00BB5DE9" w14:paraId="5748147C" w14:textId="155F6BBF">
      <w:pPr>
        <w:pStyle w:val="TOC1"/>
        <w:tabs>
          <w:tab w:val="right" w:leader="dot" w:pos="9060"/>
        </w:tabs>
        <w:rPr>
          <w:rFonts w:asciiTheme="minorHAnsi" w:eastAsiaTheme="minorEastAsia" w:hAnsiTheme="minorHAnsi" w:cstheme="minorBidi"/>
          <w:noProof/>
          <w:snapToGrid/>
          <w:kern w:val="2"/>
          <w:szCs w:val="24"/>
          <w:lang w:eastAsia="it-IT"/>
          <w14:ligatures w14:val="standardContextual"/>
        </w:rPr>
      </w:pPr>
      <w:r w:rsidRPr="00BB5DE9">
        <w:fldChar w:fldCharType="begin"/>
      </w:r>
      <w:r w:rsidRPr="00BB5DE9">
        <w:instrText xml:space="preserve"> TOC \t "PageHeading</w:instrText>
      </w:r>
      <w:r w:rsidRPr="00BB5DE9" w:rsidR="00AB16C1">
        <w:instrText>;</w:instrText>
      </w:r>
      <w:r w:rsidRPr="00BB5DE9">
        <w:instrText xml:space="preserve">1" </w:instrText>
      </w:r>
      <w:r w:rsidRPr="00BB5DE9">
        <w:fldChar w:fldCharType="separate"/>
      </w:r>
      <w:r>
        <w:rPr>
          <w:noProof/>
        </w:rPr>
        <w:t>PROPOSTA DI RISOLUZIONE DEL PARLAMENTO EUROPEO</w:t>
      </w:r>
      <w:r>
        <w:rPr>
          <w:noProof/>
        </w:rPr>
        <w:tab/>
      </w:r>
      <w:r>
        <w:rPr>
          <w:noProof/>
        </w:rPr>
        <w:fldChar w:fldCharType="begin"/>
      </w:r>
      <w:r>
        <w:rPr>
          <w:noProof/>
        </w:rPr>
        <w:instrText xml:space="preserve"> PAGEREF _Toc243036416 \h </w:instrText>
      </w:r>
      <w:r>
        <w:rPr>
          <w:noProof/>
        </w:rPr>
        <w:fldChar w:fldCharType="separate"/>
      </w:r>
      <w:r>
        <w:rPr>
          <w:noProof/>
        </w:rPr>
        <w:t>4</w:t>
      </w:r>
      <w:r>
        <w:rPr>
          <w:noProof/>
        </w:rPr>
        <w:fldChar w:fldCharType="end"/>
      </w:r>
    </w:p>
    <w:p w:rsidR="00BB5DE9" w14:paraId="0346C2ED" w14:textId="2DA51629">
      <w:pPr>
        <w:pStyle w:val="TOC1"/>
        <w:tabs>
          <w:tab w:val="right" w:leader="dot" w:pos="9060"/>
        </w:tabs>
        <w:rPr>
          <w:rFonts w:asciiTheme="minorHAnsi" w:eastAsiaTheme="minorEastAsia" w:hAnsiTheme="minorHAnsi" w:cstheme="minorBidi"/>
          <w:noProof/>
          <w:snapToGrid/>
          <w:kern w:val="2"/>
          <w:szCs w:val="24"/>
          <w:lang w:eastAsia="it-IT"/>
          <w14:ligatures w14:val="standardContextual"/>
        </w:rPr>
      </w:pPr>
      <w:r>
        <w:rPr>
          <w:noProof/>
        </w:rPr>
        <w:t>ALLEGATO: DICHIARAZIONI DEI CONTRIBUTI</w:t>
      </w:r>
      <w:r>
        <w:rPr>
          <w:noProof/>
        </w:rPr>
        <w:tab/>
      </w:r>
      <w:r>
        <w:rPr>
          <w:noProof/>
        </w:rPr>
        <w:fldChar w:fldCharType="begin"/>
      </w:r>
      <w:r>
        <w:rPr>
          <w:noProof/>
        </w:rPr>
        <w:instrText xml:space="preserve"> PAGEREF _Toc243036417 \h </w:instrText>
      </w:r>
      <w:r>
        <w:rPr>
          <w:noProof/>
        </w:rPr>
        <w:fldChar w:fldCharType="separate"/>
      </w:r>
      <w:r>
        <w:rPr>
          <w:noProof/>
        </w:rPr>
        <w:t>17</w:t>
      </w:r>
      <w:r>
        <w:rPr>
          <w:noProof/>
        </w:rPr>
        <w:fldChar w:fldCharType="end"/>
      </w:r>
    </w:p>
    <w:p w:rsidR="00BB5DE9" w14:paraId="4CB0A476" w14:textId="6340D9BF">
      <w:pPr>
        <w:pStyle w:val="TOC1"/>
        <w:tabs>
          <w:tab w:val="right" w:leader="dot" w:pos="9060"/>
        </w:tabs>
        <w:rPr>
          <w:rFonts w:asciiTheme="minorHAnsi" w:eastAsiaTheme="minorEastAsia" w:hAnsiTheme="minorHAnsi" w:cstheme="minorBidi"/>
          <w:noProof/>
          <w:snapToGrid/>
          <w:kern w:val="2"/>
          <w:szCs w:val="24"/>
          <w:lang w:eastAsia="it-IT"/>
          <w14:ligatures w14:val="standardContextual"/>
        </w:rPr>
      </w:pPr>
      <w:r>
        <w:rPr>
          <w:noProof/>
        </w:rPr>
        <w:t>PARERE DELLA COMMISSIONE PER GLI AFFARI ESTERI</w:t>
      </w:r>
      <w:r>
        <w:rPr>
          <w:noProof/>
        </w:rPr>
        <w:tab/>
      </w:r>
      <w:r>
        <w:rPr>
          <w:noProof/>
        </w:rPr>
        <w:fldChar w:fldCharType="begin"/>
      </w:r>
      <w:r>
        <w:rPr>
          <w:noProof/>
        </w:rPr>
        <w:instrText xml:space="preserve"> PAGEREF _Toc243036418 \h </w:instrText>
      </w:r>
      <w:r>
        <w:rPr>
          <w:noProof/>
        </w:rPr>
        <w:fldChar w:fldCharType="separate"/>
      </w:r>
      <w:r>
        <w:rPr>
          <w:noProof/>
        </w:rPr>
        <w:t>18</w:t>
      </w:r>
      <w:r>
        <w:rPr>
          <w:noProof/>
        </w:rPr>
        <w:fldChar w:fldCharType="end"/>
      </w:r>
    </w:p>
    <w:p w:rsidR="00BB5DE9" w14:paraId="2FA21CB6" w14:textId="56C5D289">
      <w:pPr>
        <w:pStyle w:val="TOC1"/>
        <w:tabs>
          <w:tab w:val="right" w:leader="dot" w:pos="9060"/>
        </w:tabs>
        <w:rPr>
          <w:rFonts w:asciiTheme="minorHAnsi" w:eastAsiaTheme="minorEastAsia" w:hAnsiTheme="minorHAnsi" w:cstheme="minorBidi"/>
          <w:noProof/>
          <w:snapToGrid/>
          <w:kern w:val="2"/>
          <w:szCs w:val="24"/>
          <w:lang w:eastAsia="it-IT"/>
          <w14:ligatures w14:val="standardContextual"/>
        </w:rPr>
      </w:pPr>
      <w:r>
        <w:rPr>
          <w:noProof/>
        </w:rPr>
        <w:t>PARERE DELLA COMMISSIONE PER LO SVILUPPO</w:t>
      </w:r>
      <w:r>
        <w:rPr>
          <w:noProof/>
        </w:rPr>
        <w:tab/>
      </w:r>
      <w:r>
        <w:rPr>
          <w:noProof/>
        </w:rPr>
        <w:fldChar w:fldCharType="begin"/>
      </w:r>
      <w:r>
        <w:rPr>
          <w:noProof/>
        </w:rPr>
        <w:instrText xml:space="preserve"> PAGEREF _Toc243036419 \h </w:instrText>
      </w:r>
      <w:r>
        <w:rPr>
          <w:noProof/>
        </w:rPr>
        <w:fldChar w:fldCharType="separate"/>
      </w:r>
      <w:r>
        <w:rPr>
          <w:noProof/>
        </w:rPr>
        <w:t>27</w:t>
      </w:r>
      <w:r>
        <w:rPr>
          <w:noProof/>
        </w:rPr>
        <w:fldChar w:fldCharType="end"/>
      </w:r>
    </w:p>
    <w:p w:rsidR="00BB5DE9" w14:paraId="7934346D" w14:textId="450F1C77">
      <w:pPr>
        <w:pStyle w:val="TOC1"/>
        <w:tabs>
          <w:tab w:val="right" w:leader="dot" w:pos="9060"/>
        </w:tabs>
        <w:rPr>
          <w:rFonts w:asciiTheme="minorHAnsi" w:eastAsiaTheme="minorEastAsia" w:hAnsiTheme="minorHAnsi" w:cstheme="minorBidi"/>
          <w:noProof/>
          <w:snapToGrid/>
          <w:kern w:val="2"/>
          <w:szCs w:val="24"/>
          <w:lang w:eastAsia="it-IT"/>
          <w14:ligatures w14:val="standardContextual"/>
        </w:rPr>
      </w:pPr>
      <w:r>
        <w:rPr>
          <w:noProof/>
        </w:rPr>
        <w:t>PARERE DELLA COMMISSIONE PER I PROBLEMI ECONOMICI E MONETARI</w:t>
      </w:r>
      <w:r>
        <w:rPr>
          <w:noProof/>
        </w:rPr>
        <w:tab/>
      </w:r>
      <w:r>
        <w:rPr>
          <w:noProof/>
        </w:rPr>
        <w:fldChar w:fldCharType="begin"/>
      </w:r>
      <w:r>
        <w:rPr>
          <w:noProof/>
        </w:rPr>
        <w:instrText xml:space="preserve"> PAGEREF _Toc243036420 \h </w:instrText>
      </w:r>
      <w:r>
        <w:rPr>
          <w:noProof/>
        </w:rPr>
        <w:fldChar w:fldCharType="separate"/>
      </w:r>
      <w:r>
        <w:rPr>
          <w:noProof/>
        </w:rPr>
        <w:t>35</w:t>
      </w:r>
      <w:r>
        <w:rPr>
          <w:noProof/>
        </w:rPr>
        <w:fldChar w:fldCharType="end"/>
      </w:r>
    </w:p>
    <w:p w:rsidR="00BB5DE9" w14:paraId="62CC3048" w14:textId="49058435">
      <w:pPr>
        <w:pStyle w:val="TOC1"/>
        <w:tabs>
          <w:tab w:val="right" w:leader="dot" w:pos="9060"/>
        </w:tabs>
        <w:rPr>
          <w:rFonts w:asciiTheme="minorHAnsi" w:eastAsiaTheme="minorEastAsia" w:hAnsiTheme="minorHAnsi" w:cstheme="minorBidi"/>
          <w:noProof/>
          <w:snapToGrid/>
          <w:kern w:val="2"/>
          <w:szCs w:val="24"/>
          <w:lang w:eastAsia="it-IT"/>
          <w14:ligatures w14:val="standardContextual"/>
        </w:rPr>
      </w:pPr>
      <w:r>
        <w:rPr>
          <w:noProof/>
        </w:rPr>
        <w:t>PARERE DELLA COMMISSIONE PER L'OCCUPAZIONE E GLI AFFARI SOCIALI</w:t>
      </w:r>
      <w:r>
        <w:rPr>
          <w:noProof/>
        </w:rPr>
        <w:tab/>
      </w:r>
      <w:r>
        <w:rPr>
          <w:noProof/>
        </w:rPr>
        <w:fldChar w:fldCharType="begin"/>
      </w:r>
      <w:r>
        <w:rPr>
          <w:noProof/>
        </w:rPr>
        <w:instrText xml:space="preserve"> PAGEREF _Toc243036421 \h </w:instrText>
      </w:r>
      <w:r>
        <w:rPr>
          <w:noProof/>
        </w:rPr>
        <w:fldChar w:fldCharType="separate"/>
      </w:r>
      <w:r>
        <w:rPr>
          <w:noProof/>
        </w:rPr>
        <w:t>42</w:t>
      </w:r>
      <w:r>
        <w:rPr>
          <w:noProof/>
        </w:rPr>
        <w:fldChar w:fldCharType="end"/>
      </w:r>
    </w:p>
    <w:p w:rsidR="00BB5DE9" w14:paraId="4E652F91" w14:textId="6E96AA36">
      <w:pPr>
        <w:pStyle w:val="TOC1"/>
        <w:tabs>
          <w:tab w:val="right" w:leader="dot" w:pos="9060"/>
        </w:tabs>
        <w:rPr>
          <w:rFonts w:asciiTheme="minorHAnsi" w:eastAsiaTheme="minorEastAsia" w:hAnsiTheme="minorHAnsi" w:cstheme="minorBidi"/>
          <w:noProof/>
          <w:snapToGrid/>
          <w:kern w:val="2"/>
          <w:szCs w:val="24"/>
          <w:lang w:eastAsia="it-IT"/>
          <w14:ligatures w14:val="standardContextual"/>
        </w:rPr>
      </w:pPr>
      <w:r>
        <w:rPr>
          <w:noProof/>
        </w:rPr>
        <w:t>PARERE DELLA COMMISSIONE PER L'AMBIENTE, IL CLIMA E LA SICUREZZA ALIMENTARE</w:t>
      </w:r>
      <w:r>
        <w:rPr>
          <w:noProof/>
        </w:rPr>
        <w:tab/>
      </w:r>
      <w:r>
        <w:rPr>
          <w:noProof/>
        </w:rPr>
        <w:fldChar w:fldCharType="begin"/>
      </w:r>
      <w:r>
        <w:rPr>
          <w:noProof/>
        </w:rPr>
        <w:instrText xml:space="preserve"> PAGEREF _Toc243036422 \h </w:instrText>
      </w:r>
      <w:r>
        <w:rPr>
          <w:noProof/>
        </w:rPr>
        <w:fldChar w:fldCharType="separate"/>
      </w:r>
      <w:r>
        <w:rPr>
          <w:noProof/>
        </w:rPr>
        <w:t>50</w:t>
      </w:r>
      <w:r>
        <w:rPr>
          <w:noProof/>
        </w:rPr>
        <w:fldChar w:fldCharType="end"/>
      </w:r>
    </w:p>
    <w:p w:rsidR="00BB5DE9" w14:paraId="1ADEBFB8" w14:textId="77BFAE09">
      <w:pPr>
        <w:pStyle w:val="TOC1"/>
        <w:tabs>
          <w:tab w:val="right" w:leader="dot" w:pos="9060"/>
        </w:tabs>
        <w:rPr>
          <w:rFonts w:asciiTheme="minorHAnsi" w:eastAsiaTheme="minorEastAsia" w:hAnsiTheme="minorHAnsi" w:cstheme="minorBidi"/>
          <w:noProof/>
          <w:snapToGrid/>
          <w:kern w:val="2"/>
          <w:szCs w:val="24"/>
          <w:lang w:eastAsia="it-IT"/>
          <w14:ligatures w14:val="standardContextual"/>
        </w:rPr>
      </w:pPr>
      <w:r>
        <w:rPr>
          <w:noProof/>
        </w:rPr>
        <w:t>PARERE DELLA COMMISSIONE PER LA SANITÀ PUBBLICA</w:t>
      </w:r>
      <w:r>
        <w:rPr>
          <w:noProof/>
        </w:rPr>
        <w:tab/>
      </w:r>
      <w:r>
        <w:rPr>
          <w:noProof/>
        </w:rPr>
        <w:fldChar w:fldCharType="begin"/>
      </w:r>
      <w:r>
        <w:rPr>
          <w:noProof/>
        </w:rPr>
        <w:instrText xml:space="preserve"> PAGEREF _Toc243036423 \h </w:instrText>
      </w:r>
      <w:r>
        <w:rPr>
          <w:noProof/>
        </w:rPr>
        <w:fldChar w:fldCharType="separate"/>
      </w:r>
      <w:r>
        <w:rPr>
          <w:noProof/>
        </w:rPr>
        <w:t>57</w:t>
      </w:r>
      <w:r>
        <w:rPr>
          <w:noProof/>
        </w:rPr>
        <w:fldChar w:fldCharType="end"/>
      </w:r>
    </w:p>
    <w:p w:rsidR="00BB5DE9" w14:paraId="6E6DBADA" w14:textId="69619F38">
      <w:pPr>
        <w:pStyle w:val="TOC1"/>
        <w:tabs>
          <w:tab w:val="right" w:leader="dot" w:pos="9060"/>
        </w:tabs>
        <w:rPr>
          <w:rFonts w:asciiTheme="minorHAnsi" w:eastAsiaTheme="minorEastAsia" w:hAnsiTheme="minorHAnsi" w:cstheme="minorBidi"/>
          <w:noProof/>
          <w:snapToGrid/>
          <w:kern w:val="2"/>
          <w:szCs w:val="24"/>
          <w:lang w:eastAsia="it-IT"/>
          <w14:ligatures w14:val="standardContextual"/>
        </w:rPr>
      </w:pPr>
      <w:r>
        <w:rPr>
          <w:noProof/>
        </w:rPr>
        <w:t>PARERE DELLA COMMISSIONE PER IL MERCATO INTERNO E LA PROTEZIONE DEI CONSUMATORI</w:t>
      </w:r>
      <w:r>
        <w:rPr>
          <w:noProof/>
        </w:rPr>
        <w:tab/>
      </w:r>
      <w:r>
        <w:rPr>
          <w:noProof/>
        </w:rPr>
        <w:fldChar w:fldCharType="begin"/>
      </w:r>
      <w:r>
        <w:rPr>
          <w:noProof/>
        </w:rPr>
        <w:instrText xml:space="preserve"> PAGEREF _Toc243036424 \h </w:instrText>
      </w:r>
      <w:r>
        <w:rPr>
          <w:noProof/>
        </w:rPr>
        <w:fldChar w:fldCharType="separate"/>
      </w:r>
      <w:r>
        <w:rPr>
          <w:noProof/>
        </w:rPr>
        <w:t>66</w:t>
      </w:r>
      <w:r>
        <w:rPr>
          <w:noProof/>
        </w:rPr>
        <w:fldChar w:fldCharType="end"/>
      </w:r>
    </w:p>
    <w:p w:rsidR="00BB5DE9" w14:paraId="02A62234" w14:textId="0DCB2E6D">
      <w:pPr>
        <w:pStyle w:val="TOC1"/>
        <w:tabs>
          <w:tab w:val="right" w:leader="dot" w:pos="9060"/>
        </w:tabs>
        <w:rPr>
          <w:rFonts w:asciiTheme="minorHAnsi" w:eastAsiaTheme="minorEastAsia" w:hAnsiTheme="minorHAnsi" w:cstheme="minorBidi"/>
          <w:noProof/>
          <w:snapToGrid/>
          <w:kern w:val="2"/>
          <w:szCs w:val="24"/>
          <w:lang w:eastAsia="it-IT"/>
          <w14:ligatures w14:val="standardContextual"/>
        </w:rPr>
      </w:pPr>
      <w:r>
        <w:rPr>
          <w:noProof/>
        </w:rPr>
        <w:t>PARERE DELLA COMMISSIONE PER L'AGRICOLTURA E LO SVILUPPO RURALE</w:t>
      </w:r>
      <w:r>
        <w:rPr>
          <w:noProof/>
        </w:rPr>
        <w:tab/>
      </w:r>
      <w:r>
        <w:rPr>
          <w:noProof/>
        </w:rPr>
        <w:fldChar w:fldCharType="begin"/>
      </w:r>
      <w:r>
        <w:rPr>
          <w:noProof/>
        </w:rPr>
        <w:instrText xml:space="preserve"> PAGEREF _Toc243036425 \h </w:instrText>
      </w:r>
      <w:r>
        <w:rPr>
          <w:noProof/>
        </w:rPr>
        <w:fldChar w:fldCharType="separate"/>
      </w:r>
      <w:r>
        <w:rPr>
          <w:noProof/>
        </w:rPr>
        <w:t>74</w:t>
      </w:r>
      <w:r>
        <w:rPr>
          <w:noProof/>
        </w:rPr>
        <w:fldChar w:fldCharType="end"/>
      </w:r>
    </w:p>
    <w:p w:rsidR="00BB5DE9" w14:paraId="3A7AD2AC" w14:textId="6B71ED71">
      <w:pPr>
        <w:pStyle w:val="TOC1"/>
        <w:tabs>
          <w:tab w:val="right" w:leader="dot" w:pos="9060"/>
        </w:tabs>
        <w:rPr>
          <w:rFonts w:asciiTheme="minorHAnsi" w:eastAsiaTheme="minorEastAsia" w:hAnsiTheme="minorHAnsi" w:cstheme="minorBidi"/>
          <w:noProof/>
          <w:snapToGrid/>
          <w:kern w:val="2"/>
          <w:szCs w:val="24"/>
          <w:lang w:eastAsia="it-IT"/>
          <w14:ligatures w14:val="standardContextual"/>
        </w:rPr>
      </w:pPr>
      <w:r>
        <w:rPr>
          <w:noProof/>
        </w:rPr>
        <w:t>PARERE DELLA COMMISSIONE PER LA PESCA</w:t>
      </w:r>
      <w:r>
        <w:rPr>
          <w:noProof/>
        </w:rPr>
        <w:tab/>
      </w:r>
      <w:r>
        <w:rPr>
          <w:noProof/>
        </w:rPr>
        <w:fldChar w:fldCharType="begin"/>
      </w:r>
      <w:r>
        <w:rPr>
          <w:noProof/>
        </w:rPr>
        <w:instrText xml:space="preserve"> PAGEREF _Toc243036426 \h </w:instrText>
      </w:r>
      <w:r>
        <w:rPr>
          <w:noProof/>
        </w:rPr>
        <w:fldChar w:fldCharType="separate"/>
      </w:r>
      <w:r>
        <w:rPr>
          <w:noProof/>
        </w:rPr>
        <w:t>82</w:t>
      </w:r>
      <w:r>
        <w:rPr>
          <w:noProof/>
        </w:rPr>
        <w:fldChar w:fldCharType="end"/>
      </w:r>
    </w:p>
    <w:p w:rsidR="00BB5DE9" w14:paraId="14F0E9A8" w14:textId="312D1F53">
      <w:pPr>
        <w:pStyle w:val="TOC1"/>
        <w:tabs>
          <w:tab w:val="right" w:leader="dot" w:pos="9060"/>
        </w:tabs>
        <w:rPr>
          <w:rFonts w:asciiTheme="minorHAnsi" w:eastAsiaTheme="minorEastAsia" w:hAnsiTheme="minorHAnsi" w:cstheme="minorBidi"/>
          <w:noProof/>
          <w:snapToGrid/>
          <w:kern w:val="2"/>
          <w:szCs w:val="24"/>
          <w:lang w:eastAsia="it-IT"/>
          <w14:ligatures w14:val="standardContextual"/>
        </w:rPr>
      </w:pPr>
      <w:r>
        <w:rPr>
          <w:noProof/>
        </w:rPr>
        <w:t>PARERE DELLA COMMISSIONE PER LA CULTURA E L'ISTRUZIONE</w:t>
      </w:r>
      <w:r>
        <w:rPr>
          <w:noProof/>
        </w:rPr>
        <w:tab/>
      </w:r>
      <w:r>
        <w:rPr>
          <w:noProof/>
        </w:rPr>
        <w:fldChar w:fldCharType="begin"/>
      </w:r>
      <w:r>
        <w:rPr>
          <w:noProof/>
        </w:rPr>
        <w:instrText xml:space="preserve"> PAGEREF _Toc243036427 \h </w:instrText>
      </w:r>
      <w:r>
        <w:rPr>
          <w:noProof/>
        </w:rPr>
        <w:fldChar w:fldCharType="separate"/>
      </w:r>
      <w:r>
        <w:rPr>
          <w:noProof/>
        </w:rPr>
        <w:t>91</w:t>
      </w:r>
      <w:r>
        <w:rPr>
          <w:noProof/>
        </w:rPr>
        <w:fldChar w:fldCharType="end"/>
      </w:r>
    </w:p>
    <w:p w:rsidR="00BB5DE9" w14:paraId="79407BFD" w14:textId="40FBE448">
      <w:pPr>
        <w:pStyle w:val="TOC1"/>
        <w:tabs>
          <w:tab w:val="right" w:leader="dot" w:pos="9060"/>
        </w:tabs>
        <w:rPr>
          <w:rFonts w:asciiTheme="minorHAnsi" w:eastAsiaTheme="minorEastAsia" w:hAnsiTheme="minorHAnsi" w:cstheme="minorBidi"/>
          <w:noProof/>
          <w:snapToGrid/>
          <w:kern w:val="2"/>
          <w:szCs w:val="24"/>
          <w:lang w:eastAsia="it-IT"/>
          <w14:ligatures w14:val="standardContextual"/>
        </w:rPr>
      </w:pPr>
      <w:r>
        <w:rPr>
          <w:noProof/>
        </w:rPr>
        <w:t>PARERE DELLA COMMISSIONE PER I DIRITTI DELLE DONNE E L'UGUAGLIANZA DI GENERE</w:t>
      </w:r>
      <w:r>
        <w:rPr>
          <w:noProof/>
        </w:rPr>
        <w:tab/>
      </w:r>
      <w:r>
        <w:rPr>
          <w:noProof/>
        </w:rPr>
        <w:fldChar w:fldCharType="begin"/>
      </w:r>
      <w:r>
        <w:rPr>
          <w:noProof/>
        </w:rPr>
        <w:instrText xml:space="preserve"> PAGEREF _Toc243036428 \h </w:instrText>
      </w:r>
      <w:r>
        <w:rPr>
          <w:noProof/>
        </w:rPr>
        <w:fldChar w:fldCharType="separate"/>
      </w:r>
      <w:r>
        <w:rPr>
          <w:noProof/>
        </w:rPr>
        <w:t>96</w:t>
      </w:r>
      <w:r>
        <w:rPr>
          <w:noProof/>
        </w:rPr>
        <w:fldChar w:fldCharType="end"/>
      </w:r>
    </w:p>
    <w:p w:rsidR="00BB5DE9" w14:paraId="39E18E53" w14:textId="0F8812A1">
      <w:pPr>
        <w:pStyle w:val="TOC1"/>
        <w:tabs>
          <w:tab w:val="right" w:leader="dot" w:pos="9060"/>
        </w:tabs>
        <w:rPr>
          <w:rFonts w:asciiTheme="minorHAnsi" w:eastAsiaTheme="minorEastAsia" w:hAnsiTheme="minorHAnsi" w:cstheme="minorBidi"/>
          <w:noProof/>
          <w:snapToGrid/>
          <w:kern w:val="2"/>
          <w:szCs w:val="24"/>
          <w:lang w:eastAsia="it-IT"/>
          <w14:ligatures w14:val="standardContextual"/>
        </w:rPr>
      </w:pPr>
      <w:r>
        <w:rPr>
          <w:noProof/>
        </w:rPr>
        <w:t>LETTERA DELLA COMMISSIONE PER LA SICUREZZA E LA DIFESA</w:t>
      </w:r>
      <w:r>
        <w:rPr>
          <w:noProof/>
        </w:rPr>
        <w:tab/>
      </w:r>
      <w:r>
        <w:rPr>
          <w:noProof/>
        </w:rPr>
        <w:fldChar w:fldCharType="begin"/>
      </w:r>
      <w:r>
        <w:rPr>
          <w:noProof/>
        </w:rPr>
        <w:instrText xml:space="preserve"> PAGEREF _Toc243036429 \h </w:instrText>
      </w:r>
      <w:r>
        <w:rPr>
          <w:noProof/>
        </w:rPr>
        <w:fldChar w:fldCharType="separate"/>
      </w:r>
      <w:r>
        <w:rPr>
          <w:noProof/>
        </w:rPr>
        <w:t>104</w:t>
      </w:r>
      <w:r>
        <w:rPr>
          <w:noProof/>
        </w:rPr>
        <w:fldChar w:fldCharType="end"/>
      </w:r>
    </w:p>
    <w:p w:rsidR="00BB5DE9" w14:paraId="1D1DD1E8" w14:textId="04C535BE">
      <w:pPr>
        <w:pStyle w:val="TOC1"/>
        <w:tabs>
          <w:tab w:val="right" w:leader="dot" w:pos="9060"/>
        </w:tabs>
        <w:rPr>
          <w:rFonts w:asciiTheme="minorHAnsi" w:eastAsiaTheme="minorEastAsia" w:hAnsiTheme="minorHAnsi" w:cstheme="minorBidi"/>
          <w:noProof/>
          <w:snapToGrid/>
          <w:kern w:val="2"/>
          <w:szCs w:val="24"/>
          <w:lang w:eastAsia="it-IT"/>
          <w14:ligatures w14:val="standardContextual"/>
        </w:rPr>
      </w:pPr>
      <w:r>
        <w:rPr>
          <w:noProof/>
        </w:rPr>
        <w:t>LETTERA DELLA COMMISSIONE PER IL CONTROLLO DEI BILANCI</w:t>
      </w:r>
      <w:r>
        <w:rPr>
          <w:noProof/>
        </w:rPr>
        <w:tab/>
      </w:r>
      <w:r>
        <w:rPr>
          <w:noProof/>
        </w:rPr>
        <w:fldChar w:fldCharType="begin"/>
      </w:r>
      <w:r>
        <w:rPr>
          <w:noProof/>
        </w:rPr>
        <w:instrText xml:space="preserve"> PAGEREF _Toc243036430 \h </w:instrText>
      </w:r>
      <w:r>
        <w:rPr>
          <w:noProof/>
        </w:rPr>
        <w:fldChar w:fldCharType="separate"/>
      </w:r>
      <w:r>
        <w:rPr>
          <w:noProof/>
        </w:rPr>
        <w:t>112</w:t>
      </w:r>
      <w:r>
        <w:rPr>
          <w:noProof/>
        </w:rPr>
        <w:fldChar w:fldCharType="end"/>
      </w:r>
    </w:p>
    <w:p w:rsidR="00BB5DE9" w14:paraId="1C0A7D43" w14:textId="7663E6E1">
      <w:pPr>
        <w:pStyle w:val="TOC1"/>
        <w:tabs>
          <w:tab w:val="right" w:leader="dot" w:pos="9060"/>
        </w:tabs>
        <w:rPr>
          <w:rFonts w:asciiTheme="minorHAnsi" w:eastAsiaTheme="minorEastAsia" w:hAnsiTheme="minorHAnsi" w:cstheme="minorBidi"/>
          <w:noProof/>
          <w:snapToGrid/>
          <w:kern w:val="2"/>
          <w:szCs w:val="24"/>
          <w:lang w:eastAsia="it-IT"/>
          <w14:ligatures w14:val="standardContextual"/>
        </w:rPr>
      </w:pPr>
      <w:r>
        <w:rPr>
          <w:noProof/>
        </w:rPr>
        <w:t>LETTERA DELLA COMMISSIONE PER L'INDUSTRIA, LA RICERCA E L'ENERGIA</w:t>
      </w:r>
      <w:r>
        <w:rPr>
          <w:noProof/>
        </w:rPr>
        <w:tab/>
      </w:r>
      <w:r>
        <w:rPr>
          <w:noProof/>
        </w:rPr>
        <w:fldChar w:fldCharType="begin"/>
      </w:r>
      <w:r>
        <w:rPr>
          <w:noProof/>
        </w:rPr>
        <w:instrText xml:space="preserve"> PAGEREF _Toc243036431 \h </w:instrText>
      </w:r>
      <w:r>
        <w:rPr>
          <w:noProof/>
        </w:rPr>
        <w:fldChar w:fldCharType="separate"/>
      </w:r>
      <w:r>
        <w:rPr>
          <w:noProof/>
        </w:rPr>
        <w:t>119</w:t>
      </w:r>
      <w:r>
        <w:rPr>
          <w:noProof/>
        </w:rPr>
        <w:fldChar w:fldCharType="end"/>
      </w:r>
    </w:p>
    <w:p w:rsidR="00BB5DE9" w14:paraId="59742DDC" w14:textId="35F929AF">
      <w:pPr>
        <w:pStyle w:val="TOC1"/>
        <w:tabs>
          <w:tab w:val="right" w:leader="dot" w:pos="9060"/>
        </w:tabs>
        <w:rPr>
          <w:rFonts w:asciiTheme="minorHAnsi" w:eastAsiaTheme="minorEastAsia" w:hAnsiTheme="minorHAnsi" w:cstheme="minorBidi"/>
          <w:noProof/>
          <w:snapToGrid/>
          <w:kern w:val="2"/>
          <w:szCs w:val="24"/>
          <w:lang w:eastAsia="it-IT"/>
          <w14:ligatures w14:val="standardContextual"/>
        </w:rPr>
      </w:pPr>
      <w:r>
        <w:rPr>
          <w:noProof/>
        </w:rPr>
        <w:t>LETTERA DELLA COMMISSIONE PER I TRASPORTI E IL TURISMO</w:t>
      </w:r>
      <w:r>
        <w:rPr>
          <w:noProof/>
        </w:rPr>
        <w:tab/>
      </w:r>
      <w:r>
        <w:rPr>
          <w:noProof/>
        </w:rPr>
        <w:fldChar w:fldCharType="begin"/>
      </w:r>
      <w:r>
        <w:rPr>
          <w:noProof/>
        </w:rPr>
        <w:instrText xml:space="preserve"> PAGEREF _Toc243036432 \h </w:instrText>
      </w:r>
      <w:r>
        <w:rPr>
          <w:noProof/>
        </w:rPr>
        <w:fldChar w:fldCharType="separate"/>
      </w:r>
      <w:r>
        <w:rPr>
          <w:noProof/>
        </w:rPr>
        <w:t>125</w:t>
      </w:r>
      <w:r>
        <w:rPr>
          <w:noProof/>
        </w:rPr>
        <w:fldChar w:fldCharType="end"/>
      </w:r>
    </w:p>
    <w:p w:rsidR="00BB5DE9" w14:paraId="59102571" w14:textId="2D6BEA2F">
      <w:pPr>
        <w:pStyle w:val="TOC1"/>
        <w:tabs>
          <w:tab w:val="right" w:leader="dot" w:pos="9060"/>
        </w:tabs>
        <w:rPr>
          <w:rFonts w:asciiTheme="minorHAnsi" w:eastAsiaTheme="minorEastAsia" w:hAnsiTheme="minorHAnsi" w:cstheme="minorBidi"/>
          <w:noProof/>
          <w:snapToGrid/>
          <w:kern w:val="2"/>
          <w:szCs w:val="24"/>
          <w:lang w:eastAsia="it-IT"/>
          <w14:ligatures w14:val="standardContextual"/>
        </w:rPr>
      </w:pPr>
      <w:r>
        <w:rPr>
          <w:noProof/>
        </w:rPr>
        <w:t>DICHIARAZIONE COMUNE ADOTTATA DURANTE IL TRILOGO DI BILANCIO DEL 14 APRILE 2026</w:t>
      </w:r>
      <w:r>
        <w:rPr>
          <w:noProof/>
        </w:rPr>
        <w:tab/>
      </w:r>
      <w:r>
        <w:rPr>
          <w:noProof/>
        </w:rPr>
        <w:fldChar w:fldCharType="begin"/>
      </w:r>
      <w:r>
        <w:rPr>
          <w:noProof/>
        </w:rPr>
        <w:instrText xml:space="preserve"> PAGEREF _Toc243036433 \h </w:instrText>
      </w:r>
      <w:r>
        <w:rPr>
          <w:noProof/>
        </w:rPr>
        <w:fldChar w:fldCharType="separate"/>
      </w:r>
      <w:r>
        <w:rPr>
          <w:noProof/>
        </w:rPr>
        <w:t>132</w:t>
      </w:r>
      <w:r>
        <w:rPr>
          <w:noProof/>
        </w:rPr>
        <w:fldChar w:fldCharType="end"/>
      </w:r>
    </w:p>
    <w:p w:rsidR="00BB5DE9" w14:paraId="5B7935B1" w14:textId="503A36A1">
      <w:pPr>
        <w:pStyle w:val="TOC1"/>
        <w:tabs>
          <w:tab w:val="right" w:leader="dot" w:pos="9060"/>
        </w:tabs>
        <w:rPr>
          <w:rFonts w:asciiTheme="minorHAnsi" w:eastAsiaTheme="minorEastAsia" w:hAnsiTheme="minorHAnsi" w:cstheme="minorBidi"/>
          <w:noProof/>
          <w:snapToGrid/>
          <w:kern w:val="2"/>
          <w:szCs w:val="24"/>
          <w:lang w:eastAsia="it-IT"/>
          <w14:ligatures w14:val="standardContextual"/>
        </w:rPr>
      </w:pPr>
      <w:r>
        <w:rPr>
          <w:noProof/>
        </w:rPr>
        <w:t>INFORMAZIONI SULL'APPROVAZIONE DA PARTE DELLA COMMISSIONE COMPETENTE PER IL MERITO</w:t>
      </w:r>
      <w:r>
        <w:rPr>
          <w:noProof/>
        </w:rPr>
        <w:tab/>
      </w:r>
      <w:r>
        <w:rPr>
          <w:noProof/>
        </w:rPr>
        <w:fldChar w:fldCharType="begin"/>
      </w:r>
      <w:r>
        <w:rPr>
          <w:noProof/>
        </w:rPr>
        <w:instrText xml:space="preserve"> PAGEREF _Toc243036434 \h </w:instrText>
      </w:r>
      <w:r>
        <w:rPr>
          <w:noProof/>
        </w:rPr>
        <w:fldChar w:fldCharType="separate"/>
      </w:r>
      <w:r>
        <w:rPr>
          <w:noProof/>
        </w:rPr>
        <w:t>134</w:t>
      </w:r>
      <w:r>
        <w:rPr>
          <w:noProof/>
        </w:rPr>
        <w:fldChar w:fldCharType="end"/>
      </w:r>
    </w:p>
    <w:p w:rsidR="00BB5DE9" w14:paraId="540DB8BE" w14:textId="35CF24D8">
      <w:pPr>
        <w:pStyle w:val="TOC1"/>
        <w:tabs>
          <w:tab w:val="right" w:leader="dot" w:pos="9060"/>
        </w:tabs>
        <w:rPr>
          <w:rFonts w:asciiTheme="minorHAnsi" w:eastAsiaTheme="minorEastAsia" w:hAnsiTheme="minorHAnsi" w:cstheme="minorBidi"/>
          <w:noProof/>
          <w:snapToGrid/>
          <w:kern w:val="2"/>
          <w:szCs w:val="24"/>
          <w:lang w:eastAsia="it-IT"/>
          <w14:ligatures w14:val="standardContextual"/>
        </w:rPr>
      </w:pPr>
      <w:r>
        <w:rPr>
          <w:noProof/>
        </w:rPr>
        <w:t xml:space="preserve">VOTAZIONE FINALE PER APPELLO NOMINALE DA PARTE DELLA COMMISSIONE </w:t>
      </w:r>
      <w:r>
        <w:rPr>
          <w:noProof/>
        </w:rPr>
        <w:t>COMPETENTE PER IL MERITO</w:t>
      </w:r>
      <w:r>
        <w:rPr>
          <w:noProof/>
        </w:rPr>
        <w:tab/>
      </w:r>
      <w:r>
        <w:rPr>
          <w:noProof/>
        </w:rPr>
        <w:fldChar w:fldCharType="begin"/>
      </w:r>
      <w:r>
        <w:rPr>
          <w:noProof/>
        </w:rPr>
        <w:instrText xml:space="preserve"> PAGEREF _Toc243036435 \h </w:instrText>
      </w:r>
      <w:r>
        <w:rPr>
          <w:noProof/>
        </w:rPr>
        <w:fldChar w:fldCharType="separate"/>
      </w:r>
      <w:r>
        <w:rPr>
          <w:noProof/>
        </w:rPr>
        <w:t>135</w:t>
      </w:r>
      <w:r>
        <w:rPr>
          <w:noProof/>
        </w:rPr>
        <w:fldChar w:fldCharType="end"/>
      </w:r>
    </w:p>
    <w:p w:rsidR="00F55F30" w:rsidRPr="00BB5DE9" w:rsidP="00A80DF4" w14:paraId="2AF0DB35" w14:textId="2D752B04">
      <w:r w:rsidRPr="00BB5DE9">
        <w:fldChar w:fldCharType="end"/>
      </w:r>
    </w:p>
    <w:p w:rsidR="00F55F30" w:rsidRPr="00BB5DE9" w14:paraId="75163992" w14:textId="7FE2B9D2">
      <w:pPr>
        <w:pStyle w:val="TOCSubHeading"/>
      </w:pPr>
      <w:r w:rsidRPr="00BB5DE9">
        <w:t>Pubblicate separatamente</w:t>
      </w:r>
    </w:p>
    <w:tbl>
      <w:tblPr>
        <w:tblW w:w="9072" w:type="dxa"/>
        <w:jc w:val="center"/>
        <w:tblLayout w:type="fixed"/>
        <w:tblCellMar>
          <w:left w:w="0" w:type="dxa"/>
          <w:right w:w="0" w:type="dxa"/>
        </w:tblCellMar>
        <w:tblLook w:val="0000"/>
      </w:tblPr>
      <w:tblGrid>
        <w:gridCol w:w="6097"/>
        <w:gridCol w:w="425"/>
        <w:gridCol w:w="2550"/>
      </w:tblGrid>
      <w:tr w14:paraId="08294606" w14:textId="77777777">
        <w:tblPrEx>
          <w:tblW w:w="9072" w:type="dxa"/>
          <w:jc w:val="center"/>
          <w:tblLayout w:type="fixed"/>
          <w:tblCellMar>
            <w:left w:w="0" w:type="dxa"/>
            <w:right w:w="0" w:type="dxa"/>
          </w:tblCellMar>
          <w:tblLook w:val="0000"/>
        </w:tblPrEx>
        <w:trPr>
          <w:jc w:val="center"/>
        </w:trPr>
        <w:tc>
          <w:tcPr>
            <w:tcW w:w="6097" w:type="dxa"/>
          </w:tcPr>
          <w:p w:rsidR="00F55F30" w:rsidRPr="00BB5DE9" w:rsidP="004E18BF" w14:paraId="70AB9484" w14:textId="1CD97681">
            <w:pPr>
              <w:pStyle w:val="TOCTabLeader"/>
            </w:pPr>
            <w:r w:rsidRPr="00BB5DE9">
              <w:t>–</w:t>
            </w:r>
            <w:r w:rsidRPr="00BB5DE9">
              <w:tab/>
              <w:t xml:space="preserve">Decisioni adottate dalla commissione per i bilanci nella riunione del </w:t>
            </w:r>
            <w:r w:rsidRPr="00BB5DE9" w:rsidR="00F44006">
              <w:t xml:space="preserve">5 ottobre </w:t>
            </w:r>
            <w:r w:rsidRPr="00BB5DE9">
              <w:t>2026 concernenti i progetti di emendamento al progetto di bilancio generale</w:t>
            </w:r>
            <w:r w:rsidRPr="00BB5DE9">
              <w:tab/>
            </w:r>
          </w:p>
        </w:tc>
        <w:tc>
          <w:tcPr>
            <w:tcW w:w="425" w:type="dxa"/>
          </w:tcPr>
          <w:p w:rsidR="00F55F30" w:rsidRPr="00BB5DE9" w14:paraId="016D7D2D" w14:textId="77777777">
            <w:pPr>
              <w:pStyle w:val="NormalHanging12a"/>
            </w:pPr>
          </w:p>
        </w:tc>
        <w:tc>
          <w:tcPr>
            <w:tcW w:w="2550" w:type="dxa"/>
            <w:vAlign w:val="bottom"/>
          </w:tcPr>
          <w:p w:rsidR="00F55F30" w:rsidRPr="00BB5DE9" w:rsidP="00E839D9" w14:paraId="6067C624" w14:textId="599EA54C">
            <w:pPr>
              <w:pStyle w:val="TOCRight"/>
            </w:pPr>
            <w:r w:rsidRPr="00BB5DE9">
              <w:t xml:space="preserve">parte 2 – </w:t>
            </w:r>
            <w:r w:rsidRPr="00BB5DE9" w:rsidR="003B3824">
              <w:t>A10</w:t>
            </w:r>
            <w:r w:rsidRPr="00BB5DE9" w:rsidR="003B3824">
              <w:noBreakHyphen/>
              <w:t>0272/2026</w:t>
            </w:r>
          </w:p>
        </w:tc>
      </w:tr>
    </w:tbl>
    <w:p w:rsidR="00F55F30" w:rsidRPr="00BB5DE9" w:rsidP="006A5366" w14:paraId="3270052F" w14:textId="77777777"/>
    <w:p w:rsidR="00F55F30" w:rsidRPr="00BB5DE9" w14:paraId="0E83ADF9" w14:textId="30A6DB15">
      <w:pPr>
        <w:pStyle w:val="PageHeading"/>
      </w:pPr>
      <w:r w:rsidRPr="00BB5DE9">
        <w:br w:type="page"/>
      </w:r>
      <w:bookmarkStart w:id="0" w:name="_Toc243036416"/>
      <w:r w:rsidRPr="00BB5DE9">
        <w:t>PROPOSTA DI RISOLUZIONE DEL PARLAMENTO EUROPEO</w:t>
      </w:r>
      <w:bookmarkEnd w:id="0"/>
    </w:p>
    <w:p w:rsidR="00F55F30" w:rsidRPr="00BB5DE9" w14:paraId="6CB5F163" w14:textId="542DA53C">
      <w:pPr>
        <w:pStyle w:val="NormalBold"/>
      </w:pPr>
      <w:r w:rsidRPr="00BB5DE9">
        <w:t>concernente la posizione del Consiglio sul progetto di bilancio generale dell'Unione europea per l'esercizio 2027 (11547/2026 – C10</w:t>
      </w:r>
      <w:r w:rsidRPr="00BB5DE9">
        <w:noBreakHyphen/>
        <w:t xml:space="preserve">0218/2026 – 2026/0196(BUD)) </w:t>
      </w:r>
    </w:p>
    <w:p w:rsidR="00F55F30" w:rsidRPr="00BB5DE9" w:rsidP="00963BAE" w14:paraId="1AFA4B31" w14:textId="40DCFDED">
      <w:pPr>
        <w:pStyle w:val="EPComma"/>
      </w:pPr>
      <w:r w:rsidRPr="00BB5DE9">
        <w:rPr>
          <w:i/>
        </w:rPr>
        <w:t>Il Parlamento europeo</w:t>
      </w:r>
      <w:r w:rsidRPr="00BB5DE9">
        <w:t>,</w:t>
      </w:r>
    </w:p>
    <w:p w:rsidR="00AB16C1" w:rsidRPr="00BB5DE9" w:rsidP="00AB16C1" w14:paraId="67C43806" w14:textId="77777777">
      <w:pPr>
        <w:pStyle w:val="Visa"/>
        <w:widowControl/>
        <w:tabs>
          <w:tab w:val="clear" w:pos="357"/>
        </w:tabs>
        <w:ind w:left="567" w:hanging="567"/>
      </w:pPr>
      <w:r w:rsidRPr="00BB5DE9">
        <w:t>–</w:t>
      </w:r>
      <w:r w:rsidRPr="00BB5DE9">
        <w:tab/>
        <w:t>visto l'articolo 314 del trattato sul funzionamento dell'Unione europea,</w:t>
      </w:r>
    </w:p>
    <w:p w:rsidR="00AB16C1" w:rsidRPr="00BB5DE9" w:rsidP="00AB16C1" w14:paraId="6DA62F65" w14:textId="77777777">
      <w:pPr>
        <w:pStyle w:val="Visa"/>
        <w:widowControl/>
        <w:tabs>
          <w:tab w:val="clear" w:pos="357"/>
        </w:tabs>
        <w:ind w:left="567" w:hanging="567"/>
        <w:rPr>
          <w:i/>
        </w:rPr>
      </w:pPr>
      <w:r w:rsidRPr="00BB5DE9">
        <w:t>–</w:t>
      </w:r>
      <w:r w:rsidRPr="00BB5DE9">
        <w:tab/>
        <w:t>visto l'articolo 106 bis del trattato che istituisce la Comunità europea dell'energia atomica,</w:t>
      </w:r>
    </w:p>
    <w:p w:rsidR="00AB16C1" w:rsidRPr="00BB5DE9" w:rsidP="00AB16C1" w14:paraId="1B752124" w14:textId="77777777">
      <w:pPr>
        <w:pStyle w:val="Visa"/>
        <w:widowControl/>
        <w:tabs>
          <w:tab w:val="clear" w:pos="357"/>
        </w:tabs>
        <w:ind w:left="567" w:hanging="567"/>
      </w:pPr>
      <w:r w:rsidRPr="00BB5DE9">
        <w:t>–</w:t>
      </w:r>
      <w:r w:rsidRPr="00BB5DE9">
        <w:tab/>
        <w:t>vista la decisione (UE, Euratom) 2020/2053 del Consiglio, del 14 dicembre 2020, relativa al sistema delle risorse proprie dell'Unione europea e che abroga la decisione 2014/335/UE, Euratom</w:t>
      </w:r>
      <w:r>
        <w:rPr>
          <w:rStyle w:val="FootnoteReference"/>
        </w:rPr>
        <w:footnoteReference w:id="2"/>
      </w:r>
      <w:r w:rsidRPr="00BB5DE9">
        <w:t>,</w:t>
      </w:r>
    </w:p>
    <w:p w:rsidR="00AB16C1" w:rsidRPr="00BB5DE9" w:rsidP="00AB16C1" w14:paraId="778527D5" w14:textId="77777777">
      <w:pPr>
        <w:pStyle w:val="NormalHanging12a"/>
        <w:widowControl/>
        <w:rPr>
          <w:szCs w:val="24"/>
        </w:rPr>
      </w:pPr>
      <w:r w:rsidRPr="00BB5DE9">
        <w:t>–</w:t>
      </w:r>
      <w:r w:rsidRPr="00BB5DE9">
        <w:tab/>
        <w:t>viste la proposta di decisione del Consiglio recante modifica della decisione (UE, Euratom) 2020/2053 relativa al sistema delle risorse proprie dell'Unione europea, presentata dalla Commissione il 22 dicembre 2021 (COM(2021)0570), e la posizione del Parlamento in data 23 novembre 2022 su tale proposta</w:t>
      </w:r>
      <w:r>
        <w:rPr>
          <w:rStyle w:val="FootnoteReference"/>
          <w:szCs w:val="24"/>
        </w:rPr>
        <w:footnoteReference w:id="3"/>
      </w:r>
      <w:r w:rsidRPr="00BB5DE9">
        <w:t>,</w:t>
      </w:r>
    </w:p>
    <w:p w:rsidR="00AB16C1" w:rsidRPr="00BB5DE9" w:rsidP="00AB16C1" w14:paraId="4A561AB4" w14:textId="77777777">
      <w:pPr>
        <w:pStyle w:val="NormalHanging12a"/>
        <w:widowControl/>
        <w:rPr>
          <w:szCs w:val="24"/>
        </w:rPr>
      </w:pPr>
      <w:r w:rsidRPr="00BB5DE9">
        <w:t>–</w:t>
      </w:r>
      <w:r w:rsidRPr="00BB5DE9">
        <w:tab/>
        <w:t>visto il regolamento (UE, Euratom) 2024/2509 del Parlamento europeo e del Consiglio, del 23 settembre 2024, che stabilisce le regole finanziarie applicabili al bilancio generale dell'Unione (rifusione) (il regolamento finanziario)</w:t>
      </w:r>
      <w:r>
        <w:rPr>
          <w:rStyle w:val="FootnoteReference"/>
        </w:rPr>
        <w:footnoteReference w:id="4"/>
      </w:r>
      <w:r w:rsidRPr="00BB5DE9">
        <w:t>,</w:t>
      </w:r>
    </w:p>
    <w:p w:rsidR="00AB16C1" w:rsidRPr="00BB5DE9" w:rsidP="00AB16C1" w14:paraId="644B3CD6" w14:textId="77777777">
      <w:pPr>
        <w:pStyle w:val="NormalHanging12a"/>
        <w:widowControl/>
        <w:rPr>
          <w:szCs w:val="24"/>
        </w:rPr>
      </w:pPr>
      <w:r w:rsidRPr="00BB5DE9">
        <w:t>–</w:t>
      </w:r>
      <w:r w:rsidRPr="00BB5DE9">
        <w:tab/>
        <w:t>visti il regolamento (UE, Euratom) 2020/2093 del Consiglio, del 17 dicembre 2020, che stabilisce il quadro finanziario pluriennale per il periodo 2021-2027</w:t>
      </w:r>
      <w:r>
        <w:rPr>
          <w:rStyle w:val="FootnoteReference"/>
          <w:rFonts w:eastAsiaTheme="majorEastAsia"/>
          <w:szCs w:val="24"/>
        </w:rPr>
        <w:footnoteReference w:id="5"/>
      </w:r>
      <w:r w:rsidRPr="00BB5DE9">
        <w:t xml:space="preserve"> e le dichiarazioni comuni messe a punto in tale contesto da Parlamento, Consiglio</w:t>
      </w:r>
      <w:r>
        <w:rPr>
          <w:color w:val="000000"/>
          <w:szCs w:val="24"/>
          <w:vertAlign w:val="superscript"/>
        </w:rPr>
        <w:footnoteReference w:id="6"/>
      </w:r>
      <w:r w:rsidRPr="00BB5DE9">
        <w:t xml:space="preserve"> e Commissione, nonché le relative dichiarazioni unilaterali</w:t>
      </w:r>
      <w:r>
        <w:rPr>
          <w:color w:val="000000"/>
          <w:szCs w:val="24"/>
          <w:vertAlign w:val="superscript"/>
        </w:rPr>
        <w:footnoteReference w:id="7"/>
      </w:r>
      <w:r w:rsidRPr="00BB5DE9">
        <w:t>,</w:t>
      </w:r>
    </w:p>
    <w:p w:rsidR="00AB16C1" w:rsidRPr="00BB5DE9" w:rsidP="00AB16C1" w14:paraId="3569C897" w14:textId="77777777">
      <w:pPr>
        <w:widowControl/>
        <w:pBdr>
          <w:top w:val="nil"/>
          <w:left w:val="nil"/>
          <w:bottom w:val="nil"/>
          <w:right w:val="nil"/>
          <w:between w:val="nil"/>
        </w:pBdr>
        <w:spacing w:after="240"/>
        <w:ind w:left="567" w:hanging="567"/>
        <w:rPr>
          <w:color w:val="000000"/>
          <w:szCs w:val="24"/>
        </w:rPr>
      </w:pPr>
      <w:r w:rsidRPr="00BB5DE9">
        <w:rPr>
          <w:color w:val="000000"/>
        </w:rPr>
        <w:t>–</w:t>
      </w:r>
      <w:r w:rsidRPr="00BB5DE9">
        <w:rPr>
          <w:color w:val="000000"/>
        </w:rPr>
        <w:tab/>
        <w:t>visto il regolamento (UE, Euratom) 2022/2496 del Consiglio, del 15 dicembre 2022, recante modifica del regolamento (UE, Euratom) 2020/2093 che stabilisce il quadro finanziario pluriennale per il periodo 2021-2027</w:t>
      </w:r>
      <w:r>
        <w:rPr>
          <w:color w:val="000000"/>
          <w:szCs w:val="24"/>
          <w:vertAlign w:val="superscript"/>
        </w:rPr>
        <w:footnoteReference w:id="8"/>
      </w:r>
      <w:r w:rsidRPr="00BB5DE9">
        <w:rPr>
          <w:color w:val="000000"/>
        </w:rPr>
        <w:t>,</w:t>
      </w:r>
    </w:p>
    <w:p w:rsidR="00AB16C1" w:rsidRPr="00BB5DE9" w:rsidP="00AB16C1" w14:paraId="36412372" w14:textId="77777777">
      <w:pPr>
        <w:widowControl/>
        <w:pBdr>
          <w:top w:val="nil"/>
          <w:left w:val="nil"/>
          <w:bottom w:val="nil"/>
          <w:right w:val="nil"/>
          <w:between w:val="nil"/>
        </w:pBdr>
        <w:spacing w:after="240"/>
        <w:ind w:left="567" w:hanging="567"/>
        <w:rPr>
          <w:color w:val="000000"/>
          <w:szCs w:val="24"/>
        </w:rPr>
      </w:pPr>
      <w:r w:rsidRPr="00BB5DE9">
        <w:t>–</w:t>
      </w:r>
      <w:r w:rsidRPr="00BB5DE9">
        <w:tab/>
      </w:r>
      <w:r w:rsidRPr="00BB5DE9">
        <w:rPr>
          <w:color w:val="000000"/>
        </w:rPr>
        <w:t>visto il regolamento (UE, Euratom) 2024/765 del Consiglio, recante modifica del regolamento (UE, Euratom) 2020/2093 che stabilisce il quadro finanziario pluriennale per il periodo 2021-2027</w:t>
      </w:r>
      <w:r>
        <w:rPr>
          <w:rStyle w:val="FootnoteReference"/>
          <w:color w:val="000000"/>
          <w:szCs w:val="24"/>
        </w:rPr>
        <w:footnoteReference w:id="9"/>
      </w:r>
      <w:r w:rsidRPr="00BB5DE9">
        <w:rPr>
          <w:color w:val="000000"/>
        </w:rPr>
        <w:t xml:space="preserve"> (revisione del QFP),</w:t>
      </w:r>
    </w:p>
    <w:p w:rsidR="00AB16C1" w:rsidRPr="00BB5DE9" w:rsidP="00AB16C1" w14:paraId="7BF9970A" w14:textId="77777777">
      <w:pPr>
        <w:widowControl/>
        <w:pBdr>
          <w:top w:val="nil"/>
          <w:left w:val="nil"/>
          <w:bottom w:val="nil"/>
          <w:right w:val="nil"/>
          <w:between w:val="nil"/>
        </w:pBdr>
        <w:spacing w:after="240"/>
        <w:ind w:left="567" w:hanging="567"/>
        <w:rPr>
          <w:color w:val="000000"/>
          <w:szCs w:val="24"/>
        </w:rPr>
      </w:pPr>
      <w:r w:rsidRPr="00BB5DE9">
        <w:t>–</w:t>
      </w:r>
      <w:r w:rsidRPr="00BB5DE9">
        <w:tab/>
      </w:r>
      <w:r w:rsidRPr="00BB5DE9">
        <w:rPr>
          <w:color w:val="000000"/>
        </w:rPr>
        <w:t>visto il regolamento (UE) 2026/469 del Consiglio, recante modifica del regolamento (UE, Euratom) 2020/2093 che stabilisce il quadro finanziario pluriennale per il periodo 2021-2027</w:t>
      </w:r>
      <w:r>
        <w:rPr>
          <w:rStyle w:val="FootnoteReference"/>
          <w:color w:val="000000"/>
          <w:szCs w:val="24"/>
        </w:rPr>
        <w:footnoteReference w:id="10"/>
      </w:r>
      <w:r w:rsidRPr="00BB5DE9">
        <w:rPr>
          <w:color w:val="000000"/>
        </w:rPr>
        <w:t xml:space="preserve"> (regolamento QFP modificato del 2026),</w:t>
      </w:r>
    </w:p>
    <w:p w:rsidR="00AB16C1" w:rsidRPr="00BB5DE9" w:rsidP="00AB16C1" w14:paraId="3124578A" w14:textId="77777777">
      <w:pPr>
        <w:pStyle w:val="Visa"/>
        <w:widowControl/>
        <w:tabs>
          <w:tab w:val="clear" w:pos="357"/>
        </w:tabs>
        <w:ind w:left="567" w:hanging="567"/>
      </w:pPr>
      <w:r w:rsidRPr="00BB5DE9">
        <w:t>–</w:t>
      </w:r>
      <w:r w:rsidRPr="00BB5DE9">
        <w:tab/>
        <w:t>visto l'accordo interistituzionale, del 16 dicembre 2020, tra il Parlamento europeo, il Consiglio e la Commissione sulla disciplina di bilancio, sulla cooperazione in materia di bilancio e sulla sana gestione finanziaria, nonché su nuove risorse proprie, compresa una tabella di marcia per l'introduzione di nuove risorse proprie</w:t>
      </w:r>
      <w:r>
        <w:rPr>
          <w:rStyle w:val="FootnoteReference"/>
        </w:rPr>
        <w:footnoteReference w:id="11"/>
      </w:r>
      <w:r w:rsidRPr="00BB5DE9">
        <w:t>,</w:t>
      </w:r>
    </w:p>
    <w:p w:rsidR="00AB16C1" w:rsidRPr="00BB5DE9" w:rsidP="00AB16C1" w14:paraId="5A3F1B2E" w14:textId="77777777">
      <w:pPr>
        <w:pStyle w:val="Visa"/>
        <w:widowControl/>
        <w:tabs>
          <w:tab w:val="clear" w:pos="357"/>
        </w:tabs>
        <w:ind w:left="567" w:hanging="567"/>
      </w:pPr>
      <w:r w:rsidRPr="00BB5DE9">
        <w:t>–</w:t>
      </w:r>
      <w:r w:rsidRPr="00BB5DE9">
        <w:tab/>
        <w:t>vista la sua risoluzione del 28 aprile 2026 sugli orientamenti generali per l'elaborazione del bilancio</w:t>
      </w:r>
      <w:r>
        <w:rPr>
          <w:rStyle w:val="FootnoteReference"/>
        </w:rPr>
        <w:footnoteReference w:id="12"/>
      </w:r>
      <w:r w:rsidRPr="00BB5DE9">
        <w:t>,</w:t>
      </w:r>
    </w:p>
    <w:p w:rsidR="00AB16C1" w:rsidRPr="00BB5DE9" w:rsidP="00AB16C1" w14:paraId="42028994" w14:textId="77777777">
      <w:pPr>
        <w:pStyle w:val="Visa"/>
        <w:widowControl/>
        <w:tabs>
          <w:tab w:val="clear" w:pos="357"/>
        </w:tabs>
        <w:ind w:left="567" w:hanging="567"/>
      </w:pPr>
      <w:r w:rsidRPr="00BB5DE9">
        <w:t>–</w:t>
      </w:r>
      <w:r w:rsidRPr="00BB5DE9">
        <w:tab/>
        <w:t>vista la sua risoluzione del 30 aprile 2026 sullo stato di previsione delle entrate e delle spese del Parlamento europeo per l'esercizio 2027</w:t>
      </w:r>
      <w:r>
        <w:rPr>
          <w:rStyle w:val="FootnoteReference"/>
        </w:rPr>
        <w:footnoteReference w:id="13"/>
      </w:r>
      <w:r w:rsidRPr="00BB5DE9">
        <w:t>,</w:t>
      </w:r>
    </w:p>
    <w:p w:rsidR="00AB16C1" w:rsidRPr="00BB5DE9" w:rsidP="00AB16C1" w14:paraId="7664D2BF" w14:textId="77777777">
      <w:pPr>
        <w:pStyle w:val="Visa"/>
        <w:widowControl/>
        <w:tabs>
          <w:tab w:val="clear" w:pos="357"/>
        </w:tabs>
        <w:ind w:left="567" w:hanging="567"/>
      </w:pPr>
      <w:r w:rsidRPr="00BB5DE9">
        <w:t>–</w:t>
      </w:r>
      <w:r w:rsidRPr="00BB5DE9">
        <w:tab/>
        <w:t>visto il progetto di bilancio generale dell'Unione europea per l'esercizio 2027 adottato dalla Commissione il 10 giugno 2026 (COM(2026)0300),</w:t>
      </w:r>
    </w:p>
    <w:p w:rsidR="00AB16C1" w:rsidRPr="00BB5DE9" w:rsidP="00AB16C1" w14:paraId="14F5DD61" w14:textId="77777777">
      <w:pPr>
        <w:pStyle w:val="Visa"/>
        <w:widowControl/>
        <w:tabs>
          <w:tab w:val="clear" w:pos="357"/>
        </w:tabs>
        <w:ind w:left="567" w:hanging="567"/>
      </w:pPr>
      <w:r w:rsidRPr="00BB5DE9">
        <w:t>–</w:t>
      </w:r>
      <w:r w:rsidRPr="00BB5DE9">
        <w:tab/>
      </w:r>
      <w:bookmarkStart w:id="1" w:name="_Hlk240890558"/>
      <w:r w:rsidRPr="00BB5DE9">
        <w:t>vista la posizione del Consiglio sul progetto di bilancio generale dell'Unione europea per l'esercizio 2027, adottata il 4 settembre 2026 e comunicata al Parlamento europeo l'11 settembre 2026 (11547/2026 – C10-0218/2026),</w:t>
      </w:r>
      <w:bookmarkEnd w:id="1"/>
    </w:p>
    <w:p w:rsidR="00AB16C1" w:rsidRPr="00BB5DE9" w:rsidP="00AB16C1" w14:paraId="373A8C9C" w14:textId="77777777">
      <w:pPr>
        <w:pStyle w:val="Visa"/>
        <w:widowControl/>
        <w:tabs>
          <w:tab w:val="clear" w:pos="357"/>
        </w:tabs>
        <w:ind w:left="567" w:hanging="567"/>
      </w:pPr>
      <w:r w:rsidRPr="00BB5DE9">
        <w:t>–</w:t>
      </w:r>
      <w:r w:rsidRPr="00BB5DE9">
        <w:tab/>
        <w:t>visto l'articolo 96 del suo regolamento,</w:t>
      </w:r>
    </w:p>
    <w:p w:rsidR="00AB16C1" w:rsidRPr="00BB5DE9" w:rsidP="00AB16C1" w14:paraId="5C310341" w14:textId="77777777">
      <w:pPr>
        <w:pStyle w:val="NormalHanging12a"/>
        <w:widowControl/>
        <w:ind w:right="-428"/>
        <w:rPr>
          <w:szCs w:val="24"/>
        </w:rPr>
      </w:pPr>
      <w:r w:rsidRPr="00BB5DE9">
        <w:t>–</w:t>
      </w:r>
      <w:r w:rsidRPr="00BB5DE9">
        <w:tab/>
        <w:t>visti i pareri della commissione per gli affari esteri, della commissione per lo sviluppo, della commissione per i problemi economici e monetari, della commissione per l'occupazione e gli affari sociali, della commissione per l'ambiente, il clima e la sicurezza alimentare, della commissione per la sanità pubblica, della commissione per il mercato interno e la protezione dei consumatori, della commissione per l'agricoltura e lo sviluppo rurale, della commissione per la pesca, della commissione per la cultura e l'istruzione, della commissione per i diritti delle donne e l'uguaglianza di genere,</w:t>
      </w:r>
    </w:p>
    <w:p w:rsidR="00AB16C1" w:rsidRPr="00BB5DE9" w:rsidP="00AB16C1" w14:paraId="5F56B27F" w14:textId="77777777">
      <w:pPr>
        <w:pStyle w:val="NormalHanging12a"/>
        <w:widowControl/>
        <w:rPr>
          <w:szCs w:val="24"/>
        </w:rPr>
      </w:pPr>
      <w:r w:rsidRPr="00BB5DE9">
        <w:t>–</w:t>
      </w:r>
      <w:r w:rsidRPr="00BB5DE9">
        <w:tab/>
        <w:t>viste le lettere della commissione per la sicurezza e la difesa, della commissione per il controllo dei bilanci, della commissione per l'industria, la ricerca e l'energia e della commissione per i trasporti e il turismo,</w:t>
      </w:r>
    </w:p>
    <w:p w:rsidR="00AB16C1" w:rsidRPr="00BB5DE9" w:rsidP="00AB16C1" w14:paraId="1C0AA2D5" w14:textId="77777777">
      <w:pPr>
        <w:widowControl/>
        <w:spacing w:after="240"/>
        <w:ind w:left="567" w:hanging="567"/>
      </w:pPr>
      <w:r w:rsidRPr="00BB5DE9">
        <w:t>–</w:t>
      </w:r>
      <w:r w:rsidRPr="00BB5DE9">
        <w:tab/>
        <w:t>vista la relazione della commissione per i bilanci (A10-0272/2026),</w:t>
      </w:r>
    </w:p>
    <w:p w:rsidR="00AB16C1" w:rsidRPr="00BB5DE9" w:rsidP="00AB16C1" w14:paraId="5F15800C" w14:textId="77777777">
      <w:pPr>
        <w:pStyle w:val="Action"/>
        <w:widowControl/>
        <w:tabs>
          <w:tab w:val="clear" w:pos="357"/>
        </w:tabs>
        <w:spacing w:before="120"/>
        <w:ind w:left="567" w:hanging="567"/>
        <w:rPr>
          <w:b/>
        </w:rPr>
      </w:pPr>
      <w:r w:rsidRPr="00BB5DE9">
        <w:rPr>
          <w:b/>
          <w:i/>
        </w:rPr>
        <w:t>Sezione III – Commissione</w:t>
      </w:r>
    </w:p>
    <w:p w:rsidR="00AB16C1" w:rsidRPr="00BB5DE9" w:rsidP="00AB16C1" w14:paraId="56DE2ED0" w14:textId="77777777">
      <w:pPr>
        <w:pStyle w:val="Visa"/>
        <w:widowControl/>
        <w:tabs>
          <w:tab w:val="clear" w:pos="357"/>
          <w:tab w:val="left" w:pos="567"/>
        </w:tabs>
        <w:ind w:left="567" w:hanging="567"/>
        <w:rPr>
          <w:szCs w:val="24"/>
        </w:rPr>
      </w:pPr>
      <w:r w:rsidRPr="00BB5DE9">
        <w:t>1.</w:t>
      </w:r>
      <w:r w:rsidRPr="00BB5DE9">
        <w:tab/>
        <w:t xml:space="preserve">ricorda di aver fissato, nella sua risoluzione del 28 aprile 2026 sugli orientamenti generali per l'elaborazione del bilancio 2027, chiare priorità politiche per il bilancio 2027; ribadisce la sua forte determinazione a favore di tali priorità e definisce la seguente posizione per garantire un livello di finanziamento sufficiente per realizzarle, pur nel rispetto degli attuali vincoli di bilancio; ritiene che l'Unione debba essere dotata </w:t>
      </w:r>
      <w:r w:rsidRPr="00BB5DE9">
        <w:t>di tutte le risorse di bilancio possibili per concretizzare le proprie priorità e promuovere un prospero futuro per l'Europa;</w:t>
      </w:r>
    </w:p>
    <w:p w:rsidR="00AB16C1" w:rsidRPr="00BB5DE9" w:rsidP="00AB16C1" w14:paraId="24B6D554" w14:textId="77777777">
      <w:pPr>
        <w:pStyle w:val="Visa"/>
        <w:widowControl/>
        <w:tabs>
          <w:tab w:val="clear" w:pos="357"/>
          <w:tab w:val="left" w:pos="567"/>
        </w:tabs>
        <w:ind w:left="567" w:hanging="567"/>
      </w:pPr>
      <w:r w:rsidRPr="00BB5DE9">
        <w:t>2.</w:t>
      </w:r>
      <w:r w:rsidRPr="00BB5DE9">
        <w:tab/>
        <w:t>ricorda che il Consiglio propone di:</w:t>
      </w:r>
    </w:p>
    <w:p w:rsidR="00AB16C1" w:rsidRPr="00BB5DE9" w:rsidP="00AB16C1" w14:paraId="1522C359" w14:textId="77777777">
      <w:pPr>
        <w:pStyle w:val="Visa"/>
        <w:widowControl/>
        <w:tabs>
          <w:tab w:val="clear" w:pos="357"/>
        </w:tabs>
        <w:ind w:left="1134" w:right="-711" w:hanging="425"/>
      </w:pPr>
      <w:r w:rsidRPr="00BB5DE9">
        <w:t>a)</w:t>
      </w:r>
      <w:r w:rsidRPr="00BB5DE9">
        <w:tab/>
        <w:t>ridurre gli stanziamenti d'impegno (SI) di 1,0032 miliardi di EUR in tutte le rubriche del QFP, lasciando un totale di 191,8779 miliardi di EUR nel quadro delle rubriche del QFP, e di ridurre gli stanziamenti di pagamento di 501,8 milioni di EUR in tutte le rubriche del QFP, lasciando un totale di 202,0658 miliardi di EUR nell'ambito delle rubriche del QFP;</w:t>
      </w:r>
    </w:p>
    <w:p w:rsidR="00AB16C1" w:rsidRPr="00BB5DE9" w:rsidP="00AB16C1" w14:paraId="71ACD9E9" w14:textId="77777777">
      <w:pPr>
        <w:pStyle w:val="Visa"/>
        <w:widowControl/>
        <w:tabs>
          <w:tab w:val="clear" w:pos="357"/>
        </w:tabs>
        <w:ind w:left="1134" w:hanging="425"/>
      </w:pPr>
      <w:r w:rsidRPr="00BB5DE9">
        <w:t>b)</w:t>
      </w:r>
      <w:r w:rsidRPr="00BB5DE9">
        <w:tab/>
        <w:t>mantenere gli stanziamenti iscritti nel progetto di bilancio (PB) 2027 per la riserva di solidarietà e per gli aiuti d'urgenza, il Fondo europeo di adeguamento alla globalizzazione e la riserva di adeguamento alla Brexit;</w:t>
      </w:r>
    </w:p>
    <w:p w:rsidR="00AB16C1" w:rsidRPr="00BB5DE9" w:rsidP="00AB16C1" w14:paraId="0F30C2C6" w14:textId="77777777">
      <w:pPr>
        <w:pStyle w:val="Visa"/>
        <w:widowControl/>
        <w:tabs>
          <w:tab w:val="clear" w:pos="357"/>
        </w:tabs>
        <w:ind w:left="1134" w:hanging="425"/>
      </w:pPr>
      <w:r w:rsidRPr="00BB5DE9">
        <w:t>c)</w:t>
      </w:r>
      <w:r w:rsidRPr="00BB5DE9">
        <w:tab/>
        <w:t>mantenere gli stanziamenti iscritti per la riserva per l'Ucraina, senza mobilitare lo strumento di prestito a sostegno dell'Ucraina (USL);</w:t>
      </w:r>
    </w:p>
    <w:p w:rsidR="00AB16C1" w:rsidRPr="00BB5DE9" w:rsidP="00AB16C1" w14:paraId="5CACD49C" w14:textId="77777777">
      <w:pPr>
        <w:pStyle w:val="Visa"/>
        <w:widowControl/>
        <w:ind w:left="1134" w:right="-286" w:hanging="425"/>
      </w:pPr>
      <w:r w:rsidRPr="00BB5DE9">
        <w:t>d)</w:t>
      </w:r>
      <w:r w:rsidRPr="00BB5DE9">
        <w:tab/>
        <w:t>ridurre il "costo di finanziamento dello strumento dell'Unione europea per la ripresa (EURI)", al fine di ridurre il ricorso agli strumenti speciali, in particolare lo strumento di flessibilità e lo strumento EURI nel contesto del meccanismo a cascata, riducendo così (di 180 milioni di EUR ovvero dell'1,8 %) l'importo ritenuto necessario per il 2027 sulla linea relativa all'EURI per portarlo a 9,7 miliardi di EUR, e di mantenere l'approccio 50-50 proposto dalla Commissione per il PB 2027;</w:t>
      </w:r>
    </w:p>
    <w:p w:rsidR="00AB16C1" w:rsidRPr="00BB5DE9" w:rsidP="00AB16C1" w14:paraId="6D6544BA" w14:textId="77777777">
      <w:pPr>
        <w:pStyle w:val="Visa"/>
        <w:widowControl/>
        <w:ind w:left="1134" w:right="-286" w:hanging="425"/>
        <w:rPr>
          <w:szCs w:val="24"/>
        </w:rPr>
      </w:pPr>
      <w:r w:rsidRPr="00BB5DE9">
        <w:t>e)</w:t>
      </w:r>
      <w:r w:rsidRPr="00BB5DE9">
        <w:tab/>
        <w:t>applicare tagli a diverse rubriche sulle linee del programma, come anche sulle linee relative al sostegno amministrativo, alle agenzie decentrate e alle prerogative della Commissione;</w:t>
      </w:r>
    </w:p>
    <w:p w:rsidR="00AB16C1" w:rsidRPr="00BB5DE9" w:rsidP="00AB16C1" w14:paraId="610A8E87" w14:textId="77777777">
      <w:pPr>
        <w:widowControl/>
        <w:spacing w:before="240" w:after="240"/>
        <w:rPr>
          <w:b/>
          <w:bCs/>
          <w:i/>
          <w:iCs/>
          <w:szCs w:val="24"/>
        </w:rPr>
      </w:pPr>
      <w:r w:rsidRPr="00BB5DE9">
        <w:rPr>
          <w:b/>
          <w:i/>
        </w:rPr>
        <w:t>Strumenti speciali e meccanismo a cascata</w:t>
      </w:r>
    </w:p>
    <w:p w:rsidR="00AB16C1" w:rsidRPr="00BB5DE9" w:rsidP="00AB16C1" w14:paraId="6D0AADBA" w14:textId="77777777">
      <w:pPr>
        <w:widowControl/>
        <w:spacing w:after="240"/>
        <w:ind w:left="567" w:right="-286" w:hanging="567"/>
        <w:rPr>
          <w:szCs w:val="24"/>
        </w:rPr>
      </w:pPr>
      <w:r w:rsidRPr="00BB5DE9">
        <w:t>3.</w:t>
      </w:r>
      <w:r w:rsidRPr="00BB5DE9">
        <w:tab/>
        <w:t>è fortemente in disaccordo con l'approccio del Consiglio di optare per quella che erroneamente definisce un'iscrizione in bilancio "prudente", creando margini artificiali al di sotto dei massimali del QFP riducendo il finanziamento dei programmi, compresi quelli con un numero di domande superiori all'offerta, quelli di successo e quelli prioritari;</w:t>
      </w:r>
    </w:p>
    <w:p w:rsidR="00AB16C1" w:rsidRPr="00BB5DE9" w:rsidP="00AB16C1" w14:paraId="4DB7ACDC" w14:textId="77777777">
      <w:pPr>
        <w:widowControl/>
        <w:spacing w:after="240"/>
        <w:ind w:left="567" w:hanging="567"/>
        <w:rPr>
          <w:szCs w:val="24"/>
        </w:rPr>
      </w:pPr>
      <w:r w:rsidRPr="00BB5DE9">
        <w:t>4.</w:t>
      </w:r>
      <w:r w:rsidRPr="00BB5DE9">
        <w:tab/>
        <w:t>ricorda l'accordo interistituzionale adottato nell'ambito dell'accordo sul QFP del 2020, secondo cui le spese a copertura dei costi di finanziamento dello strumento dell'Unione europea per la ripresa (NGEU) "mirano a non ridurre le spese per i programmi e i fondi"; ripristina pertanto tutti gli stanziamenti che il Consiglio aveva proposto di tagliare, per garantire che i programmi dispongano di risorse sufficienti e che la flessibilità e la capacità di risposta del bilancio siano preservate durante l'intera procedura annuale di bilancio; insiste sulla necessità che la Commissione fornisca informazioni affidabili, tempestive e accurate sugli oneri finanziari di NGEU e sulle erogazioni previste a titolo del dispositivo per la ripresa e la resilienza (RRF) secondo la metodologia applicata a partire dal bilancio 2025, secondo la quale la Commissione baserà l'iscrizione in bilancio della linea relativa agli interessi EURI per un determinato anno sugli esborsi confermati entro la fine del terzo trimestre dell'anno precedente;</w:t>
      </w:r>
    </w:p>
    <w:p w:rsidR="00AB16C1" w:rsidRPr="00BB5DE9" w:rsidP="00AB16C1" w14:paraId="1A6F4A2B" w14:textId="77777777">
      <w:pPr>
        <w:widowControl/>
        <w:spacing w:after="240"/>
        <w:ind w:left="567" w:right="-428" w:hanging="567"/>
        <w:rPr>
          <w:szCs w:val="24"/>
        </w:rPr>
      </w:pPr>
      <w:r w:rsidRPr="00BB5DE9">
        <w:t>5.</w:t>
      </w:r>
      <w:r w:rsidRPr="00BB5DE9">
        <w:tab/>
        <w:t>ripristina pertanto l'importo di 180 milioni di EUR tagliato dal Consiglio all'articolo 06 04 01 Strumento dell'Unione europea per la ripresa (EURI) – Pagamento di una cedola periodica e rimborso alla scadenza; è del parere che il 65 % degli sforamenti dei costi dell'EURI (esclusi i costi di gestione della liquidità menzionati di seguito) dovrebbe essere finanziato dal comparto del disimpegno dello strumento EURI (3 320 296 411 EUR); ritiene che ciò sia necessario per consentire al bilancio dell'Unione di fornire sostegno e assistenza sufficienti agli europei che si trovano ad affrontare sfide molteplici;</w:t>
      </w:r>
    </w:p>
    <w:p w:rsidR="00AB16C1" w:rsidRPr="00BB5DE9" w:rsidP="00AB16C1" w14:paraId="3A7D09B8" w14:textId="77777777">
      <w:pPr>
        <w:widowControl/>
        <w:ind w:left="567" w:hanging="567"/>
        <w:rPr>
          <w:szCs w:val="24"/>
        </w:rPr>
      </w:pPr>
      <w:r w:rsidRPr="00BB5DE9">
        <w:t>6.</w:t>
      </w:r>
      <w:r w:rsidRPr="00BB5DE9">
        <w:tab/>
        <w:t>rileva, inoltre, che i costi di gestione della liquidità sono cresciuti sensibilmente in ragione dei ritardi nelle richieste di pagamento; chiede che il costo di gestione della liquidità attualmente stimato a 350 milioni di EUR per il 2027 sia isolato in una nuova linea di bilancio distinta a fini di trasparenza; trasferisce gli stanziamenti al nuovo articolo 06 04 XX; sostiene pertanto che i costi di gestione della liquidità dovrebbero essere finanziati esclusivamente dal comparto del disimpegno dello strumento EURI;</w:t>
      </w:r>
    </w:p>
    <w:p w:rsidR="00AB16C1" w:rsidRPr="00BB5DE9" w:rsidP="00AB16C1" w14:paraId="69EAB73A" w14:textId="77777777">
      <w:pPr>
        <w:pStyle w:val="NormalHanging12a"/>
        <w:widowControl/>
        <w:spacing w:before="240" w:after="0"/>
        <w:rPr>
          <w:snapToGrid/>
          <w:szCs w:val="24"/>
        </w:rPr>
      </w:pPr>
      <w:r w:rsidRPr="00BB5DE9">
        <w:rPr>
          <w:snapToGrid/>
        </w:rPr>
        <w:t>7.</w:t>
      </w:r>
      <w:r w:rsidRPr="00BB5DE9">
        <w:rPr>
          <w:snapToGrid/>
        </w:rPr>
        <w:tab/>
      </w:r>
      <w:r w:rsidRPr="00BB5DE9">
        <w:t>ricorda che il considerando 6 del regolamento QFP modificato del 2026 stabilisce che "gli stanziamenti di bilancio al di sopra dei massimali del quadro finanziario pluriennale dovrebbero essere mobilitati al solo scopo di finanziare i costi di servizio del debito di un prestito all'Ucraina e solo dopo aver cercato le disponibilità di bilancio";</w:t>
      </w:r>
    </w:p>
    <w:p w:rsidR="00AB16C1" w:rsidRPr="00BB5DE9" w:rsidP="00AB16C1" w14:paraId="6C840EAC" w14:textId="77777777">
      <w:pPr>
        <w:pStyle w:val="NormalHanging12a"/>
        <w:widowControl/>
        <w:spacing w:before="240" w:after="0"/>
        <w:ind w:right="-286"/>
        <w:rPr>
          <w:szCs w:val="24"/>
        </w:rPr>
      </w:pPr>
      <w:r w:rsidRPr="00BB5DE9">
        <w:t>8.</w:t>
      </w:r>
      <w:r w:rsidRPr="00BB5DE9">
        <w:tab/>
        <w:t>ritiene necessaria la piena mobilitazione dello strumento per il prestito a sostegno dell'Ucraina per la totalità degli stanziamenti iscritti all'articolo 16 07 01 (1 115 000 000 EUR), alla luce delle risposte che il bilancio dell'Unione deve fornire per far fronte alle sfide e dopo una valutazione approfondita delle disponibilità, tenendo conto degli obblighi giuridici e di altro tipo, nonché di un approccio prudente nell'elaborazione del bilancio e di una sana gestione finanziaria; sottolinea, inoltre, che lo strumento di flessibilità e lo strumento unico di margine possono essere mobilitati solo in relazione alle rubriche esistenti del QFP, conformemente alle disposizioni del regolamento QFP;</w:t>
      </w:r>
    </w:p>
    <w:p w:rsidR="00AB16C1" w:rsidRPr="00BB5DE9" w:rsidP="00AB16C1" w14:paraId="2133DE30" w14:textId="77777777">
      <w:pPr>
        <w:pStyle w:val="NormalHanging12a"/>
        <w:widowControl/>
        <w:spacing w:before="240"/>
        <w:rPr>
          <w:szCs w:val="24"/>
        </w:rPr>
      </w:pPr>
      <w:r w:rsidRPr="00BB5DE9">
        <w:t>9.</w:t>
      </w:r>
      <w:r w:rsidRPr="00BB5DE9">
        <w:tab/>
        <w:t>chiede che il costo di gestione della liquidità attualmente stimato a 35 milioni di EUR per il 2027 sia isolato in una nuova linea di bilancio distinta a fini di trasparenza; sostiene che i costi di gestione della liquidità sono dovuti a problemi di attuazione imprevisti e a ritardi tra l'assunzione di prestiti e gli esborsi, e non dovrebbero rappresentare un onere aggiuntivo per il bilancio dell'Unione; chiede pertanto che siano finanziati esclusivamente a valere sullo strumento per il prestito a sostegno dell'Ucraina;</w:t>
      </w:r>
    </w:p>
    <w:p w:rsidR="00AB16C1" w:rsidRPr="00BB5DE9" w:rsidP="00AB16C1" w14:paraId="5DDF9B19" w14:textId="77777777">
      <w:pPr>
        <w:widowControl/>
        <w:spacing w:after="240"/>
        <w:ind w:left="567" w:right="-286" w:hanging="567"/>
        <w:rPr>
          <w:szCs w:val="24"/>
        </w:rPr>
      </w:pPr>
      <w:r w:rsidRPr="00BB5DE9">
        <w:t>10.</w:t>
      </w:r>
      <w:r w:rsidRPr="00BB5DE9">
        <w:tab/>
        <w:t>ricorda che le spese di sostegno amministrativo necessarie per l'istituzione e la gestione del prestito a sostegno dell'Ucraina dovrebbero essere iscritte nello stesso titolo delle spese operative corrispondenti, conformemente al regolamento finanziario; trasferisce pertanto l'importo di 1 milione di EUR dall'articolo 06 01 03 al nuovo articolo 16 07 XX;</w:t>
      </w:r>
    </w:p>
    <w:p w:rsidR="00AB16C1" w:rsidRPr="00BB5DE9" w:rsidP="00AB16C1" w14:paraId="664DE8BE" w14:textId="77777777">
      <w:pPr>
        <w:widowControl/>
        <w:spacing w:after="240"/>
        <w:ind w:left="567" w:hanging="567"/>
        <w:rPr>
          <w:b/>
          <w:bCs/>
          <w:i/>
          <w:iCs/>
          <w:szCs w:val="24"/>
        </w:rPr>
      </w:pPr>
      <w:r w:rsidRPr="00BB5DE9">
        <w:rPr>
          <w:b/>
          <w:i/>
        </w:rPr>
        <w:t>Rubrica 1 – Mercato unico, innovazione e agenda digitale</w:t>
      </w:r>
    </w:p>
    <w:p w:rsidR="00AB16C1" w:rsidRPr="00BB5DE9" w:rsidP="00AB16C1" w14:paraId="55E6B8FC" w14:textId="77777777">
      <w:pPr>
        <w:widowControl/>
        <w:spacing w:after="240"/>
        <w:ind w:left="567" w:right="-286" w:hanging="567"/>
        <w:rPr>
          <w:szCs w:val="24"/>
        </w:rPr>
      </w:pPr>
      <w:r w:rsidRPr="00BB5DE9">
        <w:t>11.</w:t>
      </w:r>
      <w:r w:rsidRPr="00BB5DE9">
        <w:tab/>
        <w:t>ripristina gli stanziamenti tagliati dal Consiglio per un importo di 435 527 000 EUR e aggiunge un importo di 376 657 801 EUR in stanziamenti d'impegno rispetto al PB (esclusi i progetti pilota e le azioni preparatorie) e di 812 184 801 EUR rispetto alla posizione del Consiglio al fine di incrementare la dotazione dei seguenti programmi rispetto al PB:</w:t>
      </w:r>
    </w:p>
    <w:p w:rsidR="00AB16C1" w:rsidRPr="00BB5DE9" w:rsidP="00AB16C1" w14:paraId="0F536DF9" w14:textId="77777777">
      <w:pPr>
        <w:pStyle w:val="Visa"/>
        <w:widowControl/>
        <w:tabs>
          <w:tab w:val="clear" w:pos="357"/>
        </w:tabs>
        <w:spacing w:after="120"/>
        <w:ind w:left="1134" w:hanging="425"/>
        <w:rPr>
          <w:szCs w:val="24"/>
        </w:rPr>
      </w:pPr>
      <w:r w:rsidRPr="00BB5DE9">
        <w:t>a)</w:t>
      </w:r>
      <w:r w:rsidRPr="00BB5DE9">
        <w:tab/>
        <w:t>Orizzonte Europa, di 63 000 000 EUR;</w:t>
      </w:r>
    </w:p>
    <w:p w:rsidR="00AB16C1" w:rsidRPr="00BB5DE9" w:rsidP="00AB16C1" w14:paraId="0EAE9571" w14:textId="77777777">
      <w:pPr>
        <w:pStyle w:val="Visa"/>
        <w:widowControl/>
        <w:tabs>
          <w:tab w:val="clear" w:pos="357"/>
          <w:tab w:val="left" w:pos="1620"/>
        </w:tabs>
        <w:spacing w:after="120"/>
        <w:ind w:left="1980" w:right="-144" w:hanging="360"/>
        <w:rPr>
          <w:szCs w:val="24"/>
        </w:rPr>
      </w:pPr>
      <w:r w:rsidRPr="00BB5DE9">
        <w:t>i.</w:t>
      </w:r>
      <w:r w:rsidRPr="00BB5DE9">
        <w:tab/>
        <w:t>linea di bilancio 01 02 02 10 – Polo tematico "Salute", di 15 500 000 EUR;</w:t>
      </w:r>
    </w:p>
    <w:p w:rsidR="00AB16C1" w:rsidRPr="00BB5DE9" w:rsidP="00AB16C1" w14:paraId="5AA7DB6D" w14:textId="77777777">
      <w:pPr>
        <w:pStyle w:val="Visa"/>
        <w:widowControl/>
        <w:tabs>
          <w:tab w:val="clear" w:pos="357"/>
          <w:tab w:val="left" w:pos="1620"/>
        </w:tabs>
        <w:spacing w:after="120"/>
        <w:ind w:left="1980" w:hanging="360"/>
        <w:rPr>
          <w:szCs w:val="24"/>
        </w:rPr>
      </w:pPr>
      <w:r w:rsidRPr="00BB5DE9">
        <w:t>ii.</w:t>
      </w:r>
      <w:r w:rsidRPr="00BB5DE9">
        <w:tab/>
        <w:t>linea di bilancio 01 02 02 20 – Polo tematico "Cultura, creatività e società inclusiva", di 2 000 000 EUR;</w:t>
      </w:r>
    </w:p>
    <w:p w:rsidR="00AB16C1" w:rsidRPr="00BB5DE9" w:rsidP="00AB16C1" w14:paraId="7499DA75" w14:textId="77777777">
      <w:pPr>
        <w:pStyle w:val="Visa"/>
        <w:widowControl/>
        <w:tabs>
          <w:tab w:val="clear" w:pos="357"/>
          <w:tab w:val="left" w:pos="1620"/>
        </w:tabs>
        <w:spacing w:after="120"/>
        <w:ind w:left="1980" w:hanging="360"/>
        <w:rPr>
          <w:szCs w:val="24"/>
        </w:rPr>
      </w:pPr>
      <w:r w:rsidRPr="00BB5DE9">
        <w:t>iii.</w:t>
      </w:r>
      <w:r w:rsidRPr="00BB5DE9">
        <w:tab/>
        <w:t>linea di bilancio 01 02 02 41 – Polo tematico "Digitale, industria e spazio" – Impresa comune per il calcolo ad alte prestazioni europeo (EuroHPC), di 15 000 000 EUR;</w:t>
      </w:r>
    </w:p>
    <w:p w:rsidR="00AB16C1" w:rsidRPr="00BB5DE9" w:rsidP="00AB16C1" w14:paraId="4D5EAFFE" w14:textId="77777777">
      <w:pPr>
        <w:pStyle w:val="Visa"/>
        <w:widowControl/>
        <w:tabs>
          <w:tab w:val="clear" w:pos="357"/>
          <w:tab w:val="left" w:pos="1620"/>
        </w:tabs>
        <w:spacing w:after="120"/>
        <w:ind w:left="1980" w:hanging="360"/>
        <w:rPr>
          <w:szCs w:val="24"/>
        </w:rPr>
      </w:pPr>
      <w:r w:rsidRPr="00BB5DE9">
        <w:t>iv.</w:t>
      </w:r>
      <w:r w:rsidRPr="00BB5DE9">
        <w:tab/>
        <w:t>linea di bilancio 01 02 02 50 – Polo tematico "Clima, energia e mobilità", di 15 500 000 EUR;</w:t>
      </w:r>
    </w:p>
    <w:p w:rsidR="00AB16C1" w:rsidRPr="00BB5DE9" w:rsidP="00AB16C1" w14:paraId="449275EB" w14:textId="77777777">
      <w:pPr>
        <w:pStyle w:val="Visa"/>
        <w:widowControl/>
        <w:tabs>
          <w:tab w:val="clear" w:pos="357"/>
          <w:tab w:val="left" w:pos="1620"/>
        </w:tabs>
        <w:spacing w:after="120"/>
        <w:ind w:left="1980" w:hanging="360"/>
        <w:rPr>
          <w:szCs w:val="24"/>
        </w:rPr>
      </w:pPr>
      <w:r w:rsidRPr="00BB5DE9">
        <w:t>v.</w:t>
      </w:r>
      <w:r w:rsidRPr="00BB5DE9">
        <w:tab/>
        <w:t>linea di bilancio 01 02 02 60 – Polo tematico "Alimenti, bioeconomia, risorse naturali, agricoltura e ambiente", di 15 000 000 EUR;</w:t>
      </w:r>
    </w:p>
    <w:p w:rsidR="00AB16C1" w:rsidRPr="00BB5DE9" w:rsidP="00AB16C1" w14:paraId="41C29F9F" w14:textId="77777777">
      <w:pPr>
        <w:pStyle w:val="Visa"/>
        <w:widowControl/>
        <w:tabs>
          <w:tab w:val="clear" w:pos="357"/>
        </w:tabs>
        <w:spacing w:after="120"/>
        <w:ind w:left="1134" w:hanging="425"/>
        <w:rPr>
          <w:szCs w:val="24"/>
        </w:rPr>
      </w:pPr>
      <w:r w:rsidRPr="00BB5DE9">
        <w:t>b)</w:t>
      </w:r>
      <w:r w:rsidRPr="00BB5DE9">
        <w:tab/>
        <w:t>Meccanismo per collegare l'Europa (MCE), di 260 460 201 EUR;</w:t>
      </w:r>
    </w:p>
    <w:p w:rsidR="00AB16C1" w:rsidRPr="00BB5DE9" w:rsidP="00AB16C1" w14:paraId="62727C23" w14:textId="77777777">
      <w:pPr>
        <w:pStyle w:val="Visa"/>
        <w:widowControl/>
        <w:tabs>
          <w:tab w:val="clear" w:pos="357"/>
          <w:tab w:val="left" w:pos="1620"/>
        </w:tabs>
        <w:spacing w:after="120"/>
        <w:ind w:left="1980" w:hanging="360"/>
        <w:rPr>
          <w:szCs w:val="24"/>
        </w:rPr>
      </w:pPr>
      <w:r w:rsidRPr="00BB5DE9">
        <w:t>i.</w:t>
      </w:r>
      <w:r w:rsidRPr="00BB5DE9">
        <w:tab/>
        <w:t>linea di bilancio 02 03 01 – Meccanismo per collegare l'Europa (MCE) – Trasporti, di 205 460 201 EUR;</w:t>
      </w:r>
    </w:p>
    <w:p w:rsidR="00AB16C1" w:rsidRPr="00BB5DE9" w:rsidP="00AB16C1" w14:paraId="5D1141B3" w14:textId="77777777">
      <w:pPr>
        <w:pStyle w:val="Visa"/>
        <w:widowControl/>
        <w:tabs>
          <w:tab w:val="clear" w:pos="357"/>
          <w:tab w:val="left" w:pos="1620"/>
        </w:tabs>
        <w:spacing w:after="120"/>
        <w:ind w:left="1980" w:hanging="360"/>
        <w:rPr>
          <w:szCs w:val="24"/>
        </w:rPr>
      </w:pPr>
      <w:r w:rsidRPr="00BB5DE9">
        <w:t>ii.</w:t>
      </w:r>
      <w:r w:rsidRPr="00BB5DE9">
        <w:tab/>
        <w:t>linea di bilancio 02 03 02 – Meccanismo per collegare l'Europa (MCE) – Energia, di 50 000 000 EUR;</w:t>
      </w:r>
    </w:p>
    <w:p w:rsidR="00AB16C1" w:rsidRPr="00BB5DE9" w:rsidP="00AB16C1" w14:paraId="7A125AF2" w14:textId="77777777">
      <w:pPr>
        <w:pStyle w:val="Visa"/>
        <w:widowControl/>
        <w:tabs>
          <w:tab w:val="clear" w:pos="357"/>
          <w:tab w:val="left" w:pos="1620"/>
        </w:tabs>
        <w:spacing w:after="120"/>
        <w:ind w:left="1980" w:hanging="360"/>
        <w:rPr>
          <w:szCs w:val="24"/>
        </w:rPr>
      </w:pPr>
      <w:r w:rsidRPr="00BB5DE9">
        <w:t>iii.</w:t>
      </w:r>
      <w:r w:rsidRPr="00BB5DE9">
        <w:tab/>
        <w:t>linea di bilancio 02 03 00 01 – Meccanismo per collegare l'Europa (MCE) – Digitale, di 5 000 000 EUR;</w:t>
      </w:r>
    </w:p>
    <w:p w:rsidR="00AB16C1" w:rsidRPr="00BB5DE9" w:rsidP="00AB16C1" w14:paraId="2D37FDD6" w14:textId="77777777">
      <w:pPr>
        <w:pStyle w:val="Visa"/>
        <w:widowControl/>
        <w:tabs>
          <w:tab w:val="clear" w:pos="357"/>
        </w:tabs>
        <w:spacing w:after="120"/>
        <w:ind w:left="1134" w:hanging="425"/>
        <w:rPr>
          <w:szCs w:val="24"/>
        </w:rPr>
      </w:pPr>
      <w:r w:rsidRPr="00BB5DE9">
        <w:t>c)</w:t>
      </w:r>
      <w:r w:rsidRPr="00BB5DE9">
        <w:tab/>
        <w:t>Meccanismo per collegare l'Europa (MCE), di 14 813 000 EUR;</w:t>
      </w:r>
    </w:p>
    <w:p w:rsidR="00AB16C1" w:rsidRPr="00BB5DE9" w:rsidP="00AB16C1" w14:paraId="5811C166" w14:textId="77777777">
      <w:pPr>
        <w:pStyle w:val="Visa"/>
        <w:widowControl/>
        <w:tabs>
          <w:tab w:val="clear" w:pos="357"/>
          <w:tab w:val="left" w:pos="1620"/>
        </w:tabs>
        <w:spacing w:after="120"/>
        <w:ind w:left="1980" w:hanging="360"/>
        <w:rPr>
          <w:szCs w:val="24"/>
        </w:rPr>
      </w:pPr>
      <w:r w:rsidRPr="00BB5DE9">
        <w:t>i.</w:t>
      </w:r>
      <w:r w:rsidRPr="00BB5DE9">
        <w:tab/>
        <w:t>linea di bilancio 02 01 30 01 – Spese di supporto per il programma Europa digitale, di 8 000 000 EUR;</w:t>
      </w:r>
    </w:p>
    <w:p w:rsidR="00AB16C1" w:rsidRPr="00BB5DE9" w:rsidP="00AB16C1" w14:paraId="3C354AE9" w14:textId="77777777">
      <w:pPr>
        <w:pStyle w:val="Visa"/>
        <w:widowControl/>
        <w:tabs>
          <w:tab w:val="clear" w:pos="357"/>
          <w:tab w:val="left" w:pos="1620"/>
        </w:tabs>
        <w:spacing w:after="120"/>
        <w:ind w:left="1980" w:hanging="360"/>
        <w:rPr>
          <w:szCs w:val="24"/>
        </w:rPr>
      </w:pPr>
      <w:r w:rsidRPr="00BB5DE9">
        <w:t>ii.</w:t>
      </w:r>
      <w:r w:rsidRPr="00BB5DE9">
        <w:tab/>
        <w:t>linea di bilancio 02 04 01 10 – Cibersicurezza, di 5 000 000 EUR:</w:t>
      </w:r>
    </w:p>
    <w:p w:rsidR="00AB16C1" w:rsidRPr="00BB5DE9" w:rsidP="00AB16C1" w14:paraId="638792DA" w14:textId="77777777">
      <w:pPr>
        <w:pStyle w:val="Visa"/>
        <w:widowControl/>
        <w:tabs>
          <w:tab w:val="clear" w:pos="357"/>
          <w:tab w:val="left" w:pos="1620"/>
        </w:tabs>
        <w:spacing w:after="120"/>
        <w:ind w:left="1979"/>
        <w:rPr>
          <w:szCs w:val="24"/>
        </w:rPr>
      </w:pPr>
      <w:r w:rsidRPr="00BB5DE9">
        <w:t>iii.</w:t>
      </w:r>
      <w:r w:rsidRPr="00BB5DE9">
        <w:tab/>
        <w:t>linea di bilancio 02 04 01 11 – Centro europeo di competenza in materia di cibersicurezza industriale, tecnologica e di ricerca, di 1 813 000 EUR;</w:t>
      </w:r>
    </w:p>
    <w:p w:rsidR="00AB16C1" w:rsidRPr="00BB5DE9" w:rsidP="00AB16C1" w14:paraId="6319969A" w14:textId="77777777">
      <w:pPr>
        <w:pStyle w:val="Visa"/>
        <w:widowControl/>
        <w:tabs>
          <w:tab w:val="clear" w:pos="357"/>
        </w:tabs>
        <w:spacing w:after="120"/>
        <w:ind w:left="1134" w:hanging="425"/>
        <w:rPr>
          <w:szCs w:val="24"/>
        </w:rPr>
      </w:pPr>
      <w:r w:rsidRPr="00BB5DE9">
        <w:t>d)</w:t>
      </w:r>
      <w:r w:rsidRPr="00BB5DE9">
        <w:tab/>
        <w:t>Programma per il mercato unico, di 31 568 600 EUR;</w:t>
      </w:r>
    </w:p>
    <w:p w:rsidR="00AB16C1" w:rsidRPr="00BB5DE9" w:rsidP="00AB16C1" w14:paraId="67B370E1" w14:textId="77777777">
      <w:pPr>
        <w:pStyle w:val="Visa"/>
        <w:widowControl/>
        <w:tabs>
          <w:tab w:val="clear" w:pos="357"/>
          <w:tab w:val="left" w:pos="1620"/>
        </w:tabs>
        <w:spacing w:after="120"/>
        <w:ind w:left="1980" w:hanging="360"/>
        <w:rPr>
          <w:szCs w:val="24"/>
        </w:rPr>
      </w:pPr>
      <w:r w:rsidRPr="00BB5DE9">
        <w:t>i.</w:t>
      </w:r>
      <w:r w:rsidRPr="00BB5DE9">
        <w:tab/>
        <w:t>linea di bilancio 03 02 01 07 – Vigilanza del mercato, di 1 568 600 EUR;</w:t>
      </w:r>
    </w:p>
    <w:p w:rsidR="00AB16C1" w:rsidRPr="00BB5DE9" w:rsidP="00AB16C1" w14:paraId="69FE46E5" w14:textId="77777777">
      <w:pPr>
        <w:pStyle w:val="Visa"/>
        <w:widowControl/>
        <w:tabs>
          <w:tab w:val="clear" w:pos="357"/>
          <w:tab w:val="left" w:pos="1620"/>
        </w:tabs>
        <w:spacing w:after="120"/>
        <w:ind w:left="1985" w:hanging="425"/>
        <w:rPr>
          <w:szCs w:val="24"/>
        </w:rPr>
      </w:pPr>
      <w:r w:rsidRPr="00BB5DE9">
        <w:t>ii.</w:t>
      </w:r>
      <w:r w:rsidRPr="00BB5DE9">
        <w:tab/>
        <w:t>linea di bilancio 03 02 02 – Migliorare la competitività delle imprese, con particolare attenzione alle PMI, e favorirne l'accesso ai mercati, di 30 000 000 EUR;</w:t>
      </w:r>
    </w:p>
    <w:p w:rsidR="00AB16C1" w:rsidRPr="00BB5DE9" w:rsidP="00AB16C1" w14:paraId="5AF2B341" w14:textId="77777777">
      <w:pPr>
        <w:pStyle w:val="Visa"/>
        <w:widowControl/>
        <w:tabs>
          <w:tab w:val="clear" w:pos="357"/>
        </w:tabs>
        <w:spacing w:after="120"/>
        <w:ind w:left="1134" w:hanging="425"/>
        <w:rPr>
          <w:szCs w:val="24"/>
        </w:rPr>
      </w:pPr>
      <w:r w:rsidRPr="00BB5DE9">
        <w:t>e)</w:t>
      </w:r>
      <w:r w:rsidRPr="00BB5DE9">
        <w:tab/>
        <w:t>Programma spaziale, di 3 000 000 EUR;</w:t>
      </w:r>
    </w:p>
    <w:p w:rsidR="00AB16C1" w:rsidRPr="00BB5DE9" w:rsidP="00AB16C1" w14:paraId="2BD3AC51" w14:textId="77777777">
      <w:pPr>
        <w:pStyle w:val="Visa"/>
        <w:widowControl/>
        <w:tabs>
          <w:tab w:val="clear" w:pos="357"/>
          <w:tab w:val="left" w:pos="1620"/>
        </w:tabs>
        <w:spacing w:after="120"/>
        <w:ind w:left="1980" w:hanging="360"/>
        <w:rPr>
          <w:szCs w:val="24"/>
        </w:rPr>
      </w:pPr>
      <w:r w:rsidRPr="00BB5DE9">
        <w:t>i.</w:t>
      </w:r>
      <w:r w:rsidRPr="00BB5DE9">
        <w:tab/>
        <w:t>linea di bilancio 04 02 02 – Copernicus, di 3 000 000 EUR;</w:t>
      </w:r>
    </w:p>
    <w:p w:rsidR="00AB16C1" w:rsidRPr="00BB5DE9" w:rsidP="00AB16C1" w14:paraId="728661E2" w14:textId="77777777">
      <w:pPr>
        <w:pStyle w:val="Visa"/>
        <w:widowControl/>
        <w:tabs>
          <w:tab w:val="clear" w:pos="357"/>
        </w:tabs>
        <w:spacing w:after="120"/>
        <w:ind w:left="1134" w:hanging="425"/>
        <w:rPr>
          <w:szCs w:val="24"/>
        </w:rPr>
      </w:pPr>
      <w:r w:rsidRPr="00BB5DE9">
        <w:t>f)</w:t>
      </w:r>
      <w:r w:rsidRPr="00BB5DE9">
        <w:tab/>
        <w:t>Agenzie della rubrica 1, di 3 816 000 EUR;</w:t>
      </w:r>
    </w:p>
    <w:p w:rsidR="00AB16C1" w:rsidRPr="00BB5DE9" w:rsidP="00AB16C1" w14:paraId="28661FBA" w14:textId="77777777">
      <w:pPr>
        <w:pStyle w:val="Visa"/>
        <w:widowControl/>
        <w:tabs>
          <w:tab w:val="clear" w:pos="357"/>
          <w:tab w:val="left" w:pos="1620"/>
        </w:tabs>
        <w:spacing w:after="120"/>
        <w:ind w:left="1980" w:hanging="360"/>
        <w:rPr>
          <w:szCs w:val="24"/>
        </w:rPr>
      </w:pPr>
      <w:r w:rsidRPr="00BB5DE9">
        <w:t>i.</w:t>
      </w:r>
      <w:r w:rsidRPr="00BB5DE9">
        <w:tab/>
        <w:t>linea di bilancio 02 10 01 – Agenzia dell'Unione europea per la sicurezza aerea (EASA), di 3 000 000 EUR;</w:t>
      </w:r>
    </w:p>
    <w:p w:rsidR="00AB16C1" w:rsidRPr="00BB5DE9" w:rsidP="00AB16C1" w14:paraId="70DBE986" w14:textId="77777777">
      <w:pPr>
        <w:pStyle w:val="Visa"/>
        <w:widowControl/>
        <w:tabs>
          <w:tab w:val="clear" w:pos="357"/>
          <w:tab w:val="left" w:pos="1620"/>
        </w:tabs>
        <w:spacing w:after="120"/>
        <w:ind w:left="1980" w:hanging="360"/>
        <w:rPr>
          <w:szCs w:val="24"/>
        </w:rPr>
      </w:pPr>
      <w:r w:rsidRPr="00BB5DE9">
        <w:t>ii.</w:t>
      </w:r>
      <w:r w:rsidRPr="00BB5DE9">
        <w:tab/>
        <w:t>linea di bilancio 02 10 05 – Agenzia di sostegno al BEREC (Ufficio BEREC), di 466 000 EUR;</w:t>
      </w:r>
    </w:p>
    <w:p w:rsidR="00AB16C1" w:rsidRPr="00BB5DE9" w:rsidP="00AB16C1" w14:paraId="3F9ABA68" w14:textId="77777777">
      <w:pPr>
        <w:pStyle w:val="Visa"/>
        <w:widowControl/>
        <w:tabs>
          <w:tab w:val="clear" w:pos="357"/>
          <w:tab w:val="left" w:pos="1620"/>
        </w:tabs>
        <w:ind w:left="1979" w:right="-428"/>
        <w:rPr>
          <w:szCs w:val="24"/>
        </w:rPr>
      </w:pPr>
      <w:r w:rsidRPr="00BB5DE9">
        <w:t>iii.</w:t>
      </w:r>
      <w:r w:rsidRPr="00BB5DE9">
        <w:tab/>
        <w:t>linea di bilancio 02 10 06 – Agenzia dell'Unione europea per la cooperazione fra i regolatori nazionali dell'energia (ACER), di 350 000 EUR;</w:t>
      </w:r>
    </w:p>
    <w:p w:rsidR="00AB16C1" w:rsidRPr="00BB5DE9" w:rsidP="00AB16C1" w14:paraId="2DEE0405" w14:textId="77777777">
      <w:pPr>
        <w:pStyle w:val="Visa"/>
        <w:widowControl/>
        <w:tabs>
          <w:tab w:val="clear" w:pos="357"/>
          <w:tab w:val="left" w:pos="567"/>
        </w:tabs>
        <w:ind w:left="567" w:hanging="567"/>
        <w:rPr>
          <w:szCs w:val="24"/>
        </w:rPr>
      </w:pPr>
      <w:r w:rsidRPr="00BB5DE9">
        <w:t>12.</w:t>
      </w:r>
      <w:r w:rsidRPr="00BB5DE9">
        <w:tab/>
        <w:t>Modifica, se del caso, i commenti di bilancio;</w:t>
      </w:r>
    </w:p>
    <w:p w:rsidR="00AB16C1" w:rsidRPr="00BB5DE9" w:rsidP="00AB16C1" w14:paraId="1F1CFE4C" w14:textId="77777777">
      <w:pPr>
        <w:widowControl/>
        <w:spacing w:after="240"/>
        <w:ind w:left="567" w:hanging="567"/>
        <w:rPr>
          <w:szCs w:val="24"/>
        </w:rPr>
      </w:pPr>
      <w:r w:rsidRPr="00BB5DE9">
        <w:rPr>
          <w:b/>
          <w:i/>
        </w:rPr>
        <w:t>Sottorubrica 2a – Coesione economica, sociale e territoriale</w:t>
      </w:r>
    </w:p>
    <w:p w:rsidR="00AB16C1" w:rsidRPr="00BB5DE9" w:rsidP="00AB16C1" w14:paraId="36547237" w14:textId="77777777">
      <w:pPr>
        <w:widowControl/>
        <w:spacing w:after="240"/>
        <w:ind w:left="567" w:hanging="567"/>
        <w:rPr>
          <w:szCs w:val="24"/>
        </w:rPr>
      </w:pPr>
      <w:r w:rsidRPr="00BB5DE9">
        <w:t>13.</w:t>
      </w:r>
      <w:r w:rsidRPr="00BB5DE9">
        <w:tab/>
        <w:t>aggiunge un importo di 150 000 EUR in stanziamenti d'impegno rispetto al PB (esclusi i progetti pilota e le azioni preparatorie) e di 150 000 EUR rispetto alla posizione del Consiglio al fine di incrementare la dotazione dei seguenti programmi rispetto al PB:</w:t>
      </w:r>
    </w:p>
    <w:p w:rsidR="00AB16C1" w:rsidRPr="00BB5DE9" w:rsidP="00AB16C1" w14:paraId="60AE8231" w14:textId="77777777">
      <w:pPr>
        <w:pStyle w:val="Visa"/>
        <w:widowControl/>
        <w:tabs>
          <w:tab w:val="clear" w:pos="357"/>
        </w:tabs>
        <w:spacing w:after="120"/>
        <w:ind w:left="1134" w:hanging="425"/>
        <w:rPr>
          <w:szCs w:val="24"/>
        </w:rPr>
      </w:pPr>
      <w:r w:rsidRPr="00BB5DE9">
        <w:t>a)</w:t>
      </w:r>
      <w:r w:rsidRPr="00BB5DE9">
        <w:tab/>
        <w:t>Fondo sociale europeo Plus, di 150 000 EUR;</w:t>
      </w:r>
    </w:p>
    <w:p w:rsidR="00AB16C1" w:rsidRPr="00BB5DE9" w:rsidP="00AB16C1" w14:paraId="21C58651" w14:textId="77777777">
      <w:pPr>
        <w:pStyle w:val="Visa"/>
        <w:widowControl/>
        <w:tabs>
          <w:tab w:val="clear" w:pos="357"/>
          <w:tab w:val="left" w:pos="1620"/>
        </w:tabs>
        <w:ind w:left="1979"/>
        <w:rPr>
          <w:szCs w:val="24"/>
        </w:rPr>
      </w:pPr>
      <w:r w:rsidRPr="00BB5DE9">
        <w:t>i.</w:t>
      </w:r>
      <w:r w:rsidRPr="00BB5DE9">
        <w:tab/>
        <w:t>linea di bilancio 07 01 01 01 – Spese di sostegno per l'FSE+ – Gestione concorrente, di 150 000 EUR;</w:t>
      </w:r>
    </w:p>
    <w:p w:rsidR="00AB16C1" w:rsidRPr="00BB5DE9" w:rsidP="00AB16C1" w14:paraId="31BE9636" w14:textId="77777777">
      <w:pPr>
        <w:pStyle w:val="Visa"/>
        <w:widowControl/>
        <w:tabs>
          <w:tab w:val="clear" w:pos="357"/>
          <w:tab w:val="left" w:pos="567"/>
        </w:tabs>
        <w:ind w:left="567" w:hanging="567"/>
        <w:rPr>
          <w:szCs w:val="24"/>
        </w:rPr>
      </w:pPr>
      <w:r w:rsidRPr="00BB5DE9">
        <w:t>14.</w:t>
      </w:r>
      <w:r w:rsidRPr="00BB5DE9">
        <w:tab/>
        <w:t>Modifica, se del caso, i commenti di bilancio;</w:t>
      </w:r>
    </w:p>
    <w:p w:rsidR="00AB16C1" w:rsidRPr="00BB5DE9" w:rsidP="00AB16C1" w14:paraId="779565B6" w14:textId="77777777">
      <w:pPr>
        <w:widowControl/>
        <w:spacing w:after="240"/>
        <w:ind w:left="567" w:hanging="567"/>
        <w:rPr>
          <w:b/>
          <w:bCs/>
          <w:i/>
          <w:iCs/>
          <w:szCs w:val="24"/>
        </w:rPr>
      </w:pPr>
      <w:r w:rsidRPr="00BB5DE9">
        <w:rPr>
          <w:b/>
          <w:i/>
        </w:rPr>
        <w:t>Sottorubrica 2b – Resilienza e valori</w:t>
      </w:r>
    </w:p>
    <w:p w:rsidR="00AB16C1" w:rsidRPr="00BB5DE9" w:rsidP="00AB16C1" w14:paraId="396BFDFD" w14:textId="77777777">
      <w:pPr>
        <w:widowControl/>
        <w:spacing w:after="240"/>
        <w:ind w:left="567" w:right="-286" w:hanging="567"/>
        <w:rPr>
          <w:b/>
          <w:bCs/>
          <w:i/>
          <w:iCs/>
          <w:szCs w:val="24"/>
        </w:rPr>
      </w:pPr>
      <w:r w:rsidRPr="00BB5DE9">
        <w:t>15.</w:t>
      </w:r>
      <w:r w:rsidRPr="00BB5DE9">
        <w:tab/>
        <w:t>ripristina gli stanziamenti tagliati dal Consiglio per un importo di 523 143 000 EUR e aggiunge un importo di 275 100 000 EUR in stanziamenti d'impegno rispetto al PB (esclusi i progetti pilota e le azioni preparatorie) e di 798 243 000 EUR rispetto alla posizione del Consiglio al fine di incrementare la dotazione dei seguenti programmi rispetto al PB:</w:t>
      </w:r>
    </w:p>
    <w:p w:rsidR="00AB16C1" w:rsidRPr="00BB5DE9" w:rsidP="00AB16C1" w14:paraId="7EFBAAF3" w14:textId="77777777">
      <w:pPr>
        <w:pStyle w:val="Visa"/>
        <w:widowControl/>
        <w:tabs>
          <w:tab w:val="clear" w:pos="357"/>
          <w:tab w:val="left" w:pos="633"/>
        </w:tabs>
        <w:spacing w:after="120"/>
        <w:ind w:left="1134" w:hanging="425"/>
        <w:rPr>
          <w:szCs w:val="24"/>
        </w:rPr>
      </w:pPr>
      <w:r w:rsidRPr="00BB5DE9">
        <w:t>a)</w:t>
      </w:r>
      <w:r w:rsidRPr="00BB5DE9">
        <w:tab/>
        <w:t>Sostegno alla comunità turco-cipriota, di 3 500 000 EUR;</w:t>
      </w:r>
    </w:p>
    <w:p w:rsidR="00AB16C1" w:rsidRPr="00BB5DE9" w:rsidP="00AB16C1" w14:paraId="17DA1687" w14:textId="77777777">
      <w:pPr>
        <w:pStyle w:val="Visa"/>
        <w:widowControl/>
        <w:tabs>
          <w:tab w:val="clear" w:pos="357"/>
          <w:tab w:val="left" w:pos="1620"/>
        </w:tabs>
        <w:spacing w:after="120"/>
        <w:ind w:left="1980" w:hanging="360"/>
        <w:rPr>
          <w:szCs w:val="24"/>
        </w:rPr>
      </w:pPr>
      <w:r w:rsidRPr="00BB5DE9">
        <w:t>i.</w:t>
      </w:r>
      <w:r w:rsidRPr="00BB5DE9">
        <w:tab/>
        <w:t>linea di bilancio 05 04 01 – Sostegno finanziario per promuovere lo sviluppo economico della comunità turco-cipriota, di 3 500 000 EUR;</w:t>
      </w:r>
    </w:p>
    <w:p w:rsidR="00AB16C1" w:rsidRPr="00BB5DE9" w:rsidP="00AB16C1" w14:paraId="249F0266" w14:textId="77777777">
      <w:pPr>
        <w:pStyle w:val="Visa"/>
        <w:widowControl/>
        <w:tabs>
          <w:tab w:val="clear" w:pos="357"/>
          <w:tab w:val="left" w:pos="633"/>
        </w:tabs>
        <w:spacing w:after="120"/>
        <w:ind w:left="1134" w:hanging="425"/>
        <w:rPr>
          <w:szCs w:val="24"/>
        </w:rPr>
      </w:pPr>
      <w:r w:rsidRPr="00BB5DE9">
        <w:t>b)</w:t>
      </w:r>
      <w:r w:rsidRPr="00BB5DE9">
        <w:tab/>
        <w:t>Meccanismo unionale di protezione civile, di 80 000 000 EUR;</w:t>
      </w:r>
    </w:p>
    <w:p w:rsidR="00AB16C1" w:rsidRPr="00BB5DE9" w:rsidP="00AB16C1" w14:paraId="032BD63B" w14:textId="77777777">
      <w:pPr>
        <w:pStyle w:val="Visa"/>
        <w:widowControl/>
        <w:tabs>
          <w:tab w:val="clear" w:pos="357"/>
          <w:tab w:val="left" w:pos="1620"/>
        </w:tabs>
        <w:spacing w:after="120"/>
        <w:ind w:left="1980" w:hanging="360"/>
        <w:rPr>
          <w:szCs w:val="24"/>
        </w:rPr>
      </w:pPr>
      <w:r w:rsidRPr="00BB5DE9">
        <w:t>i.</w:t>
      </w:r>
      <w:r w:rsidRPr="00BB5DE9">
        <w:tab/>
        <w:t>linea di bilancio 06 05 01 – Meccanismo unionale di protezione civile, di 80 000 000 EUR;</w:t>
      </w:r>
    </w:p>
    <w:p w:rsidR="00AB16C1" w:rsidRPr="00BB5DE9" w:rsidP="00AB16C1" w14:paraId="43C63A60" w14:textId="77777777">
      <w:pPr>
        <w:pStyle w:val="Visa"/>
        <w:widowControl/>
        <w:tabs>
          <w:tab w:val="clear" w:pos="357"/>
          <w:tab w:val="left" w:pos="633"/>
        </w:tabs>
        <w:spacing w:after="120"/>
        <w:ind w:left="1134" w:hanging="425"/>
        <w:rPr>
          <w:szCs w:val="24"/>
        </w:rPr>
      </w:pPr>
      <w:r w:rsidRPr="00BB5DE9">
        <w:t>c)</w:t>
      </w:r>
      <w:r w:rsidRPr="00BB5DE9">
        <w:tab/>
        <w:t>Programma UE per la salute, di 50 000 000 EUR;</w:t>
      </w:r>
    </w:p>
    <w:p w:rsidR="00AB16C1" w:rsidRPr="00BB5DE9" w:rsidP="00AB16C1" w14:paraId="26BA3D69" w14:textId="77777777">
      <w:pPr>
        <w:pStyle w:val="Visa"/>
        <w:widowControl/>
        <w:tabs>
          <w:tab w:val="clear" w:pos="357"/>
          <w:tab w:val="left" w:pos="1620"/>
        </w:tabs>
        <w:spacing w:after="120"/>
        <w:ind w:left="1980" w:right="-428" w:hanging="360"/>
        <w:rPr>
          <w:szCs w:val="24"/>
        </w:rPr>
      </w:pPr>
      <w:r w:rsidRPr="00BB5DE9">
        <w:t>i.</w:t>
      </w:r>
      <w:r w:rsidRPr="00BB5DE9">
        <w:tab/>
        <w:t>linea di bilancio 06 06 01 – Programma UE per la salute, di 50 000 000 EUR;</w:t>
      </w:r>
    </w:p>
    <w:p w:rsidR="00AB16C1" w:rsidRPr="00BB5DE9" w:rsidP="00AB16C1" w14:paraId="51D2A907" w14:textId="77777777">
      <w:pPr>
        <w:pStyle w:val="Visa"/>
        <w:widowControl/>
        <w:tabs>
          <w:tab w:val="clear" w:pos="357"/>
          <w:tab w:val="left" w:pos="633"/>
        </w:tabs>
        <w:spacing w:after="120"/>
        <w:ind w:left="1134" w:hanging="425"/>
        <w:rPr>
          <w:szCs w:val="24"/>
        </w:rPr>
      </w:pPr>
      <w:r w:rsidRPr="00BB5DE9">
        <w:t>d)</w:t>
      </w:r>
      <w:r w:rsidRPr="00BB5DE9">
        <w:tab/>
        <w:t>Fondo sociale europeo Plus, di 5 000 000 EUR;</w:t>
      </w:r>
    </w:p>
    <w:p w:rsidR="00AB16C1" w:rsidRPr="00BB5DE9" w:rsidP="00AB16C1" w14:paraId="19AB611D" w14:textId="77777777">
      <w:pPr>
        <w:pStyle w:val="Visa"/>
        <w:widowControl/>
        <w:tabs>
          <w:tab w:val="clear" w:pos="357"/>
          <w:tab w:val="left" w:pos="1620"/>
        </w:tabs>
        <w:spacing w:after="120"/>
        <w:ind w:left="1980" w:hanging="360"/>
        <w:rPr>
          <w:szCs w:val="24"/>
        </w:rPr>
      </w:pPr>
      <w:r w:rsidRPr="00BB5DE9">
        <w:t>i.</w:t>
      </w:r>
      <w:r w:rsidRPr="00BB5DE9">
        <w:tab/>
        <w:t>linea di bilancio 07 02 04 – FSE+ – Componente Occupazione e innovazione sociale (EaSI), di 5 000 000 EUR;</w:t>
      </w:r>
    </w:p>
    <w:p w:rsidR="00AB16C1" w:rsidRPr="00BB5DE9" w:rsidP="00AB16C1" w14:paraId="5EB95AC4" w14:textId="77777777">
      <w:pPr>
        <w:pStyle w:val="Visa"/>
        <w:widowControl/>
        <w:tabs>
          <w:tab w:val="clear" w:pos="357"/>
        </w:tabs>
        <w:spacing w:after="120"/>
        <w:ind w:left="1134" w:hanging="425"/>
        <w:rPr>
          <w:szCs w:val="24"/>
        </w:rPr>
      </w:pPr>
      <w:r w:rsidRPr="00BB5DE9">
        <w:t>e)</w:t>
      </w:r>
      <w:r w:rsidRPr="00BB5DE9">
        <w:tab/>
        <w:t>Erasmus, di 96 000 000 EUR;</w:t>
      </w:r>
    </w:p>
    <w:p w:rsidR="00AB16C1" w:rsidRPr="00BB5DE9" w:rsidP="00AB16C1" w14:paraId="07DC0B1D" w14:textId="77777777">
      <w:pPr>
        <w:pStyle w:val="Visa"/>
        <w:widowControl/>
        <w:tabs>
          <w:tab w:val="clear" w:pos="357"/>
          <w:tab w:val="left" w:pos="1620"/>
        </w:tabs>
        <w:spacing w:after="120"/>
        <w:ind w:left="1980" w:hanging="360"/>
        <w:rPr>
          <w:szCs w:val="24"/>
        </w:rPr>
      </w:pPr>
      <w:r w:rsidRPr="00BB5DE9">
        <w:t>i.</w:t>
      </w:r>
      <w:r w:rsidRPr="00BB5DE9">
        <w:tab/>
        <w:t>linea di bilancio 07 03 01 01 – Promuovere la mobilità delle persone e dei gruppi ai fini dell'apprendimento come pure la cooperazione, la qualità, l'inclusione e l'equità, l'eccellenza, la creatività e l'innovazione a livello delle organizzazioni e delle politiche nel settore dell'istruzione e della formazione – Gestione indiretta, 88 000 000 EUR;</w:t>
      </w:r>
    </w:p>
    <w:p w:rsidR="00AB16C1" w:rsidRPr="00BB5DE9" w:rsidP="00AB16C1" w14:paraId="1FA31F52" w14:textId="77777777">
      <w:pPr>
        <w:pStyle w:val="Visa"/>
        <w:widowControl/>
        <w:tabs>
          <w:tab w:val="clear" w:pos="357"/>
          <w:tab w:val="left" w:pos="1620"/>
        </w:tabs>
        <w:spacing w:after="120"/>
        <w:ind w:left="1980" w:right="-428" w:hanging="360"/>
        <w:rPr>
          <w:szCs w:val="24"/>
        </w:rPr>
      </w:pPr>
      <w:r w:rsidRPr="00BB5DE9">
        <w:t>ii.</w:t>
      </w:r>
      <w:r w:rsidRPr="00BB5DE9">
        <w:tab/>
        <w:t>linea di bilancio 07 03 02 – Promuovere la mobilità ai fini dell'apprendimento non formale e informale e la partecipazione attiva fra i giovani, e la cooperazione, l'inclusione, la creatività e l'innovazione a livello delle organizzazioni e delle politiche nel settore della gioventù, 5 000 000 EUR;</w:t>
      </w:r>
    </w:p>
    <w:p w:rsidR="00AB16C1" w:rsidRPr="00BB5DE9" w:rsidP="00AB16C1" w14:paraId="4FF540B7" w14:textId="77777777">
      <w:pPr>
        <w:pStyle w:val="Visa"/>
        <w:widowControl/>
        <w:tabs>
          <w:tab w:val="clear" w:pos="357"/>
          <w:tab w:val="left" w:pos="1620"/>
        </w:tabs>
        <w:spacing w:after="120"/>
        <w:ind w:left="1980" w:hanging="360"/>
        <w:rPr>
          <w:szCs w:val="24"/>
        </w:rPr>
      </w:pPr>
      <w:r w:rsidRPr="00BB5DE9">
        <w:t>iii.</w:t>
      </w:r>
      <w:r w:rsidRPr="00BB5DE9">
        <w:tab/>
        <w:t xml:space="preserve">linea di bilancio 07 03 03 – Promuovere la mobilità ai fini dell'apprendimento del personale sportivo e la cooperazione, l'inclusione, </w:t>
      </w:r>
      <w:r w:rsidRPr="00BB5DE9">
        <w:t>la creatività e l'innovazione a livello delle organizzazioni e delle politiche sportive, 3 000 000 EUR;</w:t>
      </w:r>
    </w:p>
    <w:p w:rsidR="00AB16C1" w:rsidRPr="00BB5DE9" w:rsidP="00AB16C1" w14:paraId="0EC0819A" w14:textId="77777777">
      <w:pPr>
        <w:pStyle w:val="Visa"/>
        <w:widowControl/>
        <w:tabs>
          <w:tab w:val="clear" w:pos="357"/>
        </w:tabs>
        <w:spacing w:after="120"/>
        <w:ind w:left="1134" w:hanging="425"/>
        <w:rPr>
          <w:szCs w:val="24"/>
        </w:rPr>
      </w:pPr>
      <w:r w:rsidRPr="00BB5DE9">
        <w:t>f)</w:t>
      </w:r>
      <w:r w:rsidRPr="00BB5DE9">
        <w:tab/>
        <w:t>Europa creativa, di 5 000 000 EUR;</w:t>
      </w:r>
    </w:p>
    <w:p w:rsidR="00AB16C1" w:rsidRPr="00BB5DE9" w:rsidP="00AB16C1" w14:paraId="0A38B19D" w14:textId="77777777">
      <w:pPr>
        <w:pStyle w:val="Visa"/>
        <w:widowControl/>
        <w:tabs>
          <w:tab w:val="clear" w:pos="357"/>
          <w:tab w:val="left" w:pos="1620"/>
        </w:tabs>
        <w:spacing w:after="120"/>
        <w:ind w:left="1980" w:hanging="360"/>
        <w:rPr>
          <w:szCs w:val="24"/>
        </w:rPr>
      </w:pPr>
      <w:r w:rsidRPr="00BB5DE9">
        <w:t>i.</w:t>
      </w:r>
      <w:r w:rsidRPr="00BB5DE9">
        <w:tab/>
        <w:t>linea di bilancio 07 05 02 – Sezione Media, di 5 000 000 EUR;</w:t>
      </w:r>
    </w:p>
    <w:p w:rsidR="00AB16C1" w:rsidRPr="00BB5DE9" w:rsidP="00AB16C1" w14:paraId="3C027E25" w14:textId="77777777">
      <w:pPr>
        <w:pStyle w:val="Visa"/>
        <w:widowControl/>
        <w:tabs>
          <w:tab w:val="clear" w:pos="357"/>
        </w:tabs>
        <w:spacing w:after="120"/>
        <w:ind w:left="1134" w:hanging="425"/>
        <w:rPr>
          <w:szCs w:val="24"/>
        </w:rPr>
      </w:pPr>
      <w:r w:rsidRPr="00BB5DE9">
        <w:t>g)</w:t>
      </w:r>
      <w:r w:rsidRPr="00BB5DE9">
        <w:tab/>
        <w:t>Programma Cittadini, uguaglianza, diritti e valori, di 15 000 000 EUR;</w:t>
      </w:r>
    </w:p>
    <w:p w:rsidR="00AB16C1" w:rsidRPr="00BB5DE9" w:rsidP="00AB16C1" w14:paraId="46AE2E6D" w14:textId="77777777">
      <w:pPr>
        <w:pStyle w:val="Visa"/>
        <w:widowControl/>
        <w:spacing w:after="120"/>
        <w:ind w:left="1980" w:hanging="360"/>
        <w:rPr>
          <w:szCs w:val="24"/>
        </w:rPr>
      </w:pPr>
      <w:r w:rsidRPr="00BB5DE9">
        <w:t>i.</w:t>
      </w:r>
      <w:r w:rsidRPr="00BB5DE9">
        <w:tab/>
        <w:t>linea di bilancio 07 06 02 – Il coinvolgimento e la partecipazione dei cittadini nella vita democratica dell'Unione, di 10 000 000 EUR;</w:t>
      </w:r>
    </w:p>
    <w:p w:rsidR="00AB16C1" w:rsidRPr="00BB5DE9" w:rsidP="00AB16C1" w14:paraId="2337F566" w14:textId="77777777">
      <w:pPr>
        <w:pStyle w:val="Visa"/>
        <w:widowControl/>
        <w:tabs>
          <w:tab w:val="clear" w:pos="357"/>
          <w:tab w:val="left" w:pos="1620"/>
        </w:tabs>
        <w:spacing w:after="120"/>
        <w:ind w:left="1980" w:hanging="360"/>
        <w:rPr>
          <w:szCs w:val="24"/>
        </w:rPr>
      </w:pPr>
      <w:r w:rsidRPr="00BB5DE9">
        <w:t>ii.</w:t>
      </w:r>
      <w:r w:rsidRPr="00BB5DE9">
        <w:tab/>
        <w:t>linea di bilancio 07 06 03 – Daphne, di 5 000 000 EUR:</w:t>
      </w:r>
    </w:p>
    <w:p w:rsidR="00AB16C1" w:rsidRPr="00BB5DE9" w:rsidP="00AB16C1" w14:paraId="34CE0FD0" w14:textId="77777777">
      <w:pPr>
        <w:pStyle w:val="Visa"/>
        <w:widowControl/>
        <w:tabs>
          <w:tab w:val="clear" w:pos="357"/>
        </w:tabs>
        <w:spacing w:after="120"/>
        <w:ind w:left="1134" w:hanging="425"/>
        <w:rPr>
          <w:szCs w:val="24"/>
        </w:rPr>
      </w:pPr>
      <w:r w:rsidRPr="00BB5DE9">
        <w:t>h)</w:t>
      </w:r>
      <w:r w:rsidRPr="00BB5DE9">
        <w:tab/>
        <w:t>Azioni finanziate a titolo delle prerogative della Commissione e competenze specifiche conferite alla Commissione, di 2 000 000 EUR;</w:t>
      </w:r>
    </w:p>
    <w:p w:rsidR="00AB16C1" w:rsidRPr="00BB5DE9" w:rsidP="00AB16C1" w14:paraId="60417C85" w14:textId="77777777">
      <w:pPr>
        <w:pStyle w:val="Visa"/>
        <w:widowControl/>
        <w:tabs>
          <w:tab w:val="clear" w:pos="357"/>
          <w:tab w:val="left" w:pos="1620"/>
        </w:tabs>
        <w:spacing w:after="120"/>
        <w:ind w:left="1980" w:hanging="360"/>
        <w:rPr>
          <w:szCs w:val="24"/>
        </w:rPr>
      </w:pPr>
      <w:r w:rsidRPr="00BB5DE9">
        <w:t>i.</w:t>
      </w:r>
      <w:r w:rsidRPr="00BB5DE9">
        <w:tab/>
        <w:t>linea di bilancio 07 20 04 09 – Azioni di informazione e formazione a favore delle organizzazioni dei lavoratori, di 2 000 000 EUR;</w:t>
      </w:r>
    </w:p>
    <w:p w:rsidR="00AB16C1" w:rsidRPr="00BB5DE9" w:rsidP="00AB16C1" w14:paraId="4B52F1FA" w14:textId="77777777">
      <w:pPr>
        <w:pStyle w:val="Visa"/>
        <w:widowControl/>
        <w:tabs>
          <w:tab w:val="clear" w:pos="357"/>
        </w:tabs>
        <w:spacing w:after="120"/>
        <w:ind w:left="1134" w:hanging="425"/>
        <w:rPr>
          <w:szCs w:val="24"/>
        </w:rPr>
      </w:pPr>
      <w:r w:rsidRPr="00BB5DE9">
        <w:t>i)</w:t>
      </w:r>
      <w:r w:rsidRPr="00BB5DE9">
        <w:tab/>
        <w:t>Agenzie della rubrica 2b, di 19 600 000 EUR;</w:t>
      </w:r>
    </w:p>
    <w:p w:rsidR="00AB16C1" w:rsidRPr="00BB5DE9" w:rsidP="00AB16C1" w14:paraId="4819E0BB" w14:textId="77777777">
      <w:pPr>
        <w:pStyle w:val="Visa"/>
        <w:widowControl/>
        <w:tabs>
          <w:tab w:val="clear" w:pos="357"/>
          <w:tab w:val="left" w:pos="1620"/>
        </w:tabs>
        <w:spacing w:after="120"/>
        <w:ind w:left="1980" w:hanging="360"/>
        <w:rPr>
          <w:szCs w:val="24"/>
        </w:rPr>
      </w:pPr>
      <w:r w:rsidRPr="00BB5DE9">
        <w:t>i.</w:t>
      </w:r>
      <w:r w:rsidRPr="00BB5DE9">
        <w:tab/>
        <w:t>linea di bilancio 07 10 05 – Istituto europeo per l'uguaglianza di genere (EIGE), di 1 600 000 EUR;</w:t>
      </w:r>
    </w:p>
    <w:p w:rsidR="00AB16C1" w:rsidRPr="00BB5DE9" w:rsidP="00AB16C1" w14:paraId="23CF48C4" w14:textId="77777777">
      <w:pPr>
        <w:pStyle w:val="Visa"/>
        <w:widowControl/>
        <w:spacing w:after="120"/>
        <w:ind w:left="1980" w:hanging="360"/>
        <w:rPr>
          <w:szCs w:val="24"/>
        </w:rPr>
      </w:pPr>
      <w:r w:rsidRPr="00BB5DE9">
        <w:t>ii.</w:t>
      </w:r>
      <w:r w:rsidRPr="00BB5DE9">
        <w:tab/>
        <w:t>linea di bilancio 07 10 07 – Agenzia dell'Unione europea per la cooperazione giudiziaria penale (Eurojust), di 8 000 000 EUR;</w:t>
      </w:r>
    </w:p>
    <w:p w:rsidR="00AB16C1" w:rsidRPr="00BB5DE9" w:rsidP="00AB16C1" w14:paraId="62275115" w14:textId="77777777">
      <w:pPr>
        <w:pStyle w:val="Visa"/>
        <w:widowControl/>
        <w:ind w:left="1979" w:right="-144"/>
        <w:rPr>
          <w:szCs w:val="24"/>
        </w:rPr>
      </w:pPr>
      <w:r w:rsidRPr="00BB5DE9">
        <w:t>iii.</w:t>
      </w:r>
      <w:r w:rsidRPr="00BB5DE9">
        <w:tab/>
        <w:t>linea di bilancio 07 10 08 – Procura europea (EPPO), di 10 000 000 EUR;</w:t>
      </w:r>
    </w:p>
    <w:p w:rsidR="00AB16C1" w:rsidRPr="00BB5DE9" w:rsidP="00AB16C1" w14:paraId="195E7038" w14:textId="77777777">
      <w:pPr>
        <w:pStyle w:val="Visa"/>
        <w:widowControl/>
        <w:tabs>
          <w:tab w:val="clear" w:pos="357"/>
          <w:tab w:val="left" w:pos="567"/>
        </w:tabs>
        <w:ind w:left="567" w:hanging="567"/>
        <w:rPr>
          <w:szCs w:val="24"/>
        </w:rPr>
      </w:pPr>
      <w:r w:rsidRPr="00BB5DE9">
        <w:t>16.</w:t>
      </w:r>
      <w:r w:rsidRPr="00BB5DE9">
        <w:tab/>
        <w:t>riduce gli stanziamenti proposti per le seguenti linee di bilancio per un totale di 351 000 000 EUR, in conformità dei paragrafi 6 e 10:</w:t>
      </w:r>
    </w:p>
    <w:p w:rsidR="00AB16C1" w:rsidRPr="00BB5DE9" w:rsidP="00AB16C1" w14:paraId="5703C2CC" w14:textId="77777777">
      <w:pPr>
        <w:pStyle w:val="Visa"/>
        <w:widowControl/>
        <w:tabs>
          <w:tab w:val="clear" w:pos="357"/>
        </w:tabs>
        <w:spacing w:after="120"/>
        <w:ind w:left="1134" w:hanging="425"/>
        <w:rPr>
          <w:szCs w:val="24"/>
        </w:rPr>
      </w:pPr>
      <w:r w:rsidRPr="00BB5DE9">
        <w:t>a)</w:t>
      </w:r>
      <w:r w:rsidRPr="00BB5DE9">
        <w:tab/>
        <w:t>06 01 03 – Spese di supporto per le attività di assunzione di prestiti e di gestione del debito dell'Unione europea, di 1 000 000 EUR;</w:t>
      </w:r>
    </w:p>
    <w:p w:rsidR="00AB16C1" w:rsidRPr="00BB5DE9" w:rsidP="00AB16C1" w14:paraId="4654FDA0" w14:textId="77777777">
      <w:pPr>
        <w:pStyle w:val="Visa"/>
        <w:widowControl/>
        <w:tabs>
          <w:tab w:val="clear" w:pos="357"/>
        </w:tabs>
        <w:ind w:left="1134" w:hanging="425"/>
        <w:rPr>
          <w:szCs w:val="24"/>
        </w:rPr>
      </w:pPr>
      <w:r w:rsidRPr="00BB5DE9">
        <w:t>b)</w:t>
      </w:r>
      <w:r w:rsidRPr="00BB5DE9">
        <w:tab/>
        <w:t>06 04 01 – Strumento dell'Unione europea per la ripresa (EURI) – Pagamento di una cedola periodica e rimborso alla scadenza, di 350 000 000 EUR;</w:t>
      </w:r>
    </w:p>
    <w:p w:rsidR="00AB16C1" w:rsidRPr="00BB5DE9" w:rsidP="00AB16C1" w14:paraId="4592C415" w14:textId="77777777">
      <w:pPr>
        <w:pStyle w:val="Visa"/>
        <w:widowControl/>
        <w:tabs>
          <w:tab w:val="clear" w:pos="357"/>
          <w:tab w:val="left" w:pos="567"/>
        </w:tabs>
        <w:ind w:left="567" w:hanging="567"/>
        <w:rPr>
          <w:szCs w:val="24"/>
        </w:rPr>
      </w:pPr>
      <w:r w:rsidRPr="00BB5DE9">
        <w:t>17.</w:t>
      </w:r>
      <w:r w:rsidRPr="00BB5DE9">
        <w:tab/>
        <w:t>crea le seguenti nuove linee di bilancio:</w:t>
      </w:r>
    </w:p>
    <w:p w:rsidR="00AB16C1" w:rsidRPr="00BB5DE9" w:rsidP="00AB16C1" w14:paraId="2A79351E" w14:textId="77777777">
      <w:pPr>
        <w:pStyle w:val="Visa"/>
        <w:widowControl/>
        <w:tabs>
          <w:tab w:val="clear" w:pos="357"/>
        </w:tabs>
        <w:spacing w:after="120"/>
        <w:ind w:left="1134" w:hanging="425"/>
        <w:rPr>
          <w:szCs w:val="24"/>
        </w:rPr>
      </w:pPr>
      <w:r w:rsidRPr="00BB5DE9">
        <w:t>a)</w:t>
      </w:r>
      <w:r w:rsidRPr="00BB5DE9">
        <w:tab/>
        <w:t>06 04 XX – Strumento dell'Unione europea per la ripresa (EURI) – Costi aggiuntivi di gestione della liquidità con impegni pari a 350 000 000 EUR e relativo commento;</w:t>
      </w:r>
    </w:p>
    <w:p w:rsidR="00AB16C1" w:rsidRPr="00BB5DE9" w:rsidP="00AB16C1" w14:paraId="06F7916D" w14:textId="77777777">
      <w:pPr>
        <w:pStyle w:val="Visa"/>
        <w:widowControl/>
        <w:tabs>
          <w:tab w:val="clear" w:pos="357"/>
          <w:tab w:val="left" w:pos="567"/>
        </w:tabs>
        <w:ind w:left="567" w:hanging="567"/>
        <w:rPr>
          <w:szCs w:val="24"/>
        </w:rPr>
      </w:pPr>
      <w:r w:rsidRPr="00BB5DE9">
        <w:t>18.</w:t>
      </w:r>
      <w:r w:rsidRPr="00BB5DE9">
        <w:tab/>
        <w:t>Modifica come segue la tabella dell'organico:</w:t>
      </w:r>
    </w:p>
    <w:p w:rsidR="00AB16C1" w:rsidRPr="00BB5DE9" w:rsidP="00AB16C1" w14:paraId="6292A7AF" w14:textId="77777777">
      <w:pPr>
        <w:pStyle w:val="Visa"/>
        <w:widowControl/>
        <w:tabs>
          <w:tab w:val="clear" w:pos="357"/>
        </w:tabs>
        <w:ind w:left="1134" w:hanging="425"/>
        <w:rPr>
          <w:szCs w:val="24"/>
        </w:rPr>
      </w:pPr>
      <w:r w:rsidRPr="00BB5DE9">
        <w:t>a)</w:t>
      </w:r>
      <w:r w:rsidRPr="00BB5DE9">
        <w:tab/>
        <w:t>S 03 01 31 –Procura europea (EPPO): +10 posti;</w:t>
      </w:r>
    </w:p>
    <w:p w:rsidR="00AB16C1" w:rsidRPr="00BB5DE9" w:rsidP="00AB16C1" w14:paraId="2F37E168" w14:textId="77777777">
      <w:pPr>
        <w:pStyle w:val="Visa"/>
        <w:widowControl/>
        <w:tabs>
          <w:tab w:val="clear" w:pos="357"/>
          <w:tab w:val="left" w:pos="567"/>
        </w:tabs>
        <w:ind w:left="567" w:hanging="567"/>
        <w:rPr>
          <w:szCs w:val="24"/>
        </w:rPr>
      </w:pPr>
      <w:r w:rsidRPr="00BB5DE9">
        <w:t>19.</w:t>
      </w:r>
      <w:r w:rsidRPr="00BB5DE9">
        <w:tab/>
        <w:t>concede dieci esperti nazionali distaccati (END) supplementari alla Procura europea (EPPO);</w:t>
      </w:r>
    </w:p>
    <w:p w:rsidR="00AB16C1" w:rsidRPr="00BB5DE9" w:rsidP="00AB16C1" w14:paraId="0DCF1DCA" w14:textId="77777777">
      <w:pPr>
        <w:pStyle w:val="Visa"/>
        <w:widowControl/>
        <w:tabs>
          <w:tab w:val="clear" w:pos="357"/>
          <w:tab w:val="left" w:pos="567"/>
        </w:tabs>
        <w:ind w:left="567" w:hanging="567"/>
        <w:rPr>
          <w:szCs w:val="24"/>
        </w:rPr>
      </w:pPr>
      <w:r w:rsidRPr="00BB5DE9">
        <w:t>20.</w:t>
      </w:r>
      <w:r w:rsidRPr="00BB5DE9">
        <w:tab/>
        <w:t>Modifica, se del caso, i commenti di bilancio;</w:t>
      </w:r>
    </w:p>
    <w:p w:rsidR="00AB16C1" w:rsidRPr="00BB5DE9" w:rsidP="00AB16C1" w14:paraId="5DB67B0A" w14:textId="77777777">
      <w:pPr>
        <w:pStyle w:val="Normal12Hanging"/>
        <w:widowControl/>
        <w:spacing w:before="240"/>
        <w:rPr>
          <w:b/>
          <w:i/>
          <w:szCs w:val="24"/>
        </w:rPr>
      </w:pPr>
      <w:r w:rsidRPr="00BB5DE9">
        <w:rPr>
          <w:b/>
          <w:i/>
        </w:rPr>
        <w:t>Rubrica 3 – Risorse naturali e ambiente</w:t>
      </w:r>
    </w:p>
    <w:p w:rsidR="00AB16C1" w:rsidRPr="00BB5DE9" w:rsidP="00AB16C1" w14:paraId="3C9B125D" w14:textId="77777777">
      <w:pPr>
        <w:widowControl/>
        <w:spacing w:after="240"/>
        <w:ind w:left="567" w:right="-286" w:hanging="567"/>
        <w:rPr>
          <w:rFonts w:eastAsiaTheme="minorHAnsi"/>
          <w:szCs w:val="24"/>
        </w:rPr>
      </w:pPr>
      <w:r w:rsidRPr="00BB5DE9">
        <w:t>21.</w:t>
      </w:r>
      <w:r w:rsidRPr="00BB5DE9">
        <w:tab/>
        <w:t>ripristina gli stanziamenti tagliati dal Consiglio per un importo di 12 550 000 EUR e aggiunge un importo di 170 000 000 EUR in stanziamenti d'impegno rispetto al PB (esclusi i progetti pilota e le azioni preparatorie) e di 182 550 000 EUR rispetto alla posizione del Consiglio al fine di incrementare la dotazione dei seguenti programmi rispetto al PB:</w:t>
      </w:r>
    </w:p>
    <w:p w:rsidR="00AB16C1" w:rsidRPr="00BB5DE9" w:rsidP="00AB16C1" w14:paraId="241C4A8F" w14:textId="77777777">
      <w:pPr>
        <w:pStyle w:val="Visa"/>
        <w:widowControl/>
        <w:tabs>
          <w:tab w:val="clear" w:pos="357"/>
        </w:tabs>
        <w:spacing w:after="120"/>
        <w:ind w:left="1134" w:hanging="425"/>
        <w:rPr>
          <w:szCs w:val="24"/>
        </w:rPr>
      </w:pPr>
      <w:r w:rsidRPr="00BB5DE9">
        <w:t>a)</w:t>
      </w:r>
      <w:r w:rsidRPr="00BB5DE9">
        <w:tab/>
        <w:t>Fondo europeo agricolo di garanzia (FEAGA), di 85 000 000 EUR;</w:t>
      </w:r>
    </w:p>
    <w:p w:rsidR="00AB16C1" w:rsidRPr="00BB5DE9" w:rsidP="00AB16C1" w14:paraId="6C652271" w14:textId="77777777">
      <w:pPr>
        <w:pStyle w:val="Visa"/>
        <w:widowControl/>
        <w:spacing w:after="120"/>
        <w:ind w:left="1980" w:hanging="360"/>
        <w:rPr>
          <w:szCs w:val="24"/>
        </w:rPr>
      </w:pPr>
      <w:r w:rsidRPr="00BB5DE9">
        <w:t>i.</w:t>
      </w:r>
      <w:r w:rsidRPr="00BB5DE9">
        <w:tab/>
        <w:t>linea di bilancio 08 02 02 01 – Settore ortofrutticolo, di 12 000 000 EUR;</w:t>
      </w:r>
    </w:p>
    <w:p w:rsidR="00AB16C1" w:rsidRPr="00BB5DE9" w:rsidP="00AB16C1" w14:paraId="7EE748BA" w14:textId="77777777">
      <w:pPr>
        <w:pStyle w:val="Visa"/>
        <w:widowControl/>
        <w:tabs>
          <w:tab w:val="clear" w:pos="357"/>
          <w:tab w:val="left" w:pos="1620"/>
        </w:tabs>
        <w:spacing w:after="120"/>
        <w:ind w:left="1980" w:hanging="360"/>
        <w:rPr>
          <w:szCs w:val="24"/>
        </w:rPr>
      </w:pPr>
      <w:r w:rsidRPr="00BB5DE9">
        <w:t>ii.</w:t>
      </w:r>
      <w:r w:rsidRPr="00BB5DE9">
        <w:tab/>
        <w:t>linea di bilancio 08 02 02 05 – Settore dell'olio di oliva e delle olive da tavola, di 10 000 000 EUR;</w:t>
      </w:r>
    </w:p>
    <w:p w:rsidR="00AB16C1" w:rsidRPr="00BB5DE9" w:rsidP="00AB16C1" w14:paraId="09DDF532" w14:textId="77777777">
      <w:pPr>
        <w:pStyle w:val="Visa"/>
        <w:widowControl/>
        <w:spacing w:after="120"/>
        <w:ind w:left="1980" w:hanging="360"/>
        <w:rPr>
          <w:szCs w:val="24"/>
        </w:rPr>
      </w:pPr>
      <w:r w:rsidRPr="00BB5DE9">
        <w:t>iii.</w:t>
      </w:r>
      <w:r w:rsidRPr="00BB5DE9">
        <w:tab/>
        <w:t>linea di bilancio 08 02 03 01 – POSEI e isole minori del Mar Egeo (esclusi i pagamenti diretti), di 2 000 000 EUR;</w:t>
      </w:r>
    </w:p>
    <w:p w:rsidR="00AB16C1" w:rsidRPr="00BB5DE9" w:rsidP="00AB16C1" w14:paraId="231428C0" w14:textId="77777777">
      <w:pPr>
        <w:pStyle w:val="Visa"/>
        <w:widowControl/>
        <w:spacing w:after="120"/>
        <w:ind w:left="1980" w:right="-286" w:hanging="360"/>
        <w:rPr>
          <w:szCs w:val="24"/>
        </w:rPr>
      </w:pPr>
      <w:r w:rsidRPr="00BB5DE9">
        <w:t>iv.</w:t>
      </w:r>
      <w:r w:rsidRPr="00BB5DE9">
        <w:tab/>
        <w:t>linea di bilancio 08 02 03 02 – Promozione dei prodotti agricoli – Programmi semplici in regime di gestione concorrente, di 14 000 000 EUR;</w:t>
      </w:r>
    </w:p>
    <w:p w:rsidR="00AB16C1" w:rsidRPr="00BB5DE9" w:rsidP="00AB16C1" w14:paraId="576C2052" w14:textId="77777777">
      <w:pPr>
        <w:pStyle w:val="Visa"/>
        <w:widowControl/>
        <w:spacing w:after="120"/>
        <w:ind w:left="1980" w:hanging="360"/>
        <w:rPr>
          <w:szCs w:val="24"/>
        </w:rPr>
      </w:pPr>
      <w:r w:rsidRPr="00BB5DE9">
        <w:t>v.</w:t>
      </w:r>
      <w:r w:rsidRPr="00BB5DE9">
        <w:tab/>
        <w:t>linea di bilancio 08 02 03 03 – Promozione dei prodotti agricoli –Programmi multipli e azioni condotte dalla Commissione in regime di gestione diretta, di 10 000 000 EUR;</w:t>
      </w:r>
    </w:p>
    <w:p w:rsidR="00AB16C1" w:rsidRPr="00BB5DE9" w:rsidP="00AB16C1" w14:paraId="6A20CA12" w14:textId="77777777">
      <w:pPr>
        <w:pStyle w:val="Visa"/>
        <w:widowControl/>
        <w:tabs>
          <w:tab w:val="clear" w:pos="357"/>
          <w:tab w:val="left" w:pos="1620"/>
        </w:tabs>
        <w:spacing w:after="120"/>
        <w:ind w:left="1980" w:hanging="360"/>
        <w:rPr>
          <w:szCs w:val="24"/>
        </w:rPr>
      </w:pPr>
      <w:r w:rsidRPr="00BB5DE9">
        <w:t>vi.</w:t>
      </w:r>
      <w:r w:rsidRPr="00BB5DE9">
        <w:tab/>
        <w:t>linea di bilancio 08 02 02 04 – Programmi destinati alle scuole, di 17 000 000 EUR;</w:t>
      </w:r>
    </w:p>
    <w:p w:rsidR="00AB16C1" w:rsidRPr="00BB5DE9" w:rsidP="00AB16C1" w14:paraId="06F4FE0B" w14:textId="77777777">
      <w:pPr>
        <w:pStyle w:val="Visa"/>
        <w:widowControl/>
        <w:spacing w:after="120"/>
        <w:ind w:left="1979"/>
        <w:rPr>
          <w:szCs w:val="24"/>
        </w:rPr>
      </w:pPr>
      <w:r w:rsidRPr="00BB5DE9">
        <w:t>vii.</w:t>
      </w:r>
      <w:r w:rsidRPr="00BB5DE9">
        <w:tab/>
        <w:t>linea di bilancio 08 02 04 03 – Sostegno complementare al reddito per i giovani agricoltori, di 20 000 000 EUR;</w:t>
      </w:r>
    </w:p>
    <w:p w:rsidR="00AB16C1" w:rsidRPr="00BB5DE9" w:rsidP="00AB16C1" w14:paraId="7FC295E1" w14:textId="77777777">
      <w:pPr>
        <w:pStyle w:val="Visa"/>
        <w:widowControl/>
        <w:tabs>
          <w:tab w:val="clear" w:pos="357"/>
        </w:tabs>
        <w:spacing w:after="120"/>
        <w:ind w:left="1134" w:hanging="425"/>
        <w:rPr>
          <w:szCs w:val="24"/>
        </w:rPr>
      </w:pPr>
      <w:r w:rsidRPr="00BB5DE9">
        <w:t>b)</w:t>
      </w:r>
      <w:r w:rsidRPr="00BB5DE9">
        <w:tab/>
        <w:t>programma per l'ambiente e azione per il clima (LIFE), di 85 000 000 EUR;</w:t>
      </w:r>
    </w:p>
    <w:p w:rsidR="00AB16C1" w:rsidRPr="00BB5DE9" w:rsidP="00AB16C1" w14:paraId="66FCC72E" w14:textId="77777777">
      <w:pPr>
        <w:pStyle w:val="Visa"/>
        <w:widowControl/>
        <w:spacing w:after="120"/>
        <w:ind w:left="1980" w:hanging="360"/>
        <w:rPr>
          <w:szCs w:val="24"/>
        </w:rPr>
      </w:pPr>
      <w:r w:rsidRPr="00BB5DE9">
        <w:t>i.</w:t>
      </w:r>
      <w:r w:rsidRPr="00BB5DE9">
        <w:tab/>
        <w:t>linea di bilancio 09 02 01 – Natura e biodiversità, di 51 000 000 EUR;</w:t>
      </w:r>
    </w:p>
    <w:p w:rsidR="00AB16C1" w:rsidRPr="00BB5DE9" w:rsidP="00AB16C1" w14:paraId="0A722607" w14:textId="77777777">
      <w:pPr>
        <w:pStyle w:val="Visa"/>
        <w:widowControl/>
        <w:tabs>
          <w:tab w:val="clear" w:pos="357"/>
          <w:tab w:val="left" w:pos="1620"/>
        </w:tabs>
        <w:spacing w:after="120"/>
        <w:ind w:left="1980" w:hanging="360"/>
        <w:rPr>
          <w:szCs w:val="24"/>
        </w:rPr>
      </w:pPr>
      <w:r w:rsidRPr="00BB5DE9">
        <w:t>ii.</w:t>
      </w:r>
      <w:r w:rsidRPr="00BB5DE9">
        <w:tab/>
        <w:t>linea di bilancio 09 02 02 – Economia circolare e qualità della vita, di 4 500 000 EUR;</w:t>
      </w:r>
    </w:p>
    <w:p w:rsidR="00AB16C1" w:rsidRPr="00BB5DE9" w:rsidP="00AB16C1" w14:paraId="582986C0" w14:textId="77777777">
      <w:pPr>
        <w:pStyle w:val="Visa"/>
        <w:widowControl/>
        <w:spacing w:after="120"/>
        <w:ind w:left="1980" w:hanging="360"/>
        <w:rPr>
          <w:szCs w:val="24"/>
        </w:rPr>
      </w:pPr>
      <w:r w:rsidRPr="00BB5DE9">
        <w:t>iii.</w:t>
      </w:r>
      <w:r w:rsidRPr="00BB5DE9">
        <w:tab/>
        <w:t>linea di bilancio 09 02 03 – Mitigazione dei cambiamenti climatici e adattamento agli stessi, di 4 500 000 EUR;</w:t>
      </w:r>
    </w:p>
    <w:p w:rsidR="00AB16C1" w:rsidRPr="00BB5DE9" w:rsidP="00AB16C1" w14:paraId="4C235408" w14:textId="77777777">
      <w:pPr>
        <w:pStyle w:val="Visa"/>
        <w:widowControl/>
        <w:ind w:left="1979" w:right="-569"/>
        <w:rPr>
          <w:szCs w:val="24"/>
        </w:rPr>
      </w:pPr>
      <w:r w:rsidRPr="00BB5DE9">
        <w:t>iv.</w:t>
      </w:r>
      <w:r w:rsidRPr="00BB5DE9">
        <w:tab/>
        <w:t>linea di bilancio 09 02 04 – Transizione all'energia pulita, di 25 000 000 EUR;</w:t>
      </w:r>
    </w:p>
    <w:p w:rsidR="00AB16C1" w:rsidRPr="00BB5DE9" w:rsidP="00AB16C1" w14:paraId="025BA069" w14:textId="77777777">
      <w:pPr>
        <w:keepNext/>
        <w:widowControl/>
        <w:spacing w:before="240" w:after="240"/>
        <w:rPr>
          <w:b/>
          <w:bCs/>
          <w:i/>
          <w:iCs/>
          <w:szCs w:val="24"/>
        </w:rPr>
      </w:pPr>
      <w:r w:rsidRPr="00BB5DE9">
        <w:rPr>
          <w:b/>
          <w:i/>
        </w:rPr>
        <w:t>Rubrica 4 – Migrazione e gestione delle frontiere</w:t>
      </w:r>
    </w:p>
    <w:p w:rsidR="00AB16C1" w:rsidRPr="00BB5DE9" w:rsidP="00AB16C1" w14:paraId="10258608" w14:textId="77777777">
      <w:pPr>
        <w:widowControl/>
        <w:spacing w:after="240"/>
        <w:ind w:left="567" w:hanging="567"/>
        <w:rPr>
          <w:szCs w:val="24"/>
        </w:rPr>
      </w:pPr>
      <w:r w:rsidRPr="00BB5DE9">
        <w:t>22.</w:t>
      </w:r>
      <w:r w:rsidRPr="00BB5DE9">
        <w:tab/>
        <w:t>ripristina i tagli apportati dal Consiglio per un importo di 12 900 000 EUR e incrementa di 60 000 000 EUR in stanziamenti d'impegno rispetto al PB e di 72 900 000 EUR rispetto alla posizione del Consiglio al fine di rafforzare la dotazione dei seguenti programmi rispetto al PB:</w:t>
      </w:r>
    </w:p>
    <w:p w:rsidR="00AB16C1" w:rsidRPr="00BB5DE9" w:rsidP="00AB16C1" w14:paraId="0A93A8FE" w14:textId="77777777">
      <w:pPr>
        <w:pStyle w:val="Visa"/>
        <w:widowControl/>
        <w:tabs>
          <w:tab w:val="clear" w:pos="357"/>
        </w:tabs>
        <w:spacing w:after="120"/>
        <w:ind w:left="1134" w:hanging="425"/>
        <w:rPr>
          <w:szCs w:val="24"/>
        </w:rPr>
      </w:pPr>
      <w:r w:rsidRPr="00BB5DE9">
        <w:t>a)</w:t>
      </w:r>
      <w:r w:rsidRPr="00BB5DE9">
        <w:tab/>
        <w:t>Fondo Asilo, migrazione e integrazione, di 20 000 000 EUR;</w:t>
      </w:r>
    </w:p>
    <w:p w:rsidR="00AB16C1" w:rsidRPr="00BB5DE9" w:rsidP="00AB16C1" w14:paraId="5DC6D8B6" w14:textId="77777777">
      <w:pPr>
        <w:pStyle w:val="Visa"/>
        <w:widowControl/>
        <w:spacing w:after="120"/>
        <w:ind w:left="1979"/>
        <w:rPr>
          <w:szCs w:val="24"/>
        </w:rPr>
      </w:pPr>
      <w:r w:rsidRPr="00BB5DE9">
        <w:t>i.</w:t>
      </w:r>
      <w:r w:rsidRPr="00BB5DE9">
        <w:tab/>
        <w:t>linea di bilancio 10 02 01 – Fondo Asilo, migrazione e integrazione, di 20 000 000 EUR;</w:t>
      </w:r>
    </w:p>
    <w:p w:rsidR="00AB16C1" w:rsidRPr="00BB5DE9" w:rsidP="00AB16C1" w14:paraId="3074A00D" w14:textId="77777777">
      <w:pPr>
        <w:pStyle w:val="Visa"/>
        <w:widowControl/>
        <w:tabs>
          <w:tab w:val="clear" w:pos="357"/>
        </w:tabs>
        <w:spacing w:after="120"/>
        <w:ind w:left="1134" w:hanging="425"/>
        <w:rPr>
          <w:szCs w:val="24"/>
        </w:rPr>
      </w:pPr>
      <w:r w:rsidRPr="00BB5DE9">
        <w:t>b)</w:t>
      </w:r>
      <w:r w:rsidRPr="00BB5DE9">
        <w:tab/>
        <w:t>Strumento per la gestione delle frontiere e i visti (BMVI), di 40 000 000 EUR;</w:t>
      </w:r>
    </w:p>
    <w:p w:rsidR="00AB16C1" w:rsidRPr="00BB5DE9" w:rsidP="00AB16C1" w14:paraId="052CD5B6" w14:textId="77777777">
      <w:pPr>
        <w:pStyle w:val="Visa"/>
        <w:widowControl/>
        <w:ind w:left="1979"/>
        <w:rPr>
          <w:szCs w:val="24"/>
        </w:rPr>
      </w:pPr>
      <w:r w:rsidRPr="00BB5DE9">
        <w:t>i.</w:t>
      </w:r>
      <w:r w:rsidRPr="00BB5DE9">
        <w:tab/>
        <w:t>linea di bilancio 11 02 01 – Strumento per la gestione delle frontiere e i visti, di 40 000 000 EUR;</w:t>
      </w:r>
    </w:p>
    <w:p w:rsidR="00AB16C1" w:rsidRPr="00BB5DE9" w:rsidP="00AB16C1" w14:paraId="240F696E" w14:textId="77777777">
      <w:pPr>
        <w:pStyle w:val="Visa"/>
        <w:widowControl/>
        <w:tabs>
          <w:tab w:val="clear" w:pos="357"/>
        </w:tabs>
        <w:spacing w:before="240" w:after="120"/>
        <w:ind w:left="567" w:hanging="567"/>
        <w:rPr>
          <w:rFonts w:eastAsiaTheme="minorHAnsi"/>
          <w:szCs w:val="24"/>
        </w:rPr>
      </w:pPr>
      <w:r w:rsidRPr="00BB5DE9">
        <w:t>23.</w:t>
      </w:r>
      <w:r w:rsidRPr="00BB5DE9">
        <w:tab/>
        <w:t>Sovvenzioni:</w:t>
      </w:r>
    </w:p>
    <w:p w:rsidR="00AB16C1" w:rsidRPr="00BB5DE9" w:rsidP="00AB16C1" w14:paraId="7E4C7148" w14:textId="77777777">
      <w:pPr>
        <w:pStyle w:val="Visa"/>
        <w:widowControl/>
        <w:tabs>
          <w:tab w:val="clear" w:pos="357"/>
        </w:tabs>
        <w:ind w:left="1134" w:hanging="425"/>
        <w:rPr>
          <w:rFonts w:eastAsiaTheme="minorHAnsi"/>
          <w:szCs w:val="24"/>
        </w:rPr>
      </w:pPr>
      <w:r w:rsidRPr="00BB5DE9">
        <w:t xml:space="preserve">a) </w:t>
      </w:r>
      <w:r w:rsidRPr="00BB5DE9">
        <w:tab/>
        <w:t>tre END supplementari per l'Agenzia dell'Unione europea per l'asilo (EUAA);</w:t>
      </w:r>
    </w:p>
    <w:p w:rsidR="00AB16C1" w:rsidRPr="00BB5DE9" w:rsidP="00AB16C1" w14:paraId="55A2CC91" w14:textId="77777777">
      <w:pPr>
        <w:pStyle w:val="Visa"/>
        <w:widowControl/>
        <w:tabs>
          <w:tab w:val="clear" w:pos="357"/>
        </w:tabs>
        <w:ind w:left="1134" w:hanging="425"/>
        <w:rPr>
          <w:rFonts w:eastAsiaTheme="minorHAnsi"/>
          <w:szCs w:val="24"/>
        </w:rPr>
      </w:pPr>
      <w:r w:rsidRPr="00BB5DE9">
        <w:t xml:space="preserve">b) </w:t>
      </w:r>
      <w:r w:rsidRPr="00BB5DE9">
        <w:tab/>
        <w:t>trasformazione di 20 END in agenti contrattuali presso l'Agenzia europea della guardia di frontiera e costiera (Frontex);</w:t>
      </w:r>
    </w:p>
    <w:p w:rsidR="00AB16C1" w:rsidRPr="00BB5DE9" w:rsidP="00AB16C1" w14:paraId="618EC8CA" w14:textId="77777777">
      <w:pPr>
        <w:pStyle w:val="Visa"/>
        <w:widowControl/>
        <w:tabs>
          <w:tab w:val="clear" w:pos="357"/>
          <w:tab w:val="left" w:pos="567"/>
        </w:tabs>
        <w:ind w:left="567" w:hanging="567"/>
        <w:rPr>
          <w:szCs w:val="24"/>
        </w:rPr>
      </w:pPr>
      <w:r w:rsidRPr="00BB5DE9">
        <w:t>24.</w:t>
      </w:r>
      <w:r w:rsidRPr="00BB5DE9">
        <w:tab/>
        <w:t>Modifica, se del caso, i commenti di bilancio;</w:t>
      </w:r>
    </w:p>
    <w:p w:rsidR="00AB16C1" w:rsidRPr="00BB5DE9" w:rsidP="00AB16C1" w14:paraId="3DB9DFB9" w14:textId="77777777">
      <w:pPr>
        <w:widowControl/>
        <w:spacing w:before="240" w:after="240"/>
        <w:ind w:left="567" w:hanging="567"/>
        <w:rPr>
          <w:szCs w:val="24"/>
        </w:rPr>
      </w:pPr>
      <w:r w:rsidRPr="00BB5DE9">
        <w:rPr>
          <w:b/>
          <w:i/>
        </w:rPr>
        <w:t>Rubrica 5 – Sicurezza e difesa</w:t>
      </w:r>
    </w:p>
    <w:p w:rsidR="00AB16C1" w:rsidRPr="00BB5DE9" w:rsidP="00AB16C1" w14:paraId="1EC89D17" w14:textId="77777777">
      <w:pPr>
        <w:widowControl/>
        <w:spacing w:after="240"/>
        <w:ind w:left="567" w:hanging="567"/>
        <w:rPr>
          <w:szCs w:val="24"/>
        </w:rPr>
      </w:pPr>
      <w:r w:rsidRPr="00BB5DE9">
        <w:t>25.</w:t>
      </w:r>
      <w:r w:rsidRPr="00BB5DE9">
        <w:tab/>
        <w:t>ripristina i tagli apportati dal Consiglio per un importo di 11 522 000 EUR e incrementa di 54 800 000 EUR in stanziamenti d'impegno rispetto al PB e di 66 322 000 EUR rispetto alla posizione del Consiglio al fine di rafforzare la dotazione dei seguenti programmi rispetto al PB:</w:t>
      </w:r>
    </w:p>
    <w:p w:rsidR="00AB16C1" w:rsidRPr="00BB5DE9" w:rsidP="00AB16C1" w14:paraId="113F4FE1" w14:textId="77777777">
      <w:pPr>
        <w:pStyle w:val="Visa"/>
        <w:widowControl/>
        <w:tabs>
          <w:tab w:val="clear" w:pos="357"/>
        </w:tabs>
        <w:spacing w:after="120"/>
        <w:ind w:left="1134" w:hanging="425"/>
        <w:rPr>
          <w:szCs w:val="24"/>
        </w:rPr>
      </w:pPr>
      <w:r w:rsidRPr="00BB5DE9">
        <w:t>a)</w:t>
      </w:r>
      <w:r w:rsidRPr="00BB5DE9">
        <w:tab/>
        <w:t>Fondo Sicurezza interna (FSI), di 10 000 000 EUR;</w:t>
      </w:r>
    </w:p>
    <w:p w:rsidR="00AB16C1" w:rsidRPr="00BB5DE9" w:rsidP="00AB16C1" w14:paraId="44E81A05" w14:textId="77777777">
      <w:pPr>
        <w:pStyle w:val="Visa"/>
        <w:widowControl/>
        <w:spacing w:after="120"/>
        <w:ind w:left="1980" w:hanging="360"/>
        <w:rPr>
          <w:szCs w:val="24"/>
        </w:rPr>
      </w:pPr>
      <w:r w:rsidRPr="00BB5DE9">
        <w:t>i.</w:t>
      </w:r>
      <w:r w:rsidRPr="00BB5DE9">
        <w:tab/>
        <w:t>linea di bilancio 12 02 01 – Fondo Sicurezza interna (FSI), di 10 000 000 EUR;</w:t>
      </w:r>
    </w:p>
    <w:p w:rsidR="00AB16C1" w:rsidRPr="00BB5DE9" w:rsidP="00AB16C1" w14:paraId="173AFCE6" w14:textId="77777777">
      <w:pPr>
        <w:pStyle w:val="Visa"/>
        <w:widowControl/>
        <w:tabs>
          <w:tab w:val="clear" w:pos="357"/>
        </w:tabs>
        <w:spacing w:after="120"/>
        <w:ind w:left="1134" w:hanging="425"/>
        <w:rPr>
          <w:szCs w:val="24"/>
        </w:rPr>
      </w:pPr>
      <w:r w:rsidRPr="00BB5DE9">
        <w:t>b)</w:t>
      </w:r>
      <w:r w:rsidRPr="00BB5DE9">
        <w:tab/>
        <w:t>Fondo europeo per la difesa (FED), di 5 000 000 EUR;</w:t>
      </w:r>
    </w:p>
    <w:p w:rsidR="00AB16C1" w:rsidRPr="00BB5DE9" w:rsidP="00AB16C1" w14:paraId="4D04B72E" w14:textId="77777777">
      <w:pPr>
        <w:pStyle w:val="Visa"/>
        <w:widowControl/>
        <w:spacing w:after="120"/>
        <w:ind w:left="1980" w:hanging="360"/>
        <w:rPr>
          <w:szCs w:val="24"/>
        </w:rPr>
      </w:pPr>
      <w:r w:rsidRPr="00BB5DE9">
        <w:t>i.</w:t>
      </w:r>
      <w:r w:rsidRPr="00BB5DE9">
        <w:tab/>
        <w:t>linea di bilancio 13 02 01 – Sviluppo delle capacità, di 5 000 000 EUR;</w:t>
      </w:r>
    </w:p>
    <w:p w:rsidR="00AB16C1" w:rsidRPr="00BB5DE9" w:rsidP="00AB16C1" w14:paraId="48F43F52" w14:textId="77777777">
      <w:pPr>
        <w:pStyle w:val="Visa"/>
        <w:widowControl/>
        <w:tabs>
          <w:tab w:val="clear" w:pos="357"/>
        </w:tabs>
        <w:spacing w:after="120"/>
        <w:ind w:left="1134" w:hanging="425"/>
        <w:rPr>
          <w:szCs w:val="24"/>
        </w:rPr>
      </w:pPr>
      <w:r w:rsidRPr="00BB5DE9">
        <w:t>c)</w:t>
      </w:r>
      <w:r w:rsidRPr="00BB5DE9">
        <w:tab/>
        <w:t>Mobilità militare, di 20 000 000 EUR;</w:t>
      </w:r>
    </w:p>
    <w:p w:rsidR="00AB16C1" w:rsidRPr="00BB5DE9" w:rsidP="00AB16C1" w14:paraId="5D2DFDEF" w14:textId="77777777">
      <w:pPr>
        <w:pStyle w:val="Visa"/>
        <w:widowControl/>
        <w:spacing w:after="120"/>
        <w:ind w:left="1980" w:hanging="360"/>
        <w:rPr>
          <w:szCs w:val="24"/>
        </w:rPr>
      </w:pPr>
      <w:r w:rsidRPr="00BB5DE9">
        <w:t>i.</w:t>
      </w:r>
      <w:r w:rsidRPr="00BB5DE9">
        <w:tab/>
        <w:t>linea di bilancio 13 04 01 – Mobilità militare, di 20 000 000 EUR;</w:t>
      </w:r>
    </w:p>
    <w:p w:rsidR="00AB16C1" w:rsidRPr="00BB5DE9" w:rsidP="00AB16C1" w14:paraId="4873AF29" w14:textId="77777777">
      <w:pPr>
        <w:pStyle w:val="Visa"/>
        <w:widowControl/>
        <w:tabs>
          <w:tab w:val="clear" w:pos="357"/>
        </w:tabs>
        <w:spacing w:after="120"/>
        <w:ind w:left="1134" w:hanging="425"/>
        <w:rPr>
          <w:szCs w:val="24"/>
        </w:rPr>
      </w:pPr>
      <w:r w:rsidRPr="00BB5DE9">
        <w:t>d)</w:t>
      </w:r>
      <w:r w:rsidRPr="00BB5DE9">
        <w:tab/>
        <w:t>Programma per l'industria europea della difesa, di 6 800 000 EUR;</w:t>
      </w:r>
    </w:p>
    <w:p w:rsidR="00AB16C1" w:rsidRPr="00BB5DE9" w:rsidP="00AB16C1" w14:paraId="1913A2F8" w14:textId="77777777">
      <w:pPr>
        <w:pStyle w:val="Visa"/>
        <w:widowControl/>
        <w:spacing w:after="120"/>
        <w:ind w:left="1979"/>
        <w:rPr>
          <w:szCs w:val="24"/>
        </w:rPr>
      </w:pPr>
      <w:r w:rsidRPr="00BB5DE9">
        <w:t>i.</w:t>
      </w:r>
      <w:r w:rsidRPr="00BB5DE9">
        <w:tab/>
        <w:t>linea di bilancio 13 08 01 – Programma per l'industria europea della difesa, di 6 800 000 EUR;</w:t>
      </w:r>
    </w:p>
    <w:p w:rsidR="00AB16C1" w:rsidRPr="00BB5DE9" w:rsidP="00AB16C1" w14:paraId="215FCD3A" w14:textId="77777777">
      <w:pPr>
        <w:pStyle w:val="Visa"/>
        <w:widowControl/>
        <w:tabs>
          <w:tab w:val="clear" w:pos="357"/>
        </w:tabs>
        <w:spacing w:after="120"/>
        <w:ind w:left="1134" w:hanging="425"/>
        <w:rPr>
          <w:szCs w:val="24"/>
        </w:rPr>
      </w:pPr>
      <w:r w:rsidRPr="00BB5DE9">
        <w:t>e)</w:t>
      </w:r>
      <w:r w:rsidRPr="00BB5DE9">
        <w:tab/>
        <w:t>Agenzie della rubrica 5, di 13 000 000 EUR;</w:t>
      </w:r>
    </w:p>
    <w:p w:rsidR="00AB16C1" w:rsidRPr="00BB5DE9" w:rsidP="00AB16C1" w14:paraId="7350E855" w14:textId="77777777">
      <w:pPr>
        <w:pStyle w:val="Visa"/>
        <w:widowControl/>
        <w:spacing w:after="120"/>
        <w:ind w:left="1980" w:hanging="360"/>
        <w:rPr>
          <w:szCs w:val="24"/>
        </w:rPr>
      </w:pPr>
      <w:r w:rsidRPr="00BB5DE9">
        <w:t>i.</w:t>
      </w:r>
      <w:r w:rsidRPr="00BB5DE9">
        <w:tab/>
        <w:t>linea di bilancio 12 10 01 – Agenzia dell'Unione europea per la cooperazione nell'attività di contrasto (Europol). di 12 000 000 EUR;</w:t>
      </w:r>
    </w:p>
    <w:p w:rsidR="00AB16C1" w:rsidRPr="00BB5DE9" w:rsidP="00AB16C1" w14:paraId="01EE02EA" w14:textId="77777777">
      <w:pPr>
        <w:pStyle w:val="Visa"/>
        <w:widowControl/>
        <w:ind w:left="1979"/>
        <w:rPr>
          <w:szCs w:val="24"/>
        </w:rPr>
      </w:pPr>
      <w:r w:rsidRPr="00BB5DE9">
        <w:t>ii.</w:t>
      </w:r>
      <w:r w:rsidRPr="00BB5DE9">
        <w:tab/>
        <w:t>linea di bilancio 12 10 02 – Agenzia dell’Unione europea per la formazione delle autorità di contrasto (CEPOL). di 1 000 000 EUR;</w:t>
      </w:r>
    </w:p>
    <w:p w:rsidR="00AB16C1" w:rsidRPr="00BB5DE9" w:rsidP="00AB16C1" w14:paraId="22F26C34" w14:textId="77777777">
      <w:pPr>
        <w:pStyle w:val="Visa"/>
        <w:widowControl/>
        <w:tabs>
          <w:tab w:val="clear" w:pos="357"/>
          <w:tab w:val="left" w:pos="567"/>
        </w:tabs>
        <w:spacing w:after="120"/>
        <w:ind w:left="567" w:hanging="567"/>
        <w:rPr>
          <w:szCs w:val="24"/>
        </w:rPr>
      </w:pPr>
      <w:r w:rsidRPr="00BB5DE9">
        <w:t>26.</w:t>
      </w:r>
      <w:r w:rsidRPr="00BB5DE9">
        <w:tab/>
        <w:t>Modifica, se del caso, i commenti di bilancio;</w:t>
      </w:r>
    </w:p>
    <w:p w:rsidR="00AB16C1" w:rsidRPr="00BB5DE9" w:rsidP="00AB16C1" w14:paraId="492DCC47" w14:textId="77777777">
      <w:pPr>
        <w:widowControl/>
        <w:spacing w:before="240" w:after="240"/>
        <w:ind w:right="-569"/>
        <w:rPr>
          <w:b/>
          <w:bCs/>
          <w:i/>
          <w:iCs/>
          <w:szCs w:val="24"/>
        </w:rPr>
      </w:pPr>
      <w:r w:rsidRPr="00BB5DE9">
        <w:rPr>
          <w:b/>
          <w:i/>
        </w:rPr>
        <w:t>Rubrica 6 — Vicinato e resto del mondo nonché strumento per il prestito a sostegno dell'Ucraina</w:t>
      </w:r>
    </w:p>
    <w:p w:rsidR="00AB16C1" w:rsidRPr="00BB5DE9" w:rsidP="00AB16C1" w14:paraId="7D0291E9" w14:textId="77777777">
      <w:pPr>
        <w:pStyle w:val="NormalHanging12a"/>
        <w:widowControl/>
        <w:rPr>
          <w:szCs w:val="24"/>
        </w:rPr>
      </w:pPr>
      <w:r w:rsidRPr="00BB5DE9">
        <w:t>27.</w:t>
      </w:r>
      <w:r w:rsidRPr="00BB5DE9">
        <w:tab/>
        <w:t>incrementa l'importo di 139 000 000 EUR in stanziamenti d'impegno rispetto al PB e di 137 990 000 EUR rispetto alla posizione del Consiglio al fine di rafforzare la dotazione dei seguenti programmi rispetto al PB:</w:t>
      </w:r>
    </w:p>
    <w:p w:rsidR="00AB16C1" w:rsidRPr="00BB5DE9" w:rsidP="00AB16C1" w14:paraId="66A49AD8" w14:textId="77777777">
      <w:pPr>
        <w:pStyle w:val="Visa"/>
        <w:widowControl/>
        <w:tabs>
          <w:tab w:val="clear" w:pos="357"/>
        </w:tabs>
        <w:spacing w:after="120"/>
        <w:ind w:left="1134" w:hanging="425"/>
        <w:rPr>
          <w:szCs w:val="24"/>
        </w:rPr>
      </w:pPr>
      <w:r w:rsidRPr="00BB5DE9">
        <w:t>a)</w:t>
      </w:r>
      <w:r w:rsidRPr="00BB5DE9">
        <w:tab/>
        <w:t>NDICI-Europa globale, di 99 000 000 EUR;</w:t>
      </w:r>
    </w:p>
    <w:p w:rsidR="00AB16C1" w:rsidRPr="00BB5DE9" w:rsidP="00AB16C1" w14:paraId="53D52C68" w14:textId="77777777">
      <w:pPr>
        <w:pStyle w:val="Visa"/>
        <w:widowControl/>
        <w:spacing w:after="120"/>
        <w:ind w:left="1980" w:hanging="360"/>
        <w:rPr>
          <w:szCs w:val="24"/>
        </w:rPr>
      </w:pPr>
      <w:r w:rsidRPr="00BB5DE9">
        <w:t>i.</w:t>
      </w:r>
      <w:r w:rsidRPr="00BB5DE9">
        <w:tab/>
        <w:t>linea di bilancio 14 02 01 10 – Vicinato meridionale. di 60 000 000 EUR;</w:t>
      </w:r>
    </w:p>
    <w:p w:rsidR="00AB16C1" w:rsidRPr="00BB5DE9" w:rsidP="00AB16C1" w14:paraId="341566C0" w14:textId="77777777">
      <w:pPr>
        <w:pStyle w:val="Visa"/>
        <w:widowControl/>
        <w:spacing w:after="120"/>
        <w:ind w:left="1980" w:hanging="360"/>
        <w:rPr>
          <w:szCs w:val="24"/>
        </w:rPr>
      </w:pPr>
      <w:r w:rsidRPr="00BB5DE9">
        <w:t>ii.</w:t>
      </w:r>
      <w:r w:rsidRPr="00BB5DE9">
        <w:tab/>
        <w:t>linea di bilancio 14 02 01 11 – Vicinato orientale. di 30 000 000 EUR;</w:t>
      </w:r>
    </w:p>
    <w:p w:rsidR="00AB16C1" w:rsidRPr="00BB5DE9" w:rsidP="00AB16C1" w14:paraId="3413ACD7" w14:textId="77777777">
      <w:pPr>
        <w:pStyle w:val="Visa"/>
        <w:widowControl/>
        <w:spacing w:after="120"/>
        <w:ind w:left="1980" w:hanging="360"/>
        <w:rPr>
          <w:szCs w:val="24"/>
        </w:rPr>
      </w:pPr>
      <w:r w:rsidRPr="00BB5DE9">
        <w:t>iii.</w:t>
      </w:r>
      <w:r w:rsidRPr="00BB5DE9">
        <w:tab/>
        <w:t>linea di bilancio 14 02 01 13 – Strumento per le riforme e la crescita per la Repubblica di Moldova. di 4 000 000 EUR;</w:t>
      </w:r>
    </w:p>
    <w:p w:rsidR="00AB16C1" w:rsidRPr="00BB5DE9" w:rsidP="00AB16C1" w14:paraId="71DA8CD1" w14:textId="77777777">
      <w:pPr>
        <w:pStyle w:val="Visa"/>
        <w:widowControl/>
        <w:spacing w:after="120"/>
        <w:ind w:left="1980" w:hanging="360"/>
        <w:rPr>
          <w:szCs w:val="24"/>
        </w:rPr>
      </w:pPr>
      <w:r w:rsidRPr="00BB5DE9">
        <w:t>iv.</w:t>
      </w:r>
      <w:r w:rsidRPr="00BB5DE9">
        <w:tab/>
        <w:t>voce di bilancio 14 02 02 20 – Organizzazioni delle società civile. di 5 000 000 EUR;</w:t>
      </w:r>
    </w:p>
    <w:p w:rsidR="00AB16C1" w:rsidRPr="00BB5DE9" w:rsidP="00AB16C1" w14:paraId="68593086" w14:textId="77777777">
      <w:pPr>
        <w:pStyle w:val="Visa"/>
        <w:widowControl/>
        <w:tabs>
          <w:tab w:val="clear" w:pos="357"/>
        </w:tabs>
        <w:spacing w:after="120"/>
        <w:ind w:left="1134" w:hanging="425"/>
        <w:rPr>
          <w:szCs w:val="24"/>
        </w:rPr>
      </w:pPr>
      <w:r w:rsidRPr="00BB5DE9">
        <w:t>b)</w:t>
      </w:r>
      <w:r w:rsidRPr="00BB5DE9">
        <w:tab/>
        <w:t>Aiuto umanitario. di 40 000 000 EUR;</w:t>
      </w:r>
    </w:p>
    <w:p w:rsidR="00AB16C1" w:rsidRPr="00BB5DE9" w:rsidP="00AB16C1" w14:paraId="40A77599" w14:textId="77777777">
      <w:pPr>
        <w:pStyle w:val="Visa"/>
        <w:widowControl/>
        <w:ind w:left="1979"/>
        <w:rPr>
          <w:szCs w:val="24"/>
        </w:rPr>
      </w:pPr>
      <w:r w:rsidRPr="00BB5DE9">
        <w:t>i.</w:t>
      </w:r>
      <w:r w:rsidRPr="00BB5DE9">
        <w:tab/>
        <w:t>linea di bilancio 14 03 01 – Aiuto umanitario, di 40 000 000 EUR;</w:t>
      </w:r>
    </w:p>
    <w:p w:rsidR="00AB16C1" w:rsidRPr="00BB5DE9" w:rsidP="00AB16C1" w14:paraId="73573E27" w14:textId="77777777">
      <w:pPr>
        <w:pStyle w:val="Visa"/>
        <w:widowControl/>
        <w:tabs>
          <w:tab w:val="clear" w:pos="357"/>
          <w:tab w:val="left" w:pos="567"/>
        </w:tabs>
        <w:ind w:left="567" w:right="-569" w:hanging="567"/>
        <w:rPr>
          <w:szCs w:val="24"/>
        </w:rPr>
      </w:pPr>
      <w:r w:rsidRPr="00BB5DE9">
        <w:t>28.</w:t>
      </w:r>
      <w:r w:rsidRPr="00BB5DE9">
        <w:tab/>
        <w:t>crea una riserva sulle seguenti linee di bilancio, senza incidenza sul totale degli stanziamenti:</w:t>
      </w:r>
    </w:p>
    <w:p w:rsidR="00AB16C1" w:rsidRPr="00BB5DE9" w:rsidP="00AB16C1" w14:paraId="74F85A9F" w14:textId="77777777">
      <w:pPr>
        <w:pStyle w:val="Visa"/>
        <w:widowControl/>
        <w:ind w:left="1134" w:right="-711" w:hanging="425"/>
        <w:rPr>
          <w:szCs w:val="24"/>
        </w:rPr>
      </w:pPr>
      <w:r w:rsidRPr="00BB5DE9">
        <w:t xml:space="preserve">a) </w:t>
      </w:r>
      <w:r w:rsidRPr="00BB5DE9">
        <w:tab/>
        <w:t>linea di bilancio 15 03 01 06 – Serbia, pari a 56 886 805 EUR in stanziamenti d'impegno;</w:t>
      </w:r>
    </w:p>
    <w:p w:rsidR="00AB16C1" w:rsidRPr="00BB5DE9" w:rsidP="00AB16C1" w14:paraId="76B97AB9" w14:textId="77777777">
      <w:pPr>
        <w:pStyle w:val="Visa"/>
        <w:widowControl/>
        <w:tabs>
          <w:tab w:val="clear" w:pos="357"/>
        </w:tabs>
        <w:ind w:left="1134" w:hanging="425"/>
        <w:rPr>
          <w:szCs w:val="24"/>
        </w:rPr>
      </w:pPr>
      <w:r w:rsidRPr="00BB5DE9">
        <w:t xml:space="preserve">b) </w:t>
      </w:r>
      <w:r w:rsidRPr="00BB5DE9">
        <w:tab/>
        <w:t>linea di bilancio 14 02 01 10 – Vicinato meridionale. pari a 50 000 000 EUR in stanziamenti d'impegno e di pagamento;</w:t>
      </w:r>
    </w:p>
    <w:p w:rsidR="00AB16C1" w:rsidRPr="00BB5DE9" w:rsidP="00AB16C1" w14:paraId="44A5F9E0" w14:textId="77777777">
      <w:pPr>
        <w:pStyle w:val="Visa"/>
        <w:widowControl/>
        <w:tabs>
          <w:tab w:val="clear" w:pos="357"/>
          <w:tab w:val="left" w:pos="567"/>
        </w:tabs>
        <w:ind w:left="567" w:hanging="567"/>
        <w:rPr>
          <w:szCs w:val="24"/>
        </w:rPr>
      </w:pPr>
      <w:bookmarkStart w:id="2" w:name="QuickMark"/>
      <w:bookmarkEnd w:id="2"/>
      <w:r w:rsidRPr="00BB5DE9">
        <w:t>29.</w:t>
      </w:r>
      <w:r w:rsidRPr="00BB5DE9">
        <w:tab/>
        <w:t>riduce gli stanziamenti proposti per le seguenti linee di bilancio per un totale di 35 000 000 EUR, in conformità del paragrafo 9:</w:t>
      </w:r>
    </w:p>
    <w:p w:rsidR="00AB16C1" w:rsidRPr="00BB5DE9" w:rsidP="00AB16C1" w14:paraId="2E6FEB28" w14:textId="77777777">
      <w:pPr>
        <w:pStyle w:val="Visa"/>
        <w:widowControl/>
        <w:tabs>
          <w:tab w:val="clear" w:pos="357"/>
        </w:tabs>
        <w:ind w:left="1134" w:right="-286" w:hanging="425"/>
        <w:rPr>
          <w:szCs w:val="24"/>
        </w:rPr>
      </w:pPr>
      <w:r w:rsidRPr="00BB5DE9">
        <w:t>a)</w:t>
      </w:r>
      <w:r w:rsidRPr="00BB5DE9">
        <w:tab/>
        <w:t>16 07 01 – Costi di servizio del prestito a sostegno dell'Ucraina, di 35 000 000 EUR;</w:t>
      </w:r>
    </w:p>
    <w:p w:rsidR="00AB16C1" w:rsidRPr="00BB5DE9" w:rsidP="00AB16C1" w14:paraId="169D1CC6" w14:textId="77777777">
      <w:pPr>
        <w:pStyle w:val="Visa"/>
        <w:widowControl/>
        <w:tabs>
          <w:tab w:val="clear" w:pos="357"/>
          <w:tab w:val="left" w:pos="567"/>
        </w:tabs>
        <w:ind w:left="567" w:hanging="567"/>
        <w:rPr>
          <w:szCs w:val="24"/>
        </w:rPr>
      </w:pPr>
      <w:r w:rsidRPr="00BB5DE9">
        <w:t>30.</w:t>
      </w:r>
      <w:r w:rsidRPr="00BB5DE9">
        <w:tab/>
        <w:t>crea le nuove linee di bilancio seguenti, in linea con i paragrafi 9 e 10:</w:t>
      </w:r>
    </w:p>
    <w:p w:rsidR="00AB16C1" w:rsidRPr="00BB5DE9" w:rsidP="00AB16C1" w14:paraId="24659719" w14:textId="77777777">
      <w:pPr>
        <w:pStyle w:val="Visa"/>
        <w:widowControl/>
        <w:tabs>
          <w:tab w:val="clear" w:pos="357"/>
        </w:tabs>
        <w:spacing w:after="120"/>
        <w:ind w:left="1134" w:hanging="425"/>
        <w:rPr>
          <w:szCs w:val="24"/>
        </w:rPr>
      </w:pPr>
      <w:r w:rsidRPr="00BB5DE9">
        <w:t>a)</w:t>
      </w:r>
      <w:r w:rsidRPr="00BB5DE9">
        <w:tab/>
        <w:t>16 07 XX – Prestito di sostegno per l'Ucraina – Costi aggiuntivi di gestione della liquidità con impegni pari a 35 000 000 EUR e relativo commento;</w:t>
      </w:r>
    </w:p>
    <w:p w:rsidR="00AB16C1" w:rsidRPr="00BB5DE9" w:rsidP="00AB16C1" w14:paraId="68625247" w14:textId="77777777">
      <w:pPr>
        <w:pStyle w:val="Visa"/>
        <w:widowControl/>
        <w:tabs>
          <w:tab w:val="clear" w:pos="357"/>
        </w:tabs>
        <w:ind w:left="1134" w:hanging="425"/>
        <w:rPr>
          <w:szCs w:val="24"/>
        </w:rPr>
      </w:pPr>
      <w:r w:rsidRPr="00BB5DE9">
        <w:t>b)</w:t>
      </w:r>
      <w:r w:rsidRPr="00BB5DE9">
        <w:tab/>
        <w:t>16 07 XX – Spese di sostegno per le attività di assunzione di prestiti e di gestione del debito del prestito a sostegno dell'Ucraina, con impegni pari a 1 000 000 EUR e relativo commento;</w:t>
      </w:r>
    </w:p>
    <w:p w:rsidR="00AB16C1" w:rsidRPr="00BB5DE9" w:rsidP="00AB16C1" w14:paraId="1EFB507A" w14:textId="77777777">
      <w:pPr>
        <w:pStyle w:val="Visa"/>
        <w:widowControl/>
        <w:tabs>
          <w:tab w:val="clear" w:pos="357"/>
          <w:tab w:val="left" w:pos="567"/>
        </w:tabs>
        <w:ind w:left="567" w:hanging="567"/>
        <w:rPr>
          <w:szCs w:val="24"/>
        </w:rPr>
      </w:pPr>
      <w:r w:rsidRPr="00BB5DE9">
        <w:t>31.</w:t>
      </w:r>
      <w:r w:rsidRPr="00BB5DE9">
        <w:tab/>
        <w:t>Modifica, se del caso, i commenti di bilancio;</w:t>
      </w:r>
    </w:p>
    <w:p w:rsidR="00AB16C1" w:rsidRPr="00BB5DE9" w:rsidP="00AB16C1" w14:paraId="2A4B1444" w14:textId="77777777">
      <w:pPr>
        <w:pStyle w:val="NormalHanging12a"/>
        <w:widowControl/>
        <w:rPr>
          <w:szCs w:val="24"/>
        </w:rPr>
      </w:pPr>
      <w:r w:rsidRPr="00BB5DE9">
        <w:rPr>
          <w:b/>
          <w:i/>
        </w:rPr>
        <w:t>Rubrica 7 – Pubblica amministrazione europea</w:t>
      </w:r>
    </w:p>
    <w:p w:rsidR="00AB16C1" w:rsidRPr="00BB5DE9" w:rsidP="00AB16C1" w14:paraId="1D55342B" w14:textId="77777777">
      <w:pPr>
        <w:pStyle w:val="NormalHanging12a"/>
        <w:widowControl/>
        <w:rPr>
          <w:szCs w:val="24"/>
        </w:rPr>
      </w:pPr>
      <w:r w:rsidRPr="00BB5DE9">
        <w:t>32.</w:t>
      </w:r>
      <w:r w:rsidRPr="00BB5DE9">
        <w:tab/>
        <w:t>ripristina gli importi tagliati dal Consiglio per un importo di 8 549 000 EUR e incrementa l'importo di 512 000 EUR in stanziamenti d'impegno rispetto al PB e di 9 061 500 EUR rispetto alla posizione del Consiglio al fine di rafforzare la dotazione dei seguenti programmi rispetto al PB:</w:t>
      </w:r>
    </w:p>
    <w:p w:rsidR="00AB16C1" w:rsidRPr="00BB5DE9" w:rsidP="00AB16C1" w14:paraId="68BF29B0" w14:textId="77777777">
      <w:pPr>
        <w:pStyle w:val="Visa"/>
        <w:widowControl/>
        <w:tabs>
          <w:tab w:val="clear" w:pos="357"/>
        </w:tabs>
        <w:spacing w:after="120"/>
        <w:ind w:left="1134" w:hanging="425"/>
        <w:rPr>
          <w:szCs w:val="24"/>
        </w:rPr>
      </w:pPr>
      <w:r w:rsidRPr="00BB5DE9">
        <w:t>a)</w:t>
      </w:r>
      <w:r w:rsidRPr="00BB5DE9">
        <w:tab/>
        <w:t>Ufficio europeo per la lotta antifrode (OLAF), di 512 000 EUR;</w:t>
      </w:r>
    </w:p>
    <w:p w:rsidR="00AB16C1" w:rsidRPr="00BB5DE9" w:rsidP="00AB16C1" w14:paraId="08AF3D80" w14:textId="77777777">
      <w:pPr>
        <w:pStyle w:val="Visa"/>
        <w:widowControl/>
        <w:spacing w:after="120"/>
        <w:ind w:left="1980" w:hanging="360"/>
        <w:rPr>
          <w:szCs w:val="24"/>
        </w:rPr>
      </w:pPr>
      <w:r w:rsidRPr="00BB5DE9">
        <w:t>i.</w:t>
      </w:r>
      <w:r w:rsidRPr="00BB5DE9">
        <w:tab/>
        <w:t>linea di bilancio 20 03 17 – Ufficio europeo per la lotta antifrode (OLAF), di 512 000 EUR, e la corrispondente linea di bilancio nell'allegato 6 06 01 01 01 – Retribuzioni e indennità, di 512 000 EUR;</w:t>
      </w:r>
    </w:p>
    <w:p w:rsidR="00AB16C1" w:rsidRPr="00BB5DE9" w:rsidP="00AB16C1" w14:paraId="45D714F1" w14:textId="77777777">
      <w:pPr>
        <w:pStyle w:val="Visa"/>
        <w:widowControl/>
        <w:tabs>
          <w:tab w:val="clear" w:pos="357"/>
        </w:tabs>
        <w:ind w:left="567" w:hanging="567"/>
        <w:rPr>
          <w:szCs w:val="24"/>
        </w:rPr>
      </w:pPr>
      <w:r w:rsidRPr="00BB5DE9">
        <w:t>33.</w:t>
      </w:r>
      <w:r w:rsidRPr="00BB5DE9">
        <w:tab/>
        <w:t>Modifica come segue la tabella dell'organico:</w:t>
      </w:r>
    </w:p>
    <w:p w:rsidR="00AB16C1" w:rsidRPr="00BB5DE9" w:rsidP="00AB16C1" w14:paraId="674B394A" w14:textId="77777777">
      <w:pPr>
        <w:pStyle w:val="Visa"/>
        <w:widowControl/>
        <w:tabs>
          <w:tab w:val="clear" w:pos="357"/>
        </w:tabs>
        <w:ind w:left="1134" w:hanging="425"/>
        <w:rPr>
          <w:szCs w:val="24"/>
        </w:rPr>
      </w:pPr>
      <w:r w:rsidRPr="00BB5DE9">
        <w:t>a)</w:t>
      </w:r>
      <w:r w:rsidRPr="00BB5DE9">
        <w:tab/>
        <w:t>S 02 06 – Ufficio europeo per la lotta antifrode (OLAF): + 4 posti;</w:t>
      </w:r>
    </w:p>
    <w:p w:rsidR="00AB16C1" w:rsidRPr="00BB5DE9" w:rsidP="00AB16C1" w14:paraId="4BE1C09F" w14:textId="77777777">
      <w:pPr>
        <w:pStyle w:val="Visa"/>
        <w:widowControl/>
        <w:tabs>
          <w:tab w:val="clear" w:pos="357"/>
          <w:tab w:val="left" w:pos="567"/>
        </w:tabs>
        <w:ind w:left="567" w:hanging="567"/>
        <w:rPr>
          <w:szCs w:val="24"/>
        </w:rPr>
      </w:pPr>
      <w:r w:rsidRPr="00BB5DE9">
        <w:t>34.</w:t>
      </w:r>
      <w:r w:rsidRPr="00BB5DE9">
        <w:tab/>
        <w:t>Modifica, se del caso, i commenti di bilancio;</w:t>
      </w:r>
    </w:p>
    <w:p w:rsidR="00AB16C1" w:rsidRPr="00BB5DE9" w:rsidP="00AB16C1" w14:paraId="2EA76D74" w14:textId="77777777">
      <w:pPr>
        <w:pStyle w:val="NormalHanging12a"/>
        <w:widowControl/>
        <w:spacing w:after="0"/>
        <w:rPr>
          <w:b/>
          <w:bCs/>
          <w:i/>
          <w:iCs/>
          <w:szCs w:val="24"/>
        </w:rPr>
      </w:pPr>
      <w:r w:rsidRPr="00BB5DE9">
        <w:rPr>
          <w:b/>
          <w:i/>
        </w:rPr>
        <w:t>Progetti pilota e azioni preparatorie (PP/AP)</w:t>
      </w:r>
    </w:p>
    <w:p w:rsidR="00AB16C1" w:rsidRPr="00BB5DE9" w:rsidP="00AB16C1" w14:paraId="681EBEE0" w14:textId="77777777">
      <w:pPr>
        <w:widowControl/>
        <w:spacing w:before="240"/>
        <w:ind w:left="567" w:hanging="567"/>
        <w:rPr>
          <w:szCs w:val="24"/>
        </w:rPr>
      </w:pPr>
      <w:r w:rsidRPr="00BB5DE9">
        <w:t>35.</w:t>
      </w:r>
      <w:r w:rsidRPr="00BB5DE9">
        <w:tab/>
        <w:t>rammenta l'importanza dei progetti pilota e delle azioni preparatorie (PP/AP) quali strumenti per la formulazione di priorità politiche e per l'introduzione di nuove iniziative che hanno il potenziale di trasformarsi in attività e programmi permanenti dell'Unione; adotta, a seguito di un'attenta analisi di tutte le proposte presentate e tenendo pienamente conto della valutazione della Commissione circa la loro conformità ai requisiti giuridici e la loro attuabilità, un pacchetto equilibrato di PP/AP che riflette le priorità politiche del Parlamento; invita la Commissione ad attuare rapidamente i PP e le AP e a riferire sulla loro performance e i risultati conseguiti sul terreno;</w:t>
      </w:r>
    </w:p>
    <w:p w:rsidR="00AB16C1" w:rsidRPr="00BB5DE9" w:rsidP="00AB16C1" w14:paraId="7E8D7901" w14:textId="77777777">
      <w:pPr>
        <w:widowControl/>
        <w:spacing w:before="240" w:after="240"/>
        <w:rPr>
          <w:b/>
          <w:bCs/>
          <w:i/>
          <w:iCs/>
          <w:szCs w:val="24"/>
        </w:rPr>
      </w:pPr>
      <w:r w:rsidRPr="00BB5DE9">
        <w:rPr>
          <w:b/>
          <w:i/>
        </w:rPr>
        <w:t>Pagamenti</w:t>
      </w:r>
    </w:p>
    <w:p w:rsidR="00AB16C1" w:rsidRPr="00BB5DE9" w:rsidP="00AB16C1" w14:paraId="14680F35" w14:textId="77777777">
      <w:pPr>
        <w:widowControl/>
        <w:ind w:left="567" w:hanging="567"/>
        <w:rPr>
          <w:szCs w:val="24"/>
        </w:rPr>
      </w:pPr>
      <w:r w:rsidRPr="00BB5DE9">
        <w:t>36.</w:t>
      </w:r>
      <w:r w:rsidRPr="00BB5DE9">
        <w:tab/>
        <w:t>sottolinea la necessità di prevedere, nel bilancio 2027, un livello sufficiente di stanziamenti di pagamento e decide pertanto, come regola generale, di aumentare gli stanziamenti di pagamento per le linee modificate in termini di stanziamenti d'impegno;</w:t>
      </w:r>
    </w:p>
    <w:p w:rsidR="00AB16C1" w:rsidRPr="00BB5DE9" w:rsidP="00AB16C1" w14:paraId="771C10D5" w14:textId="77777777">
      <w:pPr>
        <w:keepNext/>
        <w:widowControl/>
        <w:spacing w:before="240" w:after="240"/>
        <w:ind w:left="567" w:hanging="567"/>
        <w:rPr>
          <w:b/>
          <w:bCs/>
          <w:i/>
          <w:iCs/>
          <w:szCs w:val="24"/>
        </w:rPr>
      </w:pPr>
      <w:r w:rsidRPr="00BB5DE9">
        <w:rPr>
          <w:b/>
          <w:i/>
        </w:rPr>
        <w:t>Entrate</w:t>
      </w:r>
    </w:p>
    <w:p w:rsidR="00AB16C1" w:rsidRPr="00BB5DE9" w:rsidP="00AB16C1" w14:paraId="0ABEBE82" w14:textId="77777777">
      <w:pPr>
        <w:keepNext/>
        <w:widowControl/>
        <w:spacing w:after="120"/>
        <w:ind w:left="567" w:hanging="567"/>
        <w:rPr>
          <w:szCs w:val="24"/>
        </w:rPr>
      </w:pPr>
      <w:r w:rsidRPr="00BB5DE9">
        <w:t>37.</w:t>
      </w:r>
      <w:r w:rsidRPr="00BB5DE9">
        <w:tab/>
        <w:t>crea la nuova linea di bilancio seguente:</w:t>
      </w:r>
    </w:p>
    <w:p w:rsidR="00AB16C1" w:rsidRPr="00BB5DE9" w:rsidP="00AB16C1" w14:paraId="529F2FE8" w14:textId="77777777">
      <w:pPr>
        <w:keepNext/>
        <w:widowControl/>
        <w:ind w:left="1134" w:hanging="425"/>
        <w:rPr>
          <w:szCs w:val="24"/>
        </w:rPr>
      </w:pPr>
      <w:r w:rsidRPr="00BB5DE9">
        <w:t xml:space="preserve">a) </w:t>
      </w:r>
      <w:r w:rsidRPr="00BB5DE9">
        <w:tab/>
        <w:t>R 6 6 X – Entrate derivanti dalle misure di sequestro e confisca adottate dall'EPPO con impegni pari a p.m. EUR e relativo commento;</w:t>
      </w:r>
    </w:p>
    <w:p w:rsidR="00AB16C1" w:rsidRPr="00BB5DE9" w:rsidP="00AB16C1" w14:paraId="3FFDB757" w14:textId="77777777">
      <w:pPr>
        <w:widowControl/>
        <w:spacing w:before="240" w:after="240"/>
        <w:rPr>
          <w:b/>
          <w:bCs/>
          <w:i/>
          <w:iCs/>
          <w:szCs w:val="24"/>
        </w:rPr>
      </w:pPr>
      <w:r w:rsidRPr="00BB5DE9">
        <w:rPr>
          <w:b/>
          <w:i/>
        </w:rPr>
        <w:t>Dichiarazioni comuni</w:t>
      </w:r>
    </w:p>
    <w:p w:rsidR="00AB16C1" w:rsidRPr="00BB5DE9" w:rsidP="00AB16C1" w14:paraId="036F5934" w14:textId="77777777">
      <w:pPr>
        <w:widowControl/>
        <w:spacing w:after="240"/>
        <w:ind w:left="567" w:right="-428" w:hanging="567"/>
        <w:rPr>
          <w:szCs w:val="24"/>
        </w:rPr>
      </w:pPr>
      <w:r w:rsidRPr="00BB5DE9">
        <w:t>38.</w:t>
      </w:r>
      <w:r w:rsidRPr="00BB5DE9">
        <w:tab/>
        <w:t>insiste sulla necessità che la nomenclatura delle entrate sia coerente con l'articolo 311 TFUE, il quale stabilisce che, fatte salve le altre entrate, il bilancio è finanziato integralmente tramite risorse proprie; plaude, a tale riguardo, alla presentazione delle entrate nel PB, che fa riferimento a categorie di risorse proprie anziché ai contributi nazionali contrariamente alla dichiarazione n. 3 del Consiglio relativa alla sua posizione sul PB;</w:t>
      </w:r>
    </w:p>
    <w:p w:rsidR="00AB16C1" w:rsidRPr="00BB5DE9" w:rsidP="00AB16C1" w14:paraId="61BDD623" w14:textId="77777777">
      <w:pPr>
        <w:widowControl/>
        <w:spacing w:after="240"/>
        <w:ind w:left="567" w:hanging="567"/>
        <w:rPr>
          <w:b/>
          <w:bCs/>
          <w:i/>
          <w:iCs/>
          <w:szCs w:val="24"/>
        </w:rPr>
      </w:pPr>
      <w:r w:rsidRPr="00BB5DE9">
        <w:rPr>
          <w:b/>
          <w:i/>
        </w:rPr>
        <w:t>Altre sezioni – Sezione I – Parlamento europeo</w:t>
      </w:r>
    </w:p>
    <w:p w:rsidR="00AB16C1" w:rsidRPr="00BB5DE9" w:rsidP="00AB16C1" w14:paraId="4ACCEA09" w14:textId="77777777">
      <w:pPr>
        <w:pStyle w:val="Visa"/>
        <w:widowControl/>
        <w:tabs>
          <w:tab w:val="clear" w:pos="357"/>
          <w:tab w:val="left" w:pos="567"/>
        </w:tabs>
        <w:ind w:left="567" w:hanging="567"/>
        <w:rPr>
          <w:szCs w:val="24"/>
        </w:rPr>
      </w:pPr>
      <w:r w:rsidRPr="00BB5DE9">
        <w:t>39.</w:t>
      </w:r>
      <w:r w:rsidRPr="00BB5DE9">
        <w:tab/>
        <w:t>ribadisce le proprie priorità per il prossimo esercizio finanziario, segnatamente il costante rafforzamento dell'assistenza amministrativa al Parlamento per lo svolgimento delle sue funzioni fondamentali di colegislatore, autorità di bilancio e autorità di discarico, la transizione digitale, tra cui gli investimenti nell'infrastruttura per la cibersicurezza e l'intelligenza artificiale, nonché il Parlamento verde;</w:t>
      </w:r>
    </w:p>
    <w:p w:rsidR="00AB16C1" w:rsidRPr="00BB5DE9" w:rsidP="00AB16C1" w14:paraId="323B35A2" w14:textId="77777777">
      <w:pPr>
        <w:pStyle w:val="Visa"/>
        <w:widowControl/>
        <w:tabs>
          <w:tab w:val="clear" w:pos="357"/>
        </w:tabs>
        <w:ind w:left="567" w:hanging="567"/>
        <w:rPr>
          <w:szCs w:val="24"/>
        </w:rPr>
      </w:pPr>
      <w:r w:rsidRPr="00BB5DE9">
        <w:t>40.</w:t>
      </w:r>
      <w:r w:rsidRPr="00BB5DE9">
        <w:tab/>
        <w:t>rileva che il Consiglio ha mantenuto invariato il livello complessivo del bilancio per la sezione I, fissato a 2 656 435 753 EUR per il 2027, in linea con lo stato di previsione delle entrate e delle spese del Parlamento per l'esercizio 2027;</w:t>
      </w:r>
    </w:p>
    <w:p w:rsidR="00AB16C1" w:rsidRPr="00BB5DE9" w:rsidP="00AB16C1" w14:paraId="248563F1" w14:textId="77777777">
      <w:pPr>
        <w:pStyle w:val="Visa"/>
        <w:widowControl/>
        <w:tabs>
          <w:tab w:val="clear" w:pos="357"/>
        </w:tabs>
        <w:ind w:left="567" w:hanging="567"/>
        <w:rPr>
          <w:szCs w:val="24"/>
        </w:rPr>
      </w:pPr>
      <w:r w:rsidRPr="00BB5DE9">
        <w:t>41.</w:t>
      </w:r>
      <w:r w:rsidRPr="00BB5DE9">
        <w:tab/>
        <w:t>ricorda le sentenze del Tribunale del 17 dicembre 2025</w:t>
      </w:r>
      <w:r>
        <w:rPr>
          <w:szCs w:val="24"/>
          <w:vertAlign w:val="superscript"/>
        </w:rPr>
        <w:footnoteReference w:id="14"/>
      </w:r>
      <w:r w:rsidRPr="00BB5DE9">
        <w:t xml:space="preserve"> che confermano la legittimità della decisione dell'Ufficio di presidenza del 2023 sul Fondo di vitalizio volontario per quanto riguarda l'importo nominale dei diritti pensionistici, l'indicizzazione annuale e l'età pensionabile; rimarca che l'Ufficio di presidenza, nella riunione del 15 giugno 2026, ha riconosciuto che, a causa dell'esaurimento degli attivi del fondo di vitalizio </w:t>
      </w:r>
      <w:r w:rsidRPr="00BB5DE9">
        <w:t>volontario, i pagamenti pensionistici nell'ambito di tale regime saranno eseguiti direttamente a valere sul bilancio del Parlamento a decorrere dal 1º gennaio 2027;</w:t>
      </w:r>
    </w:p>
    <w:p w:rsidR="00AB16C1" w:rsidRPr="00BB5DE9" w:rsidP="00AB16C1" w14:paraId="2C57D118" w14:textId="77777777">
      <w:pPr>
        <w:pStyle w:val="Visa"/>
        <w:widowControl/>
        <w:tabs>
          <w:tab w:val="clear" w:pos="357"/>
        </w:tabs>
        <w:ind w:left="567" w:right="-711" w:hanging="567"/>
        <w:rPr>
          <w:szCs w:val="24"/>
        </w:rPr>
      </w:pPr>
      <w:r w:rsidRPr="00BB5DE9">
        <w:t>42.</w:t>
      </w:r>
      <w:r w:rsidRPr="00BB5DE9">
        <w:tab/>
        <w:t>riconosce che gli stanziamenti corrispondenti agli obblighi di pagamento delle pensioni devono essere inclusi nel bilancio 2027 del Parlamento; ricorda che non sarebbe stato possibile includere tali stanziamenti nello stato di previsione del Parlamento per il 2027, in quanto la decisione dell'Ufficio di presidenza che disciplina il trasferimento dei pagamenti pensionistici al bilancio del Parlamento è stata adottata dopo l'adozione dello stato di previsione;</w:t>
      </w:r>
    </w:p>
    <w:p w:rsidR="00AB16C1" w:rsidRPr="00BB5DE9" w:rsidP="00AB16C1" w14:paraId="3FFD5691" w14:textId="77777777">
      <w:pPr>
        <w:pStyle w:val="Visa"/>
        <w:widowControl/>
        <w:tabs>
          <w:tab w:val="clear" w:pos="357"/>
        </w:tabs>
        <w:ind w:left="567" w:right="-286" w:hanging="567"/>
        <w:rPr>
          <w:szCs w:val="24"/>
        </w:rPr>
      </w:pPr>
      <w:r w:rsidRPr="00BB5DE9">
        <w:t>43.</w:t>
      </w:r>
      <w:r w:rsidRPr="00BB5DE9">
        <w:tab/>
        <w:t>incrementa l'entità degli stanziamenti per la linea di bilancio 1033 "Regime di vitalizio volontario dei deputati" di 10 028 000 EUR rispetto al PB per permettere al Parlamento di effettuare i versamenti pensionistici in linea con la decisione dell'Ufficio di presidenza;</w:t>
      </w:r>
    </w:p>
    <w:p w:rsidR="00AB16C1" w:rsidRPr="00BB5DE9" w:rsidP="00AB16C1" w14:paraId="74EED223" w14:textId="77777777">
      <w:pPr>
        <w:pStyle w:val="Visa"/>
        <w:widowControl/>
        <w:tabs>
          <w:tab w:val="clear" w:pos="357"/>
        </w:tabs>
        <w:ind w:left="567" w:right="-286" w:hanging="567"/>
        <w:rPr>
          <w:szCs w:val="24"/>
        </w:rPr>
      </w:pPr>
      <w:r w:rsidRPr="00BB5DE9">
        <w:t>44.</w:t>
      </w:r>
      <w:r w:rsidRPr="00BB5DE9">
        <w:tab/>
        <w:t>sottolinea che tale incremento non incide sulle spese non statutarie e che per tale categoria di spese il bilancio del Parlamento continua a rispettare una crescita massima del 2 %;</w:t>
      </w:r>
    </w:p>
    <w:p w:rsidR="00AB16C1" w:rsidRPr="00BB5DE9" w:rsidP="00AB16C1" w14:paraId="09008446" w14:textId="77777777">
      <w:pPr>
        <w:pStyle w:val="Visa"/>
        <w:keepNext/>
        <w:widowControl/>
        <w:ind w:left="567" w:hanging="567"/>
        <w:rPr>
          <w:b/>
          <w:bCs/>
          <w:i/>
          <w:iCs/>
          <w:szCs w:val="24"/>
        </w:rPr>
      </w:pPr>
      <w:r w:rsidRPr="00BB5DE9">
        <w:rPr>
          <w:b/>
          <w:i/>
        </w:rPr>
        <w:t>Altre sezioni – Sezioni IV-X</w:t>
      </w:r>
    </w:p>
    <w:p w:rsidR="00AB16C1" w:rsidRPr="00BB5DE9" w:rsidP="00AB16C1" w14:paraId="73DF3922" w14:textId="77777777">
      <w:pPr>
        <w:pStyle w:val="Visa"/>
        <w:keepNext/>
        <w:widowControl/>
        <w:tabs>
          <w:tab w:val="clear" w:pos="357"/>
        </w:tabs>
        <w:ind w:left="567" w:right="-286" w:hanging="567"/>
        <w:rPr>
          <w:bCs/>
          <w:iCs/>
          <w:szCs w:val="24"/>
        </w:rPr>
      </w:pPr>
      <w:r w:rsidRPr="00BB5DE9">
        <w:t>45.</w:t>
      </w:r>
      <w:r w:rsidRPr="00BB5DE9">
        <w:tab/>
        <w:t>ribadisce la propria profonda preoccupazione per la situazione della rubrica 7 dell'attuale QFP; ricorda che i vincoli sono il risultato dei tagli apportati dal Consiglio alla proposta iniziale della Commissione, peraltro già assai esigua, al momento di adottare l'attuale QFP 2021-2027; deplora la contrarietà del Consiglio alla proposta della Commissione di innalzare il massimale della rubrica 7 in occasione della revisione del QFP a decorrere dal 2024; sottolinea che la revisione del QFP non è riuscita a risolvere la questione del massimale della rubrica 7; mette in evidenza il fatto che il margine negativo previsto per il 2027 presuppone il ricorso, a tal fine, agli strumenti speciali della rubrica 7;</w:t>
      </w:r>
    </w:p>
    <w:p w:rsidR="00AB16C1" w:rsidRPr="00BB5DE9" w:rsidP="00AB16C1" w14:paraId="559FC709" w14:textId="77777777">
      <w:pPr>
        <w:pStyle w:val="Visa"/>
        <w:widowControl/>
        <w:tabs>
          <w:tab w:val="clear" w:pos="357"/>
        </w:tabs>
        <w:ind w:left="567" w:right="-286" w:hanging="567"/>
        <w:rPr>
          <w:szCs w:val="24"/>
        </w:rPr>
      </w:pPr>
      <w:r w:rsidRPr="00BB5DE9">
        <w:t>46.</w:t>
      </w:r>
      <w:r w:rsidRPr="00BB5DE9">
        <w:tab/>
        <w:t>condanna l'approccio orizzontale della Commissione volto a ridurre lo stato di previsione delle istituzioni al fine di rispettare il principio della stabilità del personale e ad incrementare del 2 % al massimo le spese non connesse alle retribuzioni, a prescindere dai nuovi compiti assegnati alle istituzioni dalla Commissione e dai colegislatori; sottolinea le conseguenze negative di tale approccio sull'attività delle istituzioni;</w:t>
      </w:r>
    </w:p>
    <w:p w:rsidR="00AB16C1" w:rsidRPr="00BB5DE9" w:rsidP="00AB16C1" w14:paraId="6DA37D82" w14:textId="77777777">
      <w:pPr>
        <w:pStyle w:val="Visa"/>
        <w:widowControl/>
        <w:tabs>
          <w:tab w:val="clear" w:pos="357"/>
        </w:tabs>
        <w:ind w:left="567" w:hanging="567"/>
        <w:rPr>
          <w:szCs w:val="24"/>
        </w:rPr>
      </w:pPr>
      <w:r w:rsidRPr="00BB5DE9">
        <w:t>47.</w:t>
      </w:r>
      <w:r w:rsidRPr="00BB5DE9">
        <w:tab/>
        <w:t>sottolinea che la maggior parte dei bilanci delle istituzioni è fissata da obblighi statutari o contrattuali ed è influenzata dall'inflazione;</w:t>
      </w:r>
    </w:p>
    <w:p w:rsidR="00AB16C1" w:rsidRPr="00BB5DE9" w:rsidP="00AB16C1" w14:paraId="3412CAE1" w14:textId="77777777">
      <w:pPr>
        <w:pStyle w:val="Visa"/>
        <w:widowControl/>
        <w:tabs>
          <w:tab w:val="clear" w:pos="357"/>
        </w:tabs>
        <w:ind w:left="567" w:right="-428" w:hanging="567"/>
        <w:rPr>
          <w:szCs w:val="24"/>
        </w:rPr>
      </w:pPr>
      <w:r w:rsidRPr="00BB5DE9">
        <w:t>48.</w:t>
      </w:r>
      <w:r w:rsidRPr="00BB5DE9">
        <w:tab/>
        <w:t>evidenzia la necessità che le istituzioni dispongano di personale sufficiente per adempiere al loro mandato e adattarsi alle sfide; accoglie con favore i continui sforzi compiuti dalle istituzioni per riassegnare il personale e trovare ulteriori miglioramenti in termini di efficienza, pur riconoscendo i limiti di tale approccio nel corso degli anni; insiste sulla inevitabilità di incrementare il personale ove necessario, affinché le istituzioni possano adempiere al loro mandato;</w:t>
      </w:r>
    </w:p>
    <w:p w:rsidR="00AB16C1" w:rsidRPr="00BB5DE9" w:rsidP="00AB16C1" w14:paraId="4FFDEDE2" w14:textId="77777777">
      <w:pPr>
        <w:pStyle w:val="Visa"/>
        <w:widowControl/>
        <w:tabs>
          <w:tab w:val="clear" w:pos="357"/>
        </w:tabs>
        <w:ind w:left="567" w:right="-711" w:hanging="567"/>
        <w:rPr>
          <w:szCs w:val="24"/>
        </w:rPr>
      </w:pPr>
      <w:r w:rsidRPr="00BB5DE9">
        <w:t>49.</w:t>
      </w:r>
      <w:r w:rsidRPr="00BB5DE9">
        <w:tab/>
        <w:t>incrementa, nei seguenti casi debitamente giustificati, l'entità degli stanziamenti o del personale rispetto al PB, al fine di garantire alle istituzioni risorse sufficienti per svolgere in modo adeguato, efficiente ed efficace il crescente numero di compiti derivanti dal loro mandato e attrezzarle per le sfide future, in particolare per quanto riguarda la cibersicurezza e l'intelligenza artificiale; sottolinea che la maggior parte dei problemi sono problemi ricorrenti che non sono stati risolti nel quadro delle precedenti procedure di bilancio; propone pertanto di:</w:t>
      </w:r>
    </w:p>
    <w:p w:rsidR="00AB16C1" w:rsidRPr="00BB5DE9" w:rsidP="00AB16C1" w14:paraId="5B9BD044" w14:textId="77777777">
      <w:pPr>
        <w:pStyle w:val="Visa"/>
        <w:widowControl/>
        <w:tabs>
          <w:tab w:val="clear" w:pos="357"/>
          <w:tab w:val="left" w:pos="1276"/>
        </w:tabs>
        <w:ind w:left="1134" w:hanging="425"/>
        <w:rPr>
          <w:szCs w:val="24"/>
        </w:rPr>
      </w:pPr>
      <w:r w:rsidRPr="00BB5DE9">
        <w:t>a)</w:t>
      </w:r>
      <w:r w:rsidRPr="00BB5DE9">
        <w:tab/>
        <w:t>ripristinare l'entità degli stanziamenti in linea con lo stato di previsione del Garante europeo della protezione dei dati e del Servizio europeo per l'azione esterna incrementando il livello degli stanziamenti rispetto al PB per le linee di bilancio che coprono il fabbisogno informatico e operativo e la sicurezza degli edifici, in particolare nelle delegazioni dell'Unione;</w:t>
      </w:r>
    </w:p>
    <w:p w:rsidR="00AB16C1" w:rsidRPr="00BB5DE9" w:rsidP="00AB16C1" w14:paraId="0391A064" w14:textId="77777777">
      <w:pPr>
        <w:pStyle w:val="Visa"/>
        <w:widowControl/>
        <w:tabs>
          <w:tab w:val="left" w:pos="1276"/>
        </w:tabs>
        <w:ind w:left="1134" w:right="-428" w:hanging="425"/>
        <w:rPr>
          <w:szCs w:val="24"/>
        </w:rPr>
      </w:pPr>
      <w:r w:rsidRPr="00BB5DE9">
        <w:t>b)</w:t>
      </w:r>
      <w:r w:rsidRPr="00BB5DE9">
        <w:tab/>
        <w:t>ripristinare l'entità degli stanziamenti in parte in linea con lo stato di previsione della Corte di giustizia dell'Unione europea, del Comitato economico e sociale europeo, del Comitato europeo delle regioni, del Garante europeo della protezione dei dati e del Servizio europeo per l'azione esterna, incrementando gli stanziamenti rispetto al PB per le linee di bilancio che coprono il fabbisogno in termini di sicurezza e informatica, tra cui la cibersicurezza, nonché operativi, tra cui la traduzione e gli edifici;</w:t>
      </w:r>
    </w:p>
    <w:p w:rsidR="00AB16C1" w:rsidRPr="00BB5DE9" w:rsidP="00AB16C1" w14:paraId="04C2CE16" w14:textId="77777777">
      <w:pPr>
        <w:pStyle w:val="Visa"/>
        <w:widowControl/>
        <w:tabs>
          <w:tab w:val="clear" w:pos="357"/>
        </w:tabs>
        <w:ind w:left="1134" w:hanging="425"/>
        <w:rPr>
          <w:szCs w:val="24"/>
        </w:rPr>
      </w:pPr>
      <w:r w:rsidRPr="00BB5DE9">
        <w:t>c)</w:t>
      </w:r>
      <w:r w:rsidRPr="00BB5DE9">
        <w:tab/>
        <w:t>incrementare le tabelle dell'organico rispetto al PB con gli stanziamenti corrispondenti, in linea con le richieste delle istituzioni per il Comitato europeo delle regioni e il Garante europeo della protezione dei dati; incrementare infine le tabelle dell'organico rispetto al PB con gli stanziamenti corrispondenti, in parte in linea con le richieste delle istituzioni per la Corte dei conti europea, il Comitato economico e sociale europeo, il Mediatore europeo e il Garante europeo della protezione dei dati, affinché siano in grado di far fronte all'aumento del carico di lavoro e alle sfide in materia di cibersicurezza;</w:t>
      </w:r>
    </w:p>
    <w:p w:rsidR="0075766E" w:rsidRPr="00BB5DE9" w:rsidP="00AB16C1" w14:paraId="1D1227E5" w14:textId="4068C67C">
      <w:pPr>
        <w:pStyle w:val="NormalHanging12a"/>
      </w:pPr>
      <w:r w:rsidRPr="00BB5DE9">
        <w:t>50.</w:t>
      </w:r>
      <w:r w:rsidRPr="00BB5DE9">
        <w:tab/>
        <w:t>incarica la sua Presidente di trasmettere la presente risoluzione, accompagnata dagli emendamenti al progetto di bilancio generale, al Consiglio, alla Commissione, alle altre istituzioni e agli organi interessati nonché ai parlamenti nazionali.</w:t>
      </w:r>
    </w:p>
    <w:p w:rsidR="0075766E" w:rsidRPr="00BB5DE9" w:rsidP="0075766E" w14:paraId="5C912FD1" w14:textId="77777777"/>
    <w:p w:rsidR="00F55F30" w:rsidRPr="00BB5DE9" w:rsidP="003B3824" w14:paraId="6D0F33CC" w14:textId="77777777"/>
    <w:p w:rsidR="00484767" w:rsidRPr="00BB5DE9" w:rsidP="003B3824" w14:paraId="3C42D3DA" w14:textId="77777777">
      <w:pPr>
        <w:sectPr w:rsidSect="00F40CBC">
          <w:headerReference w:type="even" r:id="rId7"/>
          <w:headerReference w:type="default" r:id="rId8"/>
          <w:footerReference w:type="even" r:id="rId9"/>
          <w:footerReference w:type="default" r:id="rId10"/>
          <w:headerReference w:type="first" r:id="rId11"/>
          <w:footerReference w:type="first" r:id="rId12"/>
          <w:footnotePr>
            <w:numRestart w:val="eachSect"/>
          </w:footnotePr>
          <w:endnotePr>
            <w:numFmt w:val="decimal"/>
          </w:endnotePr>
          <w:pgSz w:w="11906" w:h="16838" w:code="9"/>
          <w:pgMar w:top="1134" w:right="1418" w:bottom="1134" w:left="1418" w:header="1134" w:footer="567" w:gutter="0"/>
          <w:cols w:space="720"/>
          <w:noEndnote/>
          <w:titlePg/>
        </w:sectPr>
      </w:pPr>
    </w:p>
    <w:p w:rsidR="00484767" w:rsidRPr="00BB5DE9" w:rsidP="007041CC" w14:paraId="123D4924" w14:textId="536E36A6">
      <w:pPr>
        <w:pStyle w:val="PageHeading"/>
      </w:pPr>
      <w:bookmarkStart w:id="3" w:name="FootprintPageRR"/>
      <w:bookmarkStart w:id="4" w:name="_Toc243036417"/>
      <w:r w:rsidRPr="00BB5DE9">
        <w:t>ALLEGATO: DICHIARAZIONI DEI CONTRIBUTI</w:t>
      </w:r>
      <w:bookmarkEnd w:id="4"/>
    </w:p>
    <w:p w:rsidR="00484767" w:rsidRPr="00BB5DE9" w:rsidP="00131E4E" w14:paraId="542B9FF3" w14:textId="2D234BC8">
      <w:pPr>
        <w:pStyle w:val="Normal24a"/>
        <w:jc w:val="center"/>
        <w:rPr>
          <w:lang w:val="it-IT"/>
        </w:rPr>
      </w:pPr>
      <w:r w:rsidRPr="00BB5DE9">
        <w:rPr>
          <w:rFonts w:ascii="Arial" w:hAnsi="Arial" w:cs="Arial"/>
          <w:b/>
          <w:snapToGrid w:val="0"/>
          <w:lang w:val="it-IT"/>
        </w:rPr>
        <w:t>DICHIARAZIONE DEI CONTRIBUTI DI NILS UŠAKOVS</w:t>
      </w:r>
    </w:p>
    <w:p w:rsidR="00484767" w:rsidRPr="00BB5DE9" w:rsidP="00B31C6A" w14:paraId="28A41E1F" w14:textId="29BA88D8">
      <w:pPr>
        <w:pStyle w:val="Normal24a"/>
        <w:spacing w:after="240"/>
        <w:rPr>
          <w:lang w:val="it-IT"/>
        </w:rPr>
      </w:pPr>
      <w:r w:rsidRPr="00BB5DE9">
        <w:rPr>
          <w:rStyle w:val="HideTWBExt"/>
          <w:lang w:val="it-IT"/>
        </w:rPr>
        <w:t>&lt;FootprintIntro&gt;</w:t>
      </w:r>
      <w:r w:rsidRPr="00BB5DE9">
        <w:rPr>
          <w:lang w:val="it-IT"/>
        </w:rPr>
        <w:t>Il relatore dichiara, sotto la sua esclusiva responsabilità, di non aver incluso nella sua relazione alcun contributo di rappresentanti di interessi che rientrano nell'ambito di applicazione dell'accordo interistituzionale su un registro per la trasparenza obbligatorio</w:t>
      </w:r>
      <w:r>
        <w:rPr>
          <w:rStyle w:val="FootnoteReference"/>
          <w:lang w:val="it-IT"/>
        </w:rPr>
        <w:footnoteReference w:id="15"/>
      </w:r>
      <w:r w:rsidRPr="00BB5DE9">
        <w:rPr>
          <w:lang w:val="it-IT"/>
        </w:rPr>
        <w:t>, o di rappresentanti delle pubbliche autorità di paesi terzi, incluse le loro missioni diplomatiche e ambasciate, da enumerare nel presente allegato in virtù dell'allegato I, articolo 8, del regolamento.</w:t>
      </w:r>
      <w:r w:rsidRPr="00BB5DE9">
        <w:rPr>
          <w:rStyle w:val="HideTWBExt"/>
          <w:lang w:val="it-IT"/>
        </w:rPr>
        <w:t>&lt;/FootprintIntro&gt;</w:t>
      </w:r>
    </w:p>
    <w:p w:rsidR="00484767" w:rsidRPr="00BB5DE9" w:rsidP="00484767" w14:paraId="424F2EF6" w14:textId="77777777">
      <w:pPr>
        <w:pStyle w:val="PageHeading"/>
      </w:pPr>
    </w:p>
    <w:p w:rsidR="00484767" w:rsidRPr="00BB5DE9" w:rsidP="00484767" w14:paraId="72C96B41" w14:textId="3E1F07C1">
      <w:pPr>
        <w:pStyle w:val="Normal24a"/>
        <w:jc w:val="center"/>
        <w:rPr>
          <w:lang w:val="it-IT"/>
        </w:rPr>
      </w:pPr>
      <w:r w:rsidRPr="00BB5DE9">
        <w:rPr>
          <w:rFonts w:ascii="Arial" w:hAnsi="Arial" w:cs="Arial"/>
          <w:b/>
          <w:snapToGrid w:val="0"/>
          <w:lang w:val="it-IT"/>
        </w:rPr>
        <w:t>DICHIARAZIONE DEI CONTRIBUTI DI MICHALIS HADJIPANTELA</w:t>
      </w:r>
    </w:p>
    <w:p w:rsidR="00484767" w:rsidRPr="00BB5DE9" w:rsidP="00484767" w14:paraId="34249F4A" w14:textId="1877AF14">
      <w:pPr>
        <w:pStyle w:val="Normal24a"/>
        <w:spacing w:after="240"/>
        <w:rPr>
          <w:lang w:val="it-IT"/>
        </w:rPr>
      </w:pPr>
      <w:r w:rsidRPr="00BB5DE9">
        <w:rPr>
          <w:rStyle w:val="HideTWBExt"/>
          <w:lang w:val="it-IT"/>
        </w:rPr>
        <w:t>&lt;FootprintIntro&gt;</w:t>
      </w:r>
      <w:r w:rsidRPr="00BB5DE9">
        <w:rPr>
          <w:lang w:val="it-IT"/>
        </w:rPr>
        <w:t>Il relatore dichiara, sotto la sua esclusiva responsabilità, di non aver incluso nella sua relazione alcun contributo di rappresentanti di interessi che rientrano nell'ambito di applicazione dell'accordo interistituzionale su un registro per la trasparenza obbligatorio</w:t>
      </w:r>
      <w:r>
        <w:rPr>
          <w:rStyle w:val="FootnoteReference"/>
          <w:lang w:val="it-IT"/>
        </w:rPr>
        <w:footnoteReference w:id="16"/>
      </w:r>
      <w:r w:rsidRPr="00BB5DE9">
        <w:rPr>
          <w:lang w:val="it-IT"/>
        </w:rPr>
        <w:t>, o di rappresentanti delle pubbliche autorità di paesi terzi, incluse le loro missioni diplomatiche e ambasciate, da enumerare nel presente allegato in virtù dell'allegato I, articolo 8, del regolamento.</w:t>
      </w:r>
      <w:r w:rsidRPr="00BB5DE9">
        <w:rPr>
          <w:rStyle w:val="HideTWBExt"/>
          <w:lang w:val="it-IT"/>
        </w:rPr>
        <w:t>&lt;/FootprintIntro&gt;</w:t>
      </w:r>
    </w:p>
    <w:bookmarkEnd w:id="3"/>
    <w:p w:rsidR="00484767" w:rsidRPr="00BB5DE9" w:rsidP="003B3824" w14:paraId="19EF4DCA" w14:textId="77777777">
      <w:pPr>
        <w:rPr>
          <w:snapToGrid/>
          <w:lang w:eastAsia="en-GB"/>
        </w:rPr>
      </w:pPr>
    </w:p>
    <w:p w:rsidR="00F82C70" w:rsidRPr="00BB5DE9" w:rsidP="00F82C70" w14:paraId="5A024C4E" w14:textId="77777777">
      <w:pPr>
        <w:rPr>
          <w:lang w:eastAsia="en-GB"/>
        </w:rPr>
      </w:pPr>
    </w:p>
    <w:p w:rsidR="00F82C70" w:rsidRPr="00BB5DE9" w:rsidP="00F82C70" w14:paraId="28974734" w14:textId="77777777">
      <w:pPr>
        <w:rPr>
          <w:lang w:eastAsia="en-GB"/>
        </w:rPr>
      </w:pPr>
    </w:p>
    <w:p w:rsidR="00AE735B" w:rsidRPr="00BB5DE9" w:rsidP="00F82C70" w14:paraId="1700D404" w14:textId="77777777">
      <w:pPr>
        <w:rPr>
          <w:snapToGrid/>
          <w:lang w:eastAsia="en-GB"/>
        </w:rPr>
        <w:sectPr w:rsidSect="00AE735B">
          <w:footnotePr>
            <w:numRestart w:val="eachSect"/>
          </w:footnotePr>
          <w:endnotePr>
            <w:numFmt w:val="decimal"/>
          </w:endnotePr>
          <w:pgSz w:w="11906" w:h="16838" w:code="9"/>
          <w:pgMar w:top="1134" w:right="1418" w:bottom="1134" w:left="1418" w:header="1134" w:footer="567" w:gutter="0"/>
          <w:cols w:space="720"/>
          <w:noEndnote/>
          <w:docGrid w:linePitch="326"/>
        </w:sectPr>
      </w:pPr>
    </w:p>
    <w:p w:rsidR="00AE735B" w:rsidRPr="00BB5DE9" w:rsidP="00AE735B" w14:paraId="5151961B" w14:textId="77777777">
      <w:pPr>
        <w:pStyle w:val="Normal24a"/>
        <w:rPr>
          <w:lang w:val="it-IT"/>
        </w:rPr>
      </w:pPr>
      <w:r w:rsidRPr="00BB5DE9">
        <w:rPr>
          <w:rStyle w:val="HideTWBExt"/>
          <w:lang w:val="it-IT"/>
        </w:rPr>
        <w:t>&lt;Date&gt;</w:t>
      </w:r>
      <w:r w:rsidRPr="00BB5DE9">
        <w:rPr>
          <w:rStyle w:val="HideTWBInt"/>
          <w:lang w:val="it-IT"/>
        </w:rPr>
        <w:t>{10/09/2026}</w:t>
      </w:r>
      <w:r w:rsidRPr="00BB5DE9">
        <w:rPr>
          <w:lang w:val="it-IT"/>
        </w:rPr>
        <w:t>10.9.2026</w:t>
      </w:r>
      <w:r w:rsidRPr="00BB5DE9">
        <w:rPr>
          <w:rStyle w:val="HideTWBExt"/>
          <w:lang w:val="it-IT"/>
        </w:rPr>
        <w:t>&lt;/Date&gt;</w:t>
      </w:r>
    </w:p>
    <w:p w:rsidR="00AE735B" w:rsidRPr="00BB5DE9" w:rsidP="00AE735B" w14:paraId="74834166" w14:textId="7C7CF2C1">
      <w:pPr>
        <w:pStyle w:val="PageHeading"/>
      </w:pPr>
      <w:r w:rsidRPr="00BB5DE9">
        <w:rPr>
          <w:rStyle w:val="HideTWBExt"/>
          <w:b w:val="0"/>
        </w:rPr>
        <w:t>&lt;CommissionResp&gt;</w:t>
      </w:r>
      <w:bookmarkStart w:id="5" w:name="OpinionToc_1"/>
      <w:bookmarkStart w:id="6" w:name="_Toc243036418"/>
      <w:r w:rsidRPr="00BB5DE9">
        <w:t>PARERE DELLA COMMISSIONE PER GLI AFFARI ESTERI</w:t>
      </w:r>
      <w:bookmarkEnd w:id="5"/>
      <w:bookmarkEnd w:id="6"/>
      <w:r w:rsidRPr="00BB5DE9">
        <w:rPr>
          <w:rStyle w:val="HideTWBExt"/>
          <w:b w:val="0"/>
        </w:rPr>
        <w:t>&lt;/CommissionResp&gt;</w:t>
      </w:r>
    </w:p>
    <w:p w:rsidR="00AE735B" w:rsidRPr="00BB5DE9" w:rsidP="00AE735B" w14:paraId="6A70EAC0" w14:textId="77777777">
      <w:pPr>
        <w:pStyle w:val="Normal12a"/>
        <w:rPr>
          <w:lang w:val="it-IT"/>
        </w:rPr>
      </w:pPr>
      <w:r w:rsidRPr="00BB5DE9">
        <w:rPr>
          <w:rStyle w:val="HideTWBExt"/>
          <w:lang w:val="it-IT"/>
        </w:rPr>
        <w:t>&lt;CommissionInt&gt;</w:t>
      </w:r>
      <w:r w:rsidRPr="00BB5DE9">
        <w:rPr>
          <w:lang w:val="it-IT"/>
        </w:rPr>
        <w:t>destinato alla commissione per i bilanci</w:t>
      </w:r>
      <w:r w:rsidRPr="00BB5DE9">
        <w:rPr>
          <w:rStyle w:val="HideTWBExt"/>
          <w:lang w:val="it-IT"/>
        </w:rPr>
        <w:t>&lt;/CommissionInt&gt;</w:t>
      </w:r>
    </w:p>
    <w:p w:rsidR="00AE735B" w:rsidRPr="00BB5DE9" w:rsidP="00AE735B" w14:paraId="08EABBF8" w14:textId="77777777">
      <w:r w:rsidRPr="00BB5DE9">
        <w:rPr>
          <w:rStyle w:val="HideTWBExt"/>
        </w:rPr>
        <w:t>&lt;Titre&gt;</w:t>
      </w:r>
      <w:r w:rsidRPr="00BB5DE9">
        <w:t xml:space="preserve">sul bilancio generale dell'Unione europea per l'esercizio 2027 – Tutte le </w:t>
      </w:r>
    </w:p>
    <w:p w:rsidR="00AE735B" w:rsidRPr="00BB5DE9" w:rsidP="00AE735B" w14:paraId="3039C202" w14:textId="77777777">
      <w:r w:rsidRPr="00BB5DE9">
        <w:t>sezioni</w:t>
      </w:r>
      <w:r w:rsidRPr="00BB5DE9">
        <w:rPr>
          <w:rStyle w:val="HideTWBExt"/>
        </w:rPr>
        <w:t>&lt;/Titre&gt;</w:t>
      </w:r>
    </w:p>
    <w:p w:rsidR="00AE735B" w:rsidRPr="00BB5DE9" w:rsidP="00AE735B" w14:paraId="32D480F2" w14:textId="77777777">
      <w:pPr>
        <w:pStyle w:val="Normal12a"/>
        <w:rPr>
          <w:lang w:val="it-IT"/>
        </w:rPr>
      </w:pPr>
      <w:r w:rsidRPr="00BB5DE9">
        <w:rPr>
          <w:rStyle w:val="HideTWBExt"/>
          <w:lang w:val="it-IT"/>
        </w:rPr>
        <w:t>&lt;DocRef&gt;</w:t>
      </w:r>
      <w:r w:rsidRPr="00BB5DE9">
        <w:rPr>
          <w:lang w:val="it-IT"/>
        </w:rPr>
        <w:t>(2026/0196(BUD))</w:t>
      </w:r>
      <w:r w:rsidRPr="00BB5DE9">
        <w:rPr>
          <w:rStyle w:val="HideTWBExt"/>
          <w:lang w:val="it-IT"/>
        </w:rPr>
        <w:t>&lt;/DocRef&gt;</w:t>
      </w:r>
    </w:p>
    <w:p w:rsidR="00AE735B" w:rsidRPr="00BB5DE9" w:rsidP="00AE735B" w14:paraId="1D63A2ED" w14:textId="77777777">
      <w:pPr>
        <w:pStyle w:val="Normal24a"/>
        <w:rPr>
          <w:lang w:val="it-IT"/>
        </w:rPr>
      </w:pPr>
      <w:r w:rsidRPr="00BB5DE9">
        <w:rPr>
          <w:lang w:val="it-IT"/>
        </w:rPr>
        <w:t xml:space="preserve">Relatore per parere: </w:t>
      </w:r>
      <w:r w:rsidRPr="00BB5DE9">
        <w:rPr>
          <w:rStyle w:val="HideTWBExt"/>
          <w:lang w:val="it-IT"/>
        </w:rPr>
        <w:t>&lt;Depute&gt;</w:t>
      </w:r>
      <w:r w:rsidRPr="00BB5DE9">
        <w:rPr>
          <w:lang w:val="it-IT"/>
        </w:rPr>
        <w:t>Matjaž Nemec</w:t>
      </w:r>
      <w:r w:rsidRPr="00BB5DE9">
        <w:rPr>
          <w:rStyle w:val="HideTWBExt"/>
          <w:lang w:val="it-IT"/>
        </w:rPr>
        <w:t>&lt;/Depute&gt;</w:t>
      </w:r>
    </w:p>
    <w:p w:rsidR="00AE735B" w:rsidRPr="00BB5DE9" w:rsidP="00AE735B" w14:paraId="126E1DDD" w14:textId="77777777"/>
    <w:p w:rsidR="00AE735B" w:rsidRPr="00BB5DE9" w:rsidP="00BB2AC1" w14:paraId="257C70DE" w14:textId="1A6FDF78">
      <w:pPr>
        <w:widowControl/>
        <w:tabs>
          <w:tab w:val="center" w:pos="4677"/>
        </w:tabs>
      </w:pPr>
    </w:p>
    <w:p w:rsidR="00AE735B" w:rsidRPr="00BB5DE9" w:rsidP="003E06CF" w14:paraId="3202B65D" w14:textId="79B38291">
      <w:pPr>
        <w:pStyle w:val="PageHeadingNotTOC"/>
      </w:pPr>
      <w:r w:rsidRPr="00BB5DE9">
        <w:t>PARERE</w:t>
      </w:r>
    </w:p>
    <w:p w:rsidR="00AE735B" w:rsidRPr="00BB5DE9" w:rsidP="003E06CF" w14:paraId="2D1ACCBA" w14:textId="77777777">
      <w:pPr>
        <w:pStyle w:val="Normal12a"/>
        <w:rPr>
          <w:lang w:val="it-IT"/>
        </w:rPr>
      </w:pPr>
      <w:r w:rsidRPr="00BB5DE9">
        <w:rPr>
          <w:lang w:val="it-IT"/>
        </w:rPr>
        <w:t>La commissione per gli affari esteri invita la commissione per i bilanci, competente per il merito, a includere nella proposta di risoluzione che approverà quanto segue:</w:t>
      </w:r>
    </w:p>
    <w:p w:rsidR="00AE735B" w:rsidRPr="00BB5DE9" w:rsidP="00C92319" w14:paraId="782CC539" w14:textId="77777777">
      <w:pPr>
        <w:pStyle w:val="NormalHanging12a"/>
      </w:pPr>
      <w:r w:rsidRPr="00BB5DE9">
        <w:t>A.</w:t>
      </w:r>
      <w:r w:rsidRPr="00BB5DE9">
        <w:tab/>
        <w:t>considerando che il bilancio dell'UE per il 2027 sarà l'ultimo bilancio nel quadro dell'attuale QFP e offre pertanto uno scarso margine di manovra;</w:t>
      </w:r>
    </w:p>
    <w:p w:rsidR="00AE735B" w:rsidRPr="00BB5DE9" w:rsidP="00C92319" w14:paraId="68970AC0" w14:textId="77777777">
      <w:pPr>
        <w:pStyle w:val="NormalHanging12a"/>
      </w:pPr>
      <w:r w:rsidRPr="00BB5DE9">
        <w:t>B.</w:t>
      </w:r>
      <w:r w:rsidRPr="00BB5DE9">
        <w:tab/>
        <w:t>considerando che il bilancio dell'UE rappresenta uno strumento fondamentale per rafforzare il ruolo dell'Unione europea sulla scena mondiale e portare avanti i suoi obiettivi di politica estera;</w:t>
      </w:r>
    </w:p>
    <w:p w:rsidR="00AE735B" w:rsidRPr="00BB5DE9" w:rsidP="00C92319" w14:paraId="05844916" w14:textId="77777777">
      <w:pPr>
        <w:pStyle w:val="NormalHanging12a"/>
      </w:pPr>
      <w:r w:rsidRPr="00BB5DE9">
        <w:t>C.</w:t>
      </w:r>
      <w:r w:rsidRPr="00BB5DE9">
        <w:tab/>
        <w:t>considerando che i finanziamenti erogati a titolo della rubrica 6, anche dopo la revisione del QFP nel 2024, si sono rivelati insufficienti per rispondere alle crescenti sfide geopolitiche e di sicurezza che l'Unione si trova ad affrontare, tra cui la guerra di aggressione della Russia contro l'Ucraina, l'instabilità in Medio Oriente, le minacce ibride, la migrazione irregolare e la crescente concorrenza strategica;</w:t>
      </w:r>
    </w:p>
    <w:p w:rsidR="00AE735B" w:rsidRPr="00BB5DE9" w:rsidP="00C92319" w14:paraId="3EF48298" w14:textId="77777777">
      <w:pPr>
        <w:pStyle w:val="NormalHanging12a"/>
      </w:pPr>
      <w:r w:rsidRPr="00BB5DE9">
        <w:t>1.</w:t>
      </w:r>
      <w:r w:rsidRPr="00BB5DE9">
        <w:tab/>
        <w:t>esprime profonda preoccupazione per il fatto che la rimanente riserva NDICI ammonta a soli 159 milioni di EUR, una cifra chiaramente insufficiente alla luce dell'instabilità del contesto geopolitico e della quasi certezza che nel 2027 si verificheranno crisi che avranno conseguenze finanziarie; deplora che la Commissione continui a utilizzare la riserva per sostenere iniziative geopolitiche e commerciali, come l'erogazione di 500 milioni di EUR nel quadro della conclusione dell'accordo commerciale UE-India nel gennaio 2026; insiste sul fatto che tale pratica compromette la natura della riserva, destinata ad affrontare le crisi e le emergenze; deplora che tale procedura privi il Parlamento europeo della sua prerogativa di supervisione e controllo in quanto autorità di bilancio; sottolinea la necessità di preservare una flessibilità sufficiente nell'ambito della rubrica 6 per consentire all'Unione di rispondere rapidamente a crisi geopolitiche impreviste, salvaguardando nel contempo le priorità a lungo termine in materia di politica esterna;</w:t>
      </w:r>
    </w:p>
    <w:p w:rsidR="00AE735B" w:rsidRPr="00BB5DE9" w:rsidP="00C92319" w14:paraId="4542E480" w14:textId="77777777">
      <w:pPr>
        <w:pStyle w:val="NormalHanging12a"/>
      </w:pPr>
      <w:r w:rsidRPr="00BB5DE9">
        <w:t>2.</w:t>
      </w:r>
      <w:r w:rsidRPr="00BB5DE9">
        <w:tab/>
        <w:t>osserva che il progetto di bilancio presentato dalla Commissione è ampiamente in linea con la programmazione finanziaria della rubrica 6; osserva che l'anticipazione della spesa all'inizio di questo QFP ha ora conseguenze con riduzioni parzialmente significative degli stanziamenti di impegno rispetto al 2026;</w:t>
      </w:r>
    </w:p>
    <w:p w:rsidR="00AE735B" w:rsidRPr="00BB5DE9" w:rsidP="00C92319" w14:paraId="3244CFD4" w14:textId="77777777">
      <w:pPr>
        <w:pStyle w:val="NormalHanging12a"/>
      </w:pPr>
      <w:r w:rsidRPr="00BB5DE9">
        <w:t>3.</w:t>
      </w:r>
      <w:r w:rsidRPr="00BB5DE9">
        <w:tab/>
        <w:t>osserva che il margine disponibile nell'ambito della rubrica 6 è di soli 100 milioni di EUR, il che lascia poca flessibilità all'autorità di bilancio per adeguare il bilancio a favore dei settori prioritari; aumenta tuttavia gli stanziamenti destinati al vicinato orientale e meridionale, nonché ad altre linee di bilancio nell'ambito dell'NDICI e dello strumento di assistenza preadesione, da finanziare mediante il riequilibrio dei tassi di rimborso degli oneri finanziari;</w:t>
      </w:r>
    </w:p>
    <w:p w:rsidR="00AE735B" w:rsidRPr="00BB5DE9" w:rsidP="00C92319" w14:paraId="14E5BCE1" w14:textId="77777777">
      <w:pPr>
        <w:pStyle w:val="NormalHanging12a"/>
      </w:pPr>
      <w:r w:rsidRPr="00BB5DE9">
        <w:t>4.</w:t>
      </w:r>
      <w:r w:rsidRPr="00BB5DE9">
        <w:tab/>
        <w:t>sottolinea che le esigenze finanziarie sia per il vicinato orientale che per quello meridionale sono di gran lunga maggiori e devono essere affrontate con urgenza al momento di decidere in merito al QFP 2028-2034;</w:t>
      </w:r>
    </w:p>
    <w:p w:rsidR="00AE735B" w:rsidRPr="00BB5DE9" w:rsidP="00C92319" w14:paraId="4C8BB471" w14:textId="77777777">
      <w:pPr>
        <w:pStyle w:val="NormalHanging12a"/>
      </w:pPr>
      <w:r w:rsidRPr="00BB5DE9">
        <w:t>5.</w:t>
      </w:r>
      <w:r w:rsidRPr="00BB5DE9">
        <w:tab/>
        <w:t>sottolinea l'importanza di preservare programmi geografici e tematici prevedibili a lungo termine, garantendo nel contempo sufficiente flessibilità per rispondere alle crisi emergenti; deplora la riduzione degli stanziamenti di impegno e di pagamento nei programmi tematici dell'NDICI;</w:t>
      </w:r>
    </w:p>
    <w:p w:rsidR="00AE735B" w:rsidRPr="00BB5DE9" w:rsidP="00C92319" w14:paraId="26962F70" w14:textId="77777777">
      <w:pPr>
        <w:pStyle w:val="NormalHanging12a"/>
      </w:pPr>
      <w:r w:rsidRPr="00BB5DE9">
        <w:t>6.</w:t>
      </w:r>
      <w:r w:rsidRPr="00BB5DE9">
        <w:tab/>
        <w:t>ribadisce che l'allargamento dell'UE rimane un investimento geopolitico strategico a favore della pace, della sicurezza e della prosperità dell'Unione; chiede un sostegno finanziario sufficiente ai paesi candidati che attuano riforme connesse all'adesione, garantendo nel contempo che tutta l'assistenza finanziaria rimanga rigorosamente basata sul merito e subordinata al conseguimento di progressi tangibili nel rispetto dei criteri di adesione; sottolinea che i progressi compiuti in materia di allineamento alla politica estera e di sicurezza comune dell'Unione dovrebbero continuare a rappresentare un fattore importante nell'assegnazione dell'assistenza finanziaria esterna;</w:t>
      </w:r>
    </w:p>
    <w:p w:rsidR="00AE735B" w:rsidRPr="00BB5DE9" w:rsidP="00C92319" w14:paraId="6AA6B41A" w14:textId="77777777">
      <w:pPr>
        <w:pStyle w:val="NormalHanging12a"/>
      </w:pPr>
      <w:r w:rsidRPr="00BB5DE9">
        <w:t>7.</w:t>
      </w:r>
      <w:r w:rsidRPr="00BB5DE9">
        <w:tab/>
        <w:t>chiede di aumentare il sostegno a favore dei paesi partner al fine di rafforzare la resilienza contro le minacce ibride, gli attacchi informatici, nonché la manipolazione delle informazioni e le ingerenze da parte di attori stranieri, anche attraverso la comunicazione strategica, la cibersicurezza e i media indipendenti;</w:t>
      </w:r>
    </w:p>
    <w:p w:rsidR="00AE735B" w:rsidRPr="00BB5DE9" w:rsidP="00C92319" w14:paraId="1858302D" w14:textId="77777777">
      <w:pPr>
        <w:pStyle w:val="NormalHanging12a"/>
      </w:pPr>
      <w:r w:rsidRPr="00BB5DE9">
        <w:t>8.</w:t>
      </w:r>
      <w:r w:rsidRPr="00BB5DE9">
        <w:tab/>
        <w:t>sottolinea che gli strumenti di finanziamento esterno dell'Unione dovrebbero contribuire a rafforzare la sicurezza e la resilienza dei paesi partner e integrare gli obiettivi più ampi dell'Unione in materia di sicurezza e difesa, anche sostenendo, se del caso, il rafforzamento della base industriale della difesa dell'Unione e degli interessi europei in materia di sicurezza;</w:t>
      </w:r>
    </w:p>
    <w:p w:rsidR="00AE735B" w:rsidRPr="00BB5DE9" w:rsidP="00C92319" w14:paraId="0A3CE2F3" w14:textId="77777777">
      <w:pPr>
        <w:pStyle w:val="NormalHanging12a"/>
      </w:pPr>
      <w:r w:rsidRPr="00BB5DE9">
        <w:t>9.</w:t>
      </w:r>
      <w:r w:rsidRPr="00BB5DE9">
        <w:tab/>
        <w:t>sottolinea che tutta l'assistenza umanitaria dell'Unione dovrebbe essere fornita nel rispetto dei principi di neutralità, trasparenza e responsabilità ed essere accompagnata da solidi meccanismi di controllo per garantire che i fondi dell'Unione non possano essere dirottati o utilizzati impropriamente; sollecita un aumento sostanziale e costante degli aiuti umanitari dell'UE per rispondere efficacemente all'aggravarsi delle crisi mondiali, all'insicurezza alimentare e agli sfollamenti, in particolare per colmare le lacune strutturali nei finanziamenti umanitari mondiali derivanti dai tagli operati da altri importanti donatori internazionali;</w:t>
      </w:r>
    </w:p>
    <w:p w:rsidR="00AE735B" w:rsidRPr="00BB5DE9" w:rsidP="00C92319" w14:paraId="5CDB4B62" w14:textId="77777777">
      <w:pPr>
        <w:pStyle w:val="NormalHanging12a"/>
      </w:pPr>
      <w:r w:rsidRPr="00BB5DE9">
        <w:t>10.</w:t>
      </w:r>
      <w:r w:rsidRPr="00BB5DE9">
        <w:tab/>
        <w:t xml:space="preserve">chiede risorse sufficienti per l'attuazione della strategia "Global Gateway", con particolare attenzione alle infrastrutture sostenibili, alla sicurezza energetica e alla connettività digitale, alla resilienza delle catene di approvvigionamento, ai corridoi di trasporto, all'accesso alle materie prime critiche e ai partenariati strategici con paesi che condividono gli stessi principi, potenziando in tal modo la sicurezza economica dell'Unione, riducendo le dipendenze strategiche e rafforzando la sua influenza geopolitica, promuovendo nel contempo norme rigorose in materia di trasparenza e sostenibilità; </w:t>
      </w:r>
    </w:p>
    <w:p w:rsidR="00AE735B" w:rsidRPr="00BB5DE9" w:rsidP="00C92319" w14:paraId="63E7D6E6" w14:textId="77777777">
      <w:pPr>
        <w:pStyle w:val="NormalHanging12a"/>
      </w:pPr>
      <w:r w:rsidRPr="00BB5DE9">
        <w:t>11.</w:t>
      </w:r>
      <w:r w:rsidRPr="00BB5DE9">
        <w:tab/>
        <w:t>sottolinea che l'attuazione del finanziamento esterno dell'Unione dovrebbe massimizzare il valore aggiunto europeo promuovendo gli investimenti strategici, rafforzando la competitività globale dell'Unione e favorendo i suoi interessi geopolitici;</w:t>
      </w:r>
    </w:p>
    <w:p w:rsidR="00AE735B" w:rsidRPr="00BB5DE9" w:rsidP="00C92319" w14:paraId="502C2FC3" w14:textId="77777777">
      <w:pPr>
        <w:pStyle w:val="NormalHanging12a"/>
      </w:pPr>
      <w:r w:rsidRPr="00BB5DE9">
        <w:t>12.</w:t>
      </w:r>
      <w:r w:rsidRPr="00BB5DE9">
        <w:tab/>
        <w:t xml:space="preserve"> ricorda che la cooperazione allo sviluppo rimane uno strumento fondamentale per affrontare le cause profonde della fragilità e dell'instabilità; chiede ulteriori finanziamenti per l'Africa orientale e centrale al fine di sostenere l'impegno regionale e i partenariati bilaterali incentrati sull'eliminazione della povertà, la prevenzione dei conflitti e gli investimenti sostenibili a lungo termine;</w:t>
      </w:r>
    </w:p>
    <w:p w:rsidR="00AE735B" w:rsidRPr="00BB5DE9" w:rsidP="00C92319" w14:paraId="4A312F7F" w14:textId="77777777">
      <w:pPr>
        <w:pStyle w:val="NormalHanging12a"/>
      </w:pPr>
      <w:r w:rsidRPr="00BB5DE9">
        <w:t>13.</w:t>
      </w:r>
      <w:r w:rsidRPr="00BB5DE9">
        <w:tab/>
        <w:t>sottolinea che un settore spaziale europeo forte è fondamentale per l'autonomia strategica aperta, la connettività globale e la protezione delle infrastrutture critiche; chiede un maggiore contributo della rubrica 6 al programma dell'Unione per una connettività sicura al fine di garantire l'accesso a livello mondiale a comunicazioni satellitari governative sicure, agevolando le azioni esterne, la diplomazia e una gestione agile delle crisi;</w:t>
      </w:r>
    </w:p>
    <w:p w:rsidR="00AE735B" w:rsidRPr="00BB5DE9" w:rsidP="00C92319" w14:paraId="5BF7E4F1" w14:textId="77777777">
      <w:pPr>
        <w:pStyle w:val="NormalHanging12a"/>
      </w:pPr>
      <w:r w:rsidRPr="00BB5DE9">
        <w:t>14.</w:t>
      </w:r>
      <w:r w:rsidRPr="00BB5DE9">
        <w:tab/>
        <w:t>sottolinea che, alla luce della persistente instabilità nelle zone di conflitto e delle più ampie tensioni geopolitiche, l'UE deve intensificare il suo sostegno finanziario mirato alla sicurezza nucleare internazionale, alla radioprotezione e alle garanzie, al fine di contribuire a prevenire i rischi nucleari e garantire la sicurezza degli impianti vulnerabili a livello globale;</w:t>
      </w:r>
    </w:p>
    <w:p w:rsidR="00AE735B" w:rsidRPr="00BB5DE9" w:rsidP="00C92319" w14:paraId="5016C82B" w14:textId="77777777">
      <w:pPr>
        <w:pStyle w:val="NormalHanging12a"/>
      </w:pPr>
      <w:r w:rsidRPr="00BB5DE9">
        <w:t>15.</w:t>
      </w:r>
      <w:r w:rsidRPr="00BB5DE9">
        <w:tab/>
        <w:t>ritiene che il regresso democratico in Serbia abbia raggiunto un livello che merita l'intervento dell'autorità di bilancio; colloca pertanto in riserva il 50 % degli stanziamenti previsti per la Serbia nell'ambito dello strumento per le riforme e la crescita per i Balcani occidentali; sottolinea, tuttavia, che i fondi a sostegno della società civile e dei media indipendenti non dovrebbero essere interessati da tale misura e dovrebbero invece essere aumentati; esorta la Commissione ad applicare rigorosamente le disposizioni in materia di condizionalità nell'ambito dello strumento per le riforme e la crescita e a garantire che eventuali erogazioni future siano soggette a progressi tangibili in materia di Stato di diritto, governance democratica, libertà dei media, lotta alla corruzione e allineamento alla politica estera e di sicurezza comune dell'Unione;</w:t>
      </w:r>
    </w:p>
    <w:p w:rsidR="00AE735B" w:rsidRPr="00BB5DE9" w:rsidP="00C92319" w14:paraId="1509F290" w14:textId="77777777">
      <w:pPr>
        <w:pStyle w:val="NormalHanging12a"/>
      </w:pPr>
      <w:r w:rsidRPr="00BB5DE9">
        <w:t>16.</w:t>
      </w:r>
      <w:r w:rsidRPr="00BB5DE9">
        <w:tab/>
        <w:t>sottolinea che il proseguimento del sostegno finanziario dell'UE all'Albania deve contribuire a rafforzare la governance democratica, lo Stato di diritto, la trasparenza in merito al sostegno finanziario dell'UE e la fiducia dei cittadini nelle istituzioni, anche sostenendo misure che rispondano alle legittime preoccupazioni dei cittadini, ad esempio lo smantellamento effettivo delle strutture della criminalità organizzata;</w:t>
      </w:r>
    </w:p>
    <w:p w:rsidR="00AE735B" w:rsidRPr="00BB5DE9" w:rsidP="00C92319" w14:paraId="39AB4917" w14:textId="77777777">
      <w:pPr>
        <w:pStyle w:val="NormalHanging12a"/>
      </w:pPr>
      <w:r w:rsidRPr="00BB5DE9">
        <w:t>17.</w:t>
      </w:r>
      <w:r w:rsidRPr="00BB5DE9">
        <w:tab/>
        <w:t>ribadisce la necessità di fornire un sostegno finanziario prevedibile e costante alla Moldova al fine di rafforzare le istituzioni democratiche, la resilienza alle minacce ibride e l'attuazione delle riforme connesse all'adesione, nonché di potenziare la sua capacità di affrontare le sfide in materia di sicurezza nel contesto della guerra di aggressione che la Russia continua a condurre nei confronti dell'Ucraina;</w:t>
      </w:r>
    </w:p>
    <w:p w:rsidR="00AE735B" w:rsidRPr="00BB5DE9" w:rsidP="00C92319" w14:paraId="7B1FDBD5" w14:textId="77777777">
      <w:pPr>
        <w:pStyle w:val="NormalHanging12a"/>
      </w:pPr>
      <w:r w:rsidRPr="00BB5DE9">
        <w:t>18.</w:t>
      </w:r>
      <w:r w:rsidRPr="00BB5DE9">
        <w:tab/>
        <w:t>chiede che l'UE continui a sostenere la pace sostenibile e la stabilità regionale nel Caucaso meridionale, anche mediante l'adozione di misure volte a rafforzare la fiducia, nonché attraverso la connettività e l'assistenza alle popolazioni colpite dai conflitti; chiede di mantenere il congelamento del sostegno finanziario al governo georgiano, poiché quest'ultimo continua a minare le fondamenta della democrazia in Georgia, compromettendo i valori dell'UE quali la democrazia, lo Stato di diritto e il pluralismo dei media;</w:t>
      </w:r>
    </w:p>
    <w:p w:rsidR="00AE735B" w:rsidRPr="00BB5DE9" w:rsidP="00C92319" w14:paraId="10416A7A" w14:textId="77777777">
      <w:pPr>
        <w:pStyle w:val="NormalHanging12a"/>
      </w:pPr>
      <w:r w:rsidRPr="00BB5DE9">
        <w:t>19.</w:t>
      </w:r>
      <w:r w:rsidRPr="00BB5DE9">
        <w:tab/>
        <w:t>invita la Commissione a sfruttare appieno i meccanismi di condizionalità applicabili in caso di gravi e persistenti carenze nei settori di cui sopra;</w:t>
      </w:r>
    </w:p>
    <w:p w:rsidR="00AE735B" w:rsidRPr="00BB5DE9" w:rsidP="00C92319" w14:paraId="389E739B" w14:textId="77777777">
      <w:pPr>
        <w:pStyle w:val="NormalHanging12a"/>
      </w:pPr>
      <w:r w:rsidRPr="00BB5DE9">
        <w:t>20.</w:t>
      </w:r>
      <w:r w:rsidRPr="00BB5DE9">
        <w:tab/>
        <w:t>evidenzia la necessità di un'assistenza finanziaria prevedibile nell'ambito dello strumento per l'Ucraina e del prestito a sostegno dell'Ucraina, al fine di garantire la stabilità macrofinanziaria del paese, la sua ripresa e la sua difesa dalla guerra di aggressione condotta dalla Russia;</w:t>
      </w:r>
    </w:p>
    <w:p w:rsidR="00AE735B" w:rsidRPr="00BB5DE9" w:rsidP="00C92319" w14:paraId="31C5DE5F" w14:textId="77777777">
      <w:pPr>
        <w:pStyle w:val="NormalHanging12a"/>
      </w:pPr>
      <w:r w:rsidRPr="00BB5DE9">
        <w:t>21.</w:t>
      </w:r>
      <w:r w:rsidRPr="00BB5DE9">
        <w:tab/>
        <w:t>chiede un finanziamento costante, prevedibile e adeguato per il vicinato orientale, incluso il sostegno alla promozione della democrazia, dei diritti umani e dello Stato di diritto in questa regione; sollecita un rafforzamento della lotta contro la manipolazione delle informazioni e le ingerenze da parte di attori stranieri, nonché contro le minacce ibride, in paesi come l'Armenia, la Georgia e la Moldova, comprese le campagne di disinformazione che prendono di mira i processi elettorali; chiede, a tale proposito, un sostegno adeguato alla DG ENEST; sottolinea che gli stanziamenti a titolo della rubrica 6 dovrebbero riflettere le priorità strategiche dell'Unione e un approccio a 360 gradi alla sicurezza europea;</w:t>
      </w:r>
    </w:p>
    <w:p w:rsidR="00AE735B" w:rsidRPr="00BB5DE9" w:rsidP="00C92319" w14:paraId="0EF0ACEB" w14:textId="77777777">
      <w:pPr>
        <w:pStyle w:val="NormalHanging12a"/>
      </w:pPr>
      <w:r w:rsidRPr="00BB5DE9">
        <w:t>22.</w:t>
      </w:r>
      <w:r w:rsidRPr="00BB5DE9">
        <w:tab/>
        <w:t>invita a rafforzare il vicinato meridionale nell'ambito della rubrica 6 con finanziamenti stabili, adeguati e prevedibili, resi necessari dai vari conflitti e dalle varie sfide che interessano contemporaneamente il Medio Oriente, e a sostenere il lavoro delle agenzie delle Nazioni Unite nella regione; sottolinea che la ricostruzione di Gaza, del Libano e della Siria impone tale rafforzamento di bilancio; deplora la considerevole riduzione iniziale degli stanziamenti di impegno e di pagamento; accoglie con favore, d'altro canto, il rafforzamento delle missioni PSDC, tra cui l'EU BAM Rafah; chiede, a tale proposito, risorse finanziarie e umane adeguate per la DG MENA e il SEAE; esorta inoltre l'UE a creare una dotazione finanziaria specifica per garantire un sostegno finanziario stabile, adeguato e prevedibile alla ricostruzione di Gaza; sottolinea che qualsiasi esborso a titolo del bilancio dell'Unione a favore di paesi terzi dovrebbe essere subordinato al rispetto dello Stato di diritto, dei diritti umani, dei principi democratici e del diritto internazionale;</w:t>
      </w:r>
    </w:p>
    <w:p w:rsidR="00AE735B" w:rsidRPr="00BB5DE9" w:rsidP="00C92319" w14:paraId="42267502" w14:textId="77777777">
      <w:pPr>
        <w:pStyle w:val="NormalHanging12a"/>
      </w:pPr>
      <w:r w:rsidRPr="00BB5DE9">
        <w:t>23.</w:t>
      </w:r>
      <w:r w:rsidRPr="00BB5DE9">
        <w:tab/>
        <w:t xml:space="preserve">insiste sul fatto che il rafforzamento dell'Autorità palestinese e il sostegno a favore della continuità territoriale della Cisgiordania sono presupposti inderogabili per un processo di pace sostenibile a lungo termine che conduca alla soluzione dei due Stati; ricorda che </w:t>
      </w:r>
      <w:r w:rsidRPr="00BB5DE9">
        <w:t>l'Agenzia delle Nazioni Unite per il soccorso e l'occupazione dei profughi palestinesi nel Vicino Oriente (UNWRA) è la principale struttura di assistenza umanitaria a Gaza e in Cisgiordania nonché un prestatore di servizi essenziali nella regione e possiede pertanto l'infrastruttura unica, le capacità tecniche e operative e il personale necessari per prestare servizi vitali nell'intera regione; invita pertanto la Commissione europea a versare il suo contributo finanziario all'UNRWA nel modo e nei tempi opportuni e sottolinea l'importanza di garantire la piena trasparenza, la responsabilità e la prosecuzione delle riforme nell'erogazione dell'assistenza finanziata dall'Unione, mantenendo nel contempo misure anticorruzione globali;</w:t>
      </w:r>
    </w:p>
    <w:p w:rsidR="00AE735B" w:rsidRPr="00BB5DE9" w:rsidP="00C92319" w14:paraId="5863AC0F" w14:textId="77777777">
      <w:pPr>
        <w:pStyle w:val="NormalHanging12a"/>
      </w:pPr>
      <w:r w:rsidRPr="00BB5DE9">
        <w:t>24.</w:t>
      </w:r>
      <w:r w:rsidRPr="00BB5DE9">
        <w:tab/>
        <w:t>chiede un aumento dei finanziamenti destinati ai programmi tematici dell'NDICI, in particolare le azioni a favore dei diritti umani e della democrazia e i programmi per le organizzazioni della società civile, al fine di promuovere la democrazia e difendere l'universalità dei diritti umani e lo Stato di diritto, nonché il multilateralismo, dagli attacchi dei regimi autoritari, anche vista la sospensione dei fondi USAID a sostegno di tali azioni e la deplorevole riduzione dell'assistenza bilaterale da parte di altri paesi; chiede un aumento sostanziale e prevedibile degli impegni finanziari dell'UE per promuovere la stabilità e la resilienza in risposta alle crisi geopolitiche e strutturali in Africa; esorta ad affrontare la carenza critica di finanziamenti per l'Africa subsahariana e il Sahel al fine di sostenere un partenariato regionale a lungo termine volto ad affrontare le cause profonde dell'instabilità, con una forte attenzione alla riduzione delle disuguaglianze e alla promozione dello sviluppo umano e della resilienza socioeconomica;</w:t>
      </w:r>
    </w:p>
    <w:p w:rsidR="00AE735B" w:rsidRPr="00BB5DE9" w:rsidP="00C92319" w14:paraId="02CCAF98" w14:textId="77777777">
      <w:pPr>
        <w:pStyle w:val="NormalHanging12a"/>
      </w:pPr>
      <w:r w:rsidRPr="00BB5DE9">
        <w:t>25.</w:t>
      </w:r>
      <w:r w:rsidRPr="00BB5DE9">
        <w:tab/>
        <w:t>sottolinea l'importanza vitale delle organizzazioni della società civile nel rafforzare i principi democratici, lo Stato di diritto e il rispetto dei diritti fondamentali e riconosce il loro contributo fondamentale alla promozione della governance democratica, della responsabilità e della resilienza istituzionale; sottolinea che le organizzazioni della società civile sono il bersaglio principale di un numero crescente di regimi autoritari in tutto il mondo e chiede un sostegno prevedibile, flessibile e costante, compresi l'assistenza legale e i finanziamenti operativi di base, per contrastare il fenomeno della riduzione dello spazio civico e proteggere i difensori dei diritti umani e i giornalisti indipendenti che si trovano ad affrontare tali ambienti ostili; chiede, in tale contesto, un rafforzamento di bilancio mirato per sostenere gli sforzi locali di costruzione della pace e di riconciliazione bicomunitaria, in particolare garantendo finanziamenti adeguati per il Comitato sulle persone scomparse a Cipro e sostenendo la Commissione tecnica bicomunitaria sul patrimonio culturale;</w:t>
      </w:r>
    </w:p>
    <w:p w:rsidR="00AE735B" w:rsidRPr="00BB5DE9" w:rsidP="00C92319" w14:paraId="0178FC2A" w14:textId="77777777">
      <w:pPr>
        <w:pStyle w:val="NormalHanging12a"/>
      </w:pPr>
      <w:r w:rsidRPr="00BB5DE9">
        <w:t>26.</w:t>
      </w:r>
      <w:r w:rsidRPr="00BB5DE9">
        <w:tab/>
        <w:t xml:space="preserve">sottolinea che, nel contesto della guerra di aggressione tuttora in corso della Russia contro l'Ucraina e della complicità del regime di Lukashenka in tale guerra, il sostegno costante alla società civile russa e bielorussa indipendente, ai difensori dei diritti umani, ai giornalisti e ai media indipendenti, alle ONG, agli attivisti anti-guerra e pro-democrazia, sia all'interno dei rispettivi paesi che in esilio, costituisce parte integrante della più ampia strategia di deterrenza e resilienza dell'Unione nei confronti della Russia; sottolinea il loro ruolo essenziale nel contrastare la propaganda autoritaria, la disinformazione, la repressione transnazionale e le ingerenze straniere, nonché nel preservare le fondamenta del cambiamento democratico; chiede pertanto finanziamenti dell'Unione adeguati, prevedibili, specifici e flessibili, compresi i finanziamenti </w:t>
      </w:r>
      <w:r w:rsidRPr="00BB5DE9">
        <w:t>pluriennali di base e di emergenza, per garantirne la sicurezza, la continuità operativa e la sostenibilità a lungo termine;</w:t>
      </w:r>
    </w:p>
    <w:p w:rsidR="00AE735B" w:rsidRPr="00BB5DE9" w:rsidP="00C92319" w14:paraId="196E959A" w14:textId="77777777">
      <w:pPr>
        <w:pStyle w:val="NormalHanging12a"/>
      </w:pPr>
      <w:r w:rsidRPr="00BB5DE9">
        <w:t>27.</w:t>
      </w:r>
      <w:r w:rsidRPr="00BB5DE9">
        <w:tab/>
        <w:t>ritiene che, dato il drammatico aumento dei casi di esilio forzato di difensori dei diritti umani, giornalisti, ONG e attivisti pro-democrazia provenienti da paesi come il Nicaragua, la Bielorussia, l'Afghanistan, la Russia, il Myanmar/Birmania, il Sudan e il Venezuela, tra gli altri, sia opportuno privilegiare e rafforzare finanziamenti prevedibili, specifici e flessibili a favore di tutti coloro che sono costretti all'esilio a causa della repressione e della criminalizzazione nei loro paesi;</w:t>
      </w:r>
    </w:p>
    <w:p w:rsidR="00AE735B" w:rsidRPr="00BB5DE9" w:rsidP="00C92319" w14:paraId="426E0437" w14:textId="77777777">
      <w:pPr>
        <w:pStyle w:val="NormalHanging12a"/>
      </w:pPr>
      <w:r w:rsidRPr="00BB5DE9">
        <w:t>28.</w:t>
      </w:r>
      <w:r w:rsidRPr="00BB5DE9">
        <w:tab/>
        <w:t>sottolinea l'importanza di garantire finanziamenti adeguati, flessibili e prevedibili per azioni volte a promuovere la parità di genere, prevenire e combattere la violenza di genere, promuovere i diritti delle donne, compresi la salute sessuale e riproduttiva e i relativi diritti, e tutelare i diritti delle persone LGBTIQ+;</w:t>
      </w:r>
    </w:p>
    <w:p w:rsidR="00AE735B" w:rsidRPr="00BB5DE9" w:rsidP="00C92319" w14:paraId="11A47F71" w14:textId="77777777">
      <w:pPr>
        <w:pStyle w:val="NormalHanging12a"/>
      </w:pPr>
      <w:r w:rsidRPr="00BB5DE9">
        <w:t>29.</w:t>
      </w:r>
      <w:r w:rsidRPr="00BB5DE9">
        <w:tab/>
        <w:t>ribadisce il suo invito ad aumentare con urgenza il sostegno umanitario al Sudan, anche a favore delle persone sopravvissute alla violenza sessuale, di coloro che soffrono la fame, degli sfollati interni e dei rifugiati;</w:t>
      </w:r>
    </w:p>
    <w:p w:rsidR="00AE735B" w:rsidRPr="00BB5DE9" w:rsidP="00C92319" w14:paraId="6EB9C659" w14:textId="77777777">
      <w:pPr>
        <w:pStyle w:val="NormalHanging12a"/>
      </w:pPr>
      <w:r w:rsidRPr="00BB5DE9">
        <w:t>30.</w:t>
      </w:r>
      <w:r w:rsidRPr="00BB5DE9">
        <w:tab/>
        <w:t>osserva con preoccupazione che il persistente sottofinanziamento strutturale del SEAE compromette gravemente le capacità dell'UE in materia di azione esterna, nonché la percezione dell'UE nei paesi terzi; ribadisce che il massimale del 2 % per le spese amministrative non dovrebbe essere applicato al SEAE, date le sue specificità in quanto unico organo dell'UE dotato di delegazioni in tutto il mondo; elogia i recenti progressi compiuti nel rafforzamento della sicurezza, ma sottolinea che alcune delegazioni non rispettano ancora le norme di sicurezza; evidenzia che, in un contesto di inflazione elevata e di minacce geopolitiche in evoluzione, il bilancio destinato al personale di sicurezza, alle comunicazioni sicure e alle infrastrutture deve essere tale da garantire il rispetto delle norme minime di sicurezza delle delegazioni dell'UE e il necessario rinnovo dei veicoli blindati; sottolinea inoltre che iniziative critiche come il centro di coordinamento della ciberdifesa dell'UE (EUCDCC) devono funzionare adeguatamente; evidenzia che sono necessari ulteriori investimenti per rafforzare la sicurezza degli edifici e la cibersicurezza, in particolare nelle delegazioni; chiede che il SEAE disponga di personale adeguato al fine di rafforzare lo Stato maggiore dell'Unione europea e consolidare i partenariati dell'UE in materia di sicurezza e difesa con i principali partner bilaterali, considerato l'attuale contesto internazionale e di sicurezza; ribadisce l'importanza di rafforzare le capacità del SEAE in materia di tecnologie dell'informazione e della comunicazione, in particolare nel settore della sicurezza delle informazioni; esorta pertanto l'autorità di bilancio a garantire il funzionamento sicuro ed efficace della rete diplomatica dell'UE a livello mondiale; chiede pertanto che il suo bilancio sia aumentato al livello richiesto dal SEAE nelle sue previsioni;</w:t>
      </w:r>
    </w:p>
    <w:p w:rsidR="00AE735B" w:rsidRPr="00BB5DE9" w:rsidP="00C92319" w14:paraId="67FB3C4A" w14:textId="77777777">
      <w:pPr>
        <w:pStyle w:val="NormalHanging12a"/>
      </w:pPr>
      <w:r w:rsidRPr="00BB5DE9">
        <w:t>31.</w:t>
      </w:r>
      <w:r w:rsidRPr="00BB5DE9">
        <w:tab/>
        <w:t xml:space="preserve">sottolinea la necessità di aumentare la visibilità e la posizione geopolitica dell'UE nel mondo, al fine di rafforzare la presenza internazionale dell'UE e contrastare le narrazioni anti-UE e le operazioni di manipolazione delle informazioni e ingerenze da parte di attori stranieri, in particolare nel vicinato dell'UE; invita, a tale proposito, a rafforzare la diplomazia digitale dell'UE, in particolare nel settore dell'IA, della lotta alla disinformazione e alle ingerenze straniere e della promozione della pace e della </w:t>
      </w:r>
      <w:r w:rsidRPr="00BB5DE9">
        <w:t>sicurezza, nonché a guidare la lotta contro i cambiamenti climatici e la promozione dello sviluppo sostenibile; invita, a tale proposito, a potenziare le risorse finanziarie e umane della DG ENEST, della DG MENA, della DG FPI e del SEAE.</w:t>
      </w:r>
    </w:p>
    <w:p w:rsidR="00AE735B" w:rsidRPr="00BB5DE9" w14:paraId="2C44DBBE" w14:textId="77777777">
      <w:pPr>
        <w:widowControl/>
        <w:sectPr w:rsidSect="00AE735B">
          <w:headerReference w:type="even" r:id="rId13"/>
          <w:headerReference w:type="default" r:id="rId14"/>
          <w:headerReference w:type="first" r:id="rId15"/>
          <w:footerReference w:type="first" r:id="rId16"/>
          <w:footnotePr>
            <w:numRestart w:val="eachSect"/>
          </w:footnotePr>
          <w:endnotePr>
            <w:numFmt w:val="decimal"/>
          </w:endnotePr>
          <w:pgSz w:w="11906" w:h="16838" w:code="9"/>
          <w:pgMar w:top="1134" w:right="1418" w:bottom="1134" w:left="1418" w:header="1134" w:footer="567" w:gutter="0"/>
          <w:cols w:space="720"/>
          <w:noEndnote/>
          <w:docGrid w:linePitch="326"/>
        </w:sectPr>
      </w:pPr>
    </w:p>
    <w:p w:rsidR="00AE735B" w:rsidRPr="00BB5DE9" w14:paraId="68AEE156" w14:textId="77777777">
      <w:pPr>
        <w:widowControl/>
      </w:pPr>
    </w:p>
    <w:p w:rsidR="00AE735B" w:rsidRPr="00BB5DE9" w:rsidP="002B2C72" w14:paraId="18078DDD" w14:textId="77777777">
      <w:pPr>
        <w:pStyle w:val="PageHeadingNotTOC"/>
      </w:pPr>
      <w:r w:rsidRPr="00BB5DE9">
        <w:t>ALLEGATO: DICHIARAZIONE DEI CONTRIBUTI</w:t>
      </w:r>
    </w:p>
    <w:p w:rsidR="00AE735B" w:rsidRPr="00BB5DE9" w:rsidP="00037518" w14:paraId="74DA2728" w14:textId="77777777">
      <w:pPr>
        <w:pStyle w:val="Normal24a"/>
        <w:rPr>
          <w:lang w:val="it-IT"/>
        </w:rPr>
      </w:pPr>
      <w:r w:rsidRPr="00BB5DE9">
        <w:rPr>
          <w:rStyle w:val="HideTWBExt"/>
          <w:lang w:val="it-IT"/>
        </w:rPr>
        <w:t>&lt;FootprintIntro&gt;</w:t>
      </w:r>
      <w:r w:rsidRPr="00BB5DE9">
        <w:rPr>
          <w:lang w:val="it-IT"/>
        </w:rPr>
        <w:t>Il relatore per parere dichiara, sotto la sua esclusiva responsabilità, di non aver incluso nel suo parere alcun contributo di rappresentanti di interessi che rientrano nell'ambito di applicazione dell'accordo interistituzionale su un registro per la trasparenza obbligatorio</w:t>
      </w:r>
      <w:r>
        <w:rPr>
          <w:rStyle w:val="FootnoteReference"/>
          <w:lang w:val="it-IT"/>
        </w:rPr>
        <w:footnoteReference w:id="17"/>
      </w:r>
      <w:r w:rsidRPr="00BB5DE9">
        <w:rPr>
          <w:lang w:val="it-IT"/>
        </w:rPr>
        <w:t>, o di rappresentanti delle pubbliche autorità di paesi terzi, incluse le loro missioni diplomatiche e ambasciate, da enumerare nel presente allegato in virtù dell'allegato I, articolo 8, del regolamento.</w:t>
      </w:r>
      <w:r w:rsidRPr="00BB5DE9">
        <w:rPr>
          <w:rStyle w:val="HideTWBExt"/>
          <w:lang w:val="it-IT"/>
        </w:rPr>
        <w:t>&lt;/FootprintIntro&gt;</w:t>
      </w:r>
    </w:p>
    <w:p w:rsidR="00AE735B" w:rsidRPr="00BB5DE9" w:rsidP="00D047FB" w14:paraId="701D1B7F" w14:textId="77777777">
      <w:pPr>
        <w:pStyle w:val="NormalHanging12a"/>
      </w:pPr>
    </w:p>
    <w:p w:rsidR="00AE735B" w:rsidRPr="00BB5DE9" w:rsidP="00D047FB" w14:paraId="27B4BB9E" w14:textId="77777777">
      <w:pPr>
        <w:sectPr w:rsidSect="00AE735B">
          <w:footnotePr>
            <w:numRestart w:val="eachSect"/>
          </w:footnotePr>
          <w:endnotePr>
            <w:numFmt w:val="decimal"/>
          </w:endnotePr>
          <w:pgSz w:w="11906" w:h="16838" w:code="9"/>
          <w:pgMar w:top="1134" w:right="1418" w:bottom="1418" w:left="1418" w:header="1134" w:footer="567" w:gutter="0"/>
          <w:cols w:space="720"/>
          <w:noEndnote/>
          <w:docGrid w:linePitch="326"/>
        </w:sectPr>
      </w:pPr>
    </w:p>
    <w:p w:rsidR="00AE735B" w:rsidRPr="00BB5DE9" w:rsidP="00D047FB" w14:paraId="5B8E6634" w14:textId="77777777">
      <w:pPr>
        <w:pStyle w:val="PageHeadingNotTOC"/>
      </w:pPr>
      <w:r w:rsidRPr="00BB5DE9">
        <w:t>INFORMAZIONI SULL'APPROVAZIONE</w:t>
      </w:r>
      <w:r w:rsidRPr="00BB5DE9">
        <w:br/>
        <w:t>DA PARTE DELLA COMMISSIONE COMPETENTE PER PARERE</w:t>
      </w:r>
    </w:p>
    <w:tbl>
      <w:tblPr>
        <w:tblW w:w="0" w:type="auto"/>
        <w:tblInd w:w="-10" w:type="dxa"/>
        <w:tblLayout w:type="fixed"/>
        <w:tblCellMar>
          <w:left w:w="0" w:type="dxa"/>
          <w:right w:w="0" w:type="dxa"/>
        </w:tblCellMar>
        <w:tblLook w:val="0000"/>
      </w:tblPr>
      <w:tblGrid>
        <w:gridCol w:w="3685"/>
        <w:gridCol w:w="1530"/>
        <w:gridCol w:w="1474"/>
        <w:gridCol w:w="1474"/>
        <w:gridCol w:w="1474"/>
      </w:tblGrid>
      <w:tr w14:paraId="2263512C" w14:textId="77777777">
        <w:tblPrEx>
          <w:tblW w:w="0" w:type="auto"/>
          <w:tblInd w:w="-10" w:type="dxa"/>
          <w:tblLayout w:type="fixed"/>
          <w:tblCellMar>
            <w:left w:w="0" w:type="dxa"/>
            <w:right w:w="0" w:type="dxa"/>
          </w:tblCellMar>
          <w:tblLook w:val="0000"/>
        </w:tblPrEx>
        <w:tc>
          <w:tcPr>
            <w:tcW w:w="3685" w:type="dxa"/>
            <w:tcBorders>
              <w:top w:val="single" w:sz="8" w:space="0" w:color="000000"/>
              <w:left w:val="single" w:sz="8" w:space="0" w:color="000000"/>
              <w:bottom w:val="single" w:sz="8" w:space="0" w:color="000000"/>
              <w:right w:val="single" w:sz="8" w:space="0" w:color="000000"/>
            </w:tcBorders>
            <w:tcMar>
              <w:top w:w="79" w:type="dxa"/>
              <w:left w:w="79" w:type="dxa"/>
              <w:bottom w:w="79" w:type="dxa"/>
              <w:right w:w="79" w:type="dxa"/>
            </w:tcMar>
          </w:tcPr>
          <w:p w:rsidR="00AE735B" w:rsidRPr="00BB5DE9" w14:paraId="00F3AF83" w14:textId="77777777">
            <w:pPr>
              <w:autoSpaceDE w:val="0"/>
              <w:autoSpaceDN w:val="0"/>
              <w:adjustRightInd w:val="0"/>
              <w:rPr>
                <w:b/>
                <w:bCs/>
                <w:color w:val="000000"/>
                <w:sz w:val="20"/>
              </w:rPr>
            </w:pPr>
            <w:r w:rsidRPr="00BB5DE9">
              <w:rPr>
                <w:b/>
                <w:color w:val="000000"/>
                <w:sz w:val="20"/>
              </w:rPr>
              <w:t>Approvazione</w:t>
            </w:r>
          </w:p>
        </w:tc>
        <w:tc>
          <w:tcPr>
            <w:tcW w:w="1530" w:type="dxa"/>
            <w:tcBorders>
              <w:top w:val="single" w:sz="8" w:space="0" w:color="000000"/>
              <w:left w:val="nil"/>
              <w:bottom w:val="single" w:sz="8" w:space="0" w:color="000000"/>
              <w:right w:val="nil"/>
            </w:tcBorders>
            <w:tcMar>
              <w:top w:w="79" w:type="dxa"/>
              <w:left w:w="79" w:type="dxa"/>
              <w:bottom w:w="79" w:type="dxa"/>
              <w:right w:w="79" w:type="dxa"/>
            </w:tcMar>
          </w:tcPr>
          <w:p w:rsidR="00AE735B" w:rsidRPr="00BB5DE9" w14:paraId="1FA0E72B" w14:textId="77777777">
            <w:pPr>
              <w:autoSpaceDE w:val="0"/>
              <w:autoSpaceDN w:val="0"/>
              <w:adjustRightInd w:val="0"/>
              <w:rPr>
                <w:color w:val="000000"/>
                <w:sz w:val="20"/>
              </w:rPr>
            </w:pPr>
            <w:r w:rsidRPr="00BB5DE9">
              <w:rPr>
                <w:color w:val="000000"/>
                <w:sz w:val="20"/>
              </w:rPr>
              <w:t>10.9.2026</w:t>
            </w:r>
          </w:p>
        </w:tc>
        <w:tc>
          <w:tcPr>
            <w:tcW w:w="1474" w:type="dxa"/>
            <w:tcBorders>
              <w:top w:val="single" w:sz="8" w:space="0" w:color="000000"/>
              <w:left w:val="nil"/>
              <w:bottom w:val="single" w:sz="8" w:space="0" w:color="000000"/>
              <w:right w:val="nil"/>
            </w:tcBorders>
            <w:tcMar>
              <w:top w:w="79" w:type="dxa"/>
              <w:left w:w="79" w:type="dxa"/>
              <w:bottom w:w="79" w:type="dxa"/>
              <w:right w:w="79" w:type="dxa"/>
            </w:tcMar>
          </w:tcPr>
          <w:p w:rsidR="00AE735B" w:rsidRPr="00BB5DE9" w14:paraId="7AD12766" w14:textId="77777777">
            <w:pPr>
              <w:autoSpaceDE w:val="0"/>
              <w:autoSpaceDN w:val="0"/>
              <w:adjustRightInd w:val="0"/>
              <w:rPr>
                <w:rFonts w:ascii="sans-serif" w:hAnsi="sans-serif" w:cs="sans-serif"/>
                <w:color w:val="000000"/>
              </w:rPr>
            </w:pPr>
          </w:p>
        </w:tc>
        <w:tc>
          <w:tcPr>
            <w:tcW w:w="1474" w:type="dxa"/>
            <w:tcBorders>
              <w:top w:val="single" w:sz="8" w:space="0" w:color="000000"/>
              <w:left w:val="nil"/>
              <w:bottom w:val="single" w:sz="8" w:space="0" w:color="000000"/>
              <w:right w:val="nil"/>
            </w:tcBorders>
            <w:tcMar>
              <w:top w:w="79" w:type="dxa"/>
              <w:left w:w="79" w:type="dxa"/>
              <w:bottom w:w="79" w:type="dxa"/>
              <w:right w:w="79" w:type="dxa"/>
            </w:tcMar>
          </w:tcPr>
          <w:p w:rsidR="00AE735B" w:rsidRPr="00BB5DE9" w14:paraId="44E16409" w14:textId="77777777">
            <w:pPr>
              <w:autoSpaceDE w:val="0"/>
              <w:autoSpaceDN w:val="0"/>
              <w:adjustRightInd w:val="0"/>
              <w:rPr>
                <w:rFonts w:ascii="sans-serif" w:hAnsi="sans-serif" w:cs="sans-serif"/>
                <w:color w:val="000000"/>
              </w:rPr>
            </w:pPr>
          </w:p>
        </w:tc>
        <w:tc>
          <w:tcPr>
            <w:tcW w:w="1474" w:type="dxa"/>
            <w:tcBorders>
              <w:top w:val="single" w:sz="8" w:space="0" w:color="000000"/>
              <w:left w:val="nil"/>
              <w:bottom w:val="single" w:sz="8" w:space="0" w:color="000000"/>
              <w:right w:val="single" w:sz="8" w:space="0" w:color="000000"/>
            </w:tcBorders>
            <w:tcMar>
              <w:top w:w="79" w:type="dxa"/>
              <w:left w:w="79" w:type="dxa"/>
              <w:bottom w:w="79" w:type="dxa"/>
              <w:right w:w="79" w:type="dxa"/>
            </w:tcMar>
          </w:tcPr>
          <w:p w:rsidR="00AE735B" w:rsidRPr="00BB5DE9" w14:paraId="15C785C3" w14:textId="77777777">
            <w:pPr>
              <w:autoSpaceDE w:val="0"/>
              <w:autoSpaceDN w:val="0"/>
              <w:adjustRightInd w:val="0"/>
              <w:rPr>
                <w:rFonts w:ascii="sans-serif" w:hAnsi="sans-serif" w:cs="sans-serif"/>
                <w:color w:val="000000"/>
              </w:rPr>
            </w:pPr>
          </w:p>
        </w:tc>
      </w:tr>
      <w:tr w14:paraId="22838CDE" w14:textId="77777777">
        <w:tblPrEx>
          <w:tblW w:w="0" w:type="auto"/>
          <w:tblInd w:w="-10" w:type="dxa"/>
          <w:tblLayout w:type="fixed"/>
          <w:tblCellMar>
            <w:left w:w="0" w:type="dxa"/>
            <w:right w:w="0" w:type="dxa"/>
          </w:tblCellMar>
          <w:tblLook w:val="0000"/>
        </w:tblPrEx>
        <w:tc>
          <w:tcPr>
            <w:tcW w:w="3685" w:type="dxa"/>
            <w:tcBorders>
              <w:top w:val="single" w:sz="8" w:space="0" w:color="000000"/>
              <w:left w:val="single" w:sz="8" w:space="0" w:color="000000"/>
              <w:bottom w:val="single" w:sz="8" w:space="0" w:color="000000"/>
              <w:right w:val="single" w:sz="8" w:space="0" w:color="000000"/>
            </w:tcBorders>
            <w:tcMar>
              <w:top w:w="79" w:type="dxa"/>
              <w:left w:w="79" w:type="dxa"/>
              <w:bottom w:w="79" w:type="dxa"/>
              <w:right w:w="79" w:type="dxa"/>
            </w:tcMar>
          </w:tcPr>
          <w:p w:rsidR="00AE735B" w:rsidRPr="00BB5DE9" w14:paraId="572DDBD3" w14:textId="77777777">
            <w:pPr>
              <w:autoSpaceDE w:val="0"/>
              <w:autoSpaceDN w:val="0"/>
              <w:adjustRightInd w:val="0"/>
              <w:rPr>
                <w:b/>
                <w:bCs/>
                <w:color w:val="000000"/>
                <w:sz w:val="20"/>
              </w:rPr>
            </w:pPr>
            <w:r w:rsidRPr="00BB5DE9">
              <w:rPr>
                <w:b/>
                <w:color w:val="000000"/>
                <w:sz w:val="20"/>
              </w:rPr>
              <w:t>Esito della votazione finale</w:t>
            </w:r>
          </w:p>
        </w:tc>
        <w:tc>
          <w:tcPr>
            <w:tcW w:w="1530" w:type="dxa"/>
            <w:tcBorders>
              <w:top w:val="single" w:sz="8" w:space="0" w:color="000000"/>
              <w:left w:val="nil"/>
              <w:bottom w:val="single" w:sz="8" w:space="0" w:color="000000"/>
              <w:right w:val="nil"/>
            </w:tcBorders>
            <w:tcMar>
              <w:top w:w="79" w:type="dxa"/>
              <w:left w:w="79" w:type="dxa"/>
              <w:bottom w:w="79" w:type="dxa"/>
              <w:right w:w="79" w:type="dxa"/>
            </w:tcMar>
          </w:tcPr>
          <w:p w:rsidR="00AE735B" w:rsidRPr="00BB5DE9" w14:paraId="15571B80" w14:textId="77777777">
            <w:pPr>
              <w:autoSpaceDE w:val="0"/>
              <w:autoSpaceDN w:val="0"/>
              <w:adjustRightInd w:val="0"/>
              <w:rPr>
                <w:color w:val="000000"/>
                <w:sz w:val="20"/>
              </w:rPr>
            </w:pPr>
            <w:r w:rsidRPr="00BB5DE9">
              <w:rPr>
                <w:color w:val="000000"/>
                <w:sz w:val="20"/>
              </w:rPr>
              <w:t>+:</w:t>
            </w:r>
          </w:p>
          <w:p w:rsidR="00AE735B" w:rsidRPr="00BB5DE9" w14:paraId="49C6BBEA" w14:textId="77777777">
            <w:pPr>
              <w:autoSpaceDE w:val="0"/>
              <w:autoSpaceDN w:val="0"/>
              <w:adjustRightInd w:val="0"/>
              <w:rPr>
                <w:color w:val="000000"/>
                <w:sz w:val="20"/>
              </w:rPr>
            </w:pPr>
            <w:r w:rsidRPr="00BB5DE9">
              <w:rPr>
                <w:color w:val="000000"/>
                <w:sz w:val="20"/>
              </w:rPr>
              <w:t>–:</w:t>
            </w:r>
          </w:p>
          <w:p w:rsidR="00AE735B" w:rsidRPr="00BB5DE9" w14:paraId="6823E59C" w14:textId="77777777">
            <w:pPr>
              <w:autoSpaceDE w:val="0"/>
              <w:autoSpaceDN w:val="0"/>
              <w:adjustRightInd w:val="0"/>
              <w:rPr>
                <w:color w:val="000000"/>
                <w:sz w:val="20"/>
              </w:rPr>
            </w:pPr>
            <w:r w:rsidRPr="00BB5DE9">
              <w:rPr>
                <w:color w:val="000000"/>
                <w:sz w:val="20"/>
              </w:rPr>
              <w:t>0:</w:t>
            </w:r>
          </w:p>
        </w:tc>
        <w:tc>
          <w:tcPr>
            <w:tcW w:w="4422" w:type="dxa"/>
            <w:gridSpan w:val="3"/>
            <w:tcBorders>
              <w:top w:val="single" w:sz="8" w:space="0" w:color="000000"/>
              <w:left w:val="nil"/>
              <w:bottom w:val="single" w:sz="8" w:space="0" w:color="000000"/>
              <w:right w:val="single" w:sz="8" w:space="0" w:color="000000"/>
            </w:tcBorders>
            <w:tcMar>
              <w:top w:w="79" w:type="dxa"/>
              <w:left w:w="79" w:type="dxa"/>
              <w:bottom w:w="79" w:type="dxa"/>
              <w:right w:w="79" w:type="dxa"/>
            </w:tcMar>
          </w:tcPr>
          <w:p w:rsidR="00AE735B" w:rsidRPr="00BB5DE9" w14:paraId="442C7733" w14:textId="77777777">
            <w:pPr>
              <w:autoSpaceDE w:val="0"/>
              <w:autoSpaceDN w:val="0"/>
              <w:adjustRightInd w:val="0"/>
              <w:rPr>
                <w:color w:val="000000"/>
                <w:sz w:val="20"/>
              </w:rPr>
            </w:pPr>
            <w:r w:rsidRPr="00BB5DE9">
              <w:rPr>
                <w:color w:val="000000"/>
                <w:sz w:val="20"/>
              </w:rPr>
              <w:t>43</w:t>
            </w:r>
          </w:p>
          <w:p w:rsidR="00AE735B" w:rsidRPr="00BB5DE9" w14:paraId="78E5BE15" w14:textId="77777777">
            <w:pPr>
              <w:autoSpaceDE w:val="0"/>
              <w:autoSpaceDN w:val="0"/>
              <w:adjustRightInd w:val="0"/>
              <w:rPr>
                <w:color w:val="000000"/>
                <w:sz w:val="20"/>
              </w:rPr>
            </w:pPr>
            <w:r w:rsidRPr="00BB5DE9">
              <w:rPr>
                <w:color w:val="000000"/>
                <w:sz w:val="20"/>
              </w:rPr>
              <w:t>12</w:t>
            </w:r>
          </w:p>
          <w:p w:rsidR="00AE735B" w:rsidRPr="00BB5DE9" w14:paraId="20BA34AD" w14:textId="77777777">
            <w:pPr>
              <w:autoSpaceDE w:val="0"/>
              <w:autoSpaceDN w:val="0"/>
              <w:adjustRightInd w:val="0"/>
              <w:rPr>
                <w:color w:val="000000"/>
                <w:sz w:val="20"/>
              </w:rPr>
            </w:pPr>
            <w:r w:rsidRPr="00BB5DE9">
              <w:rPr>
                <w:color w:val="000000"/>
                <w:sz w:val="20"/>
              </w:rPr>
              <w:t>8</w:t>
            </w:r>
          </w:p>
        </w:tc>
      </w:tr>
    </w:tbl>
    <w:p w:rsidR="00AE735B" w:rsidRPr="00BB5DE9" w:rsidP="00C92319" w14:paraId="2BBFE715" w14:textId="77777777"/>
    <w:p w:rsidR="00AE735B" w:rsidRPr="00BB5DE9" w:rsidP="00D047FB" w14:paraId="7C10E093" w14:textId="77777777">
      <w:pPr>
        <w:sectPr w:rsidSect="00AE735B">
          <w:pgSz w:w="11894" w:h="15840"/>
          <w:pgMar w:top="1700" w:right="1417" w:bottom="1417" w:left="1417" w:header="720" w:footer="720" w:gutter="0"/>
          <w:cols w:space="720"/>
          <w:noEndnote/>
          <w:docGrid w:linePitch="326"/>
        </w:sectPr>
      </w:pPr>
    </w:p>
    <w:p w:rsidR="00AE735B" w:rsidRPr="00BB5DE9" w:rsidP="00C36610" w14:paraId="2E846057" w14:textId="77777777">
      <w:pPr>
        <w:pStyle w:val="PageHeadingNotTOC"/>
      </w:pPr>
      <w:r w:rsidRPr="00BB5DE9">
        <w:t>VOTAZIONE FINALE PER APPELLO NOMINALE</w:t>
      </w:r>
      <w:r w:rsidRPr="00BB5DE9">
        <w:br/>
        <w:t>DA PARTE DELLA COMMISSIONE COMPETENTE PER PARERE</w:t>
      </w:r>
    </w:p>
    <w:tbl>
      <w:tblPr>
        <w:tblW w:w="0" w:type="auto"/>
        <w:tblInd w:w="145" w:type="dxa"/>
        <w:tblBorders>
          <w:top w:val="double" w:sz="2" w:space="0" w:color="000000"/>
          <w:left w:val="double" w:sz="2" w:space="0" w:color="000000"/>
          <w:bottom w:val="double" w:sz="2" w:space="0" w:color="000000"/>
          <w:right w:val="double" w:sz="2" w:space="0" w:color="000000"/>
          <w:insideH w:val="single" w:sz="2" w:space="0" w:color="000000"/>
          <w:insideV w:val="single" w:sz="2" w:space="0" w:color="000000"/>
        </w:tblBorders>
        <w:tblLayout w:type="fixed"/>
        <w:tblCellMar>
          <w:left w:w="145" w:type="dxa"/>
          <w:right w:w="145" w:type="dxa"/>
        </w:tblCellMar>
        <w:tblLook w:val="0000"/>
      </w:tblPr>
      <w:tblGrid>
        <w:gridCol w:w="1701"/>
        <w:gridCol w:w="7371"/>
      </w:tblGrid>
      <w:tr w14:paraId="7517C9BD" w14:textId="77777777" w:rsidTr="0002784D">
        <w:tblPrEx>
          <w:tblW w:w="0" w:type="auto"/>
          <w:tblInd w:w="145" w:type="dxa"/>
          <w:tblBorders>
            <w:top w:val="double" w:sz="2" w:space="0" w:color="000000"/>
            <w:left w:val="double" w:sz="2" w:space="0" w:color="000000"/>
            <w:bottom w:val="double" w:sz="2" w:space="0" w:color="000000"/>
            <w:right w:val="double" w:sz="2" w:space="0" w:color="000000"/>
            <w:insideH w:val="single" w:sz="2" w:space="0" w:color="000000"/>
            <w:insideV w:val="single" w:sz="2" w:space="0" w:color="000000"/>
          </w:tblBorders>
          <w:tblLayout w:type="fixed"/>
          <w:tblCellMar>
            <w:left w:w="145" w:type="dxa"/>
            <w:right w:w="145" w:type="dxa"/>
          </w:tblCellMar>
          <w:tblLook w:val="0000"/>
        </w:tblPrEx>
        <w:trPr>
          <w:cantSplit/>
        </w:trPr>
        <w:tc>
          <w:tcPr>
            <w:tcW w:w="1701" w:type="dxa"/>
            <w:shd w:val="pct10" w:color="000000" w:fill="FFFFFF"/>
            <w:vAlign w:val="center"/>
          </w:tcPr>
          <w:p w:rsidR="00AE735B" w:rsidRPr="00BB5DE9" w:rsidP="0002784D" w14:paraId="2770A3AD" w14:textId="77777777">
            <w:pPr>
              <w:pStyle w:val="RollCallVotes"/>
              <w:rPr>
                <w:lang w:val="it-IT"/>
              </w:rPr>
            </w:pPr>
            <w:r w:rsidRPr="00BB5DE9">
              <w:rPr>
                <w:lang w:val="it-IT"/>
              </w:rPr>
              <w:t>43</w:t>
            </w:r>
          </w:p>
        </w:tc>
        <w:tc>
          <w:tcPr>
            <w:tcW w:w="7371" w:type="dxa"/>
            <w:shd w:val="pct10" w:color="000000" w:fill="FFFFFF"/>
          </w:tcPr>
          <w:p w:rsidR="00AE735B" w:rsidRPr="00BB5DE9" w:rsidP="0002784D" w14:paraId="2743F4EC" w14:textId="77777777">
            <w:pPr>
              <w:pStyle w:val="RollCallSymbols14pt"/>
              <w:rPr>
                <w:lang w:val="it-IT"/>
              </w:rPr>
            </w:pPr>
            <w:r w:rsidRPr="00BB5DE9">
              <w:rPr>
                <w:lang w:val="it-IT"/>
              </w:rPr>
              <w:t>+</w:t>
            </w:r>
          </w:p>
        </w:tc>
      </w:tr>
      <w:tr w14:paraId="1065CD37" w14:textId="77777777" w:rsidTr="0002784D">
        <w:tblPrEx>
          <w:tblW w:w="0" w:type="auto"/>
          <w:tblInd w:w="145" w:type="dxa"/>
          <w:tblLayout w:type="fixed"/>
          <w:tblCellMar>
            <w:left w:w="145" w:type="dxa"/>
            <w:right w:w="145" w:type="dxa"/>
          </w:tblCellMar>
          <w:tblLook w:val="0000"/>
        </w:tblPrEx>
        <w:trPr>
          <w:cantSplit/>
        </w:trPr>
        <w:tc>
          <w:tcPr>
            <w:tcW w:w="1701" w:type="dxa"/>
            <w:shd w:val="clear" w:color="auto" w:fill="FFFFFF"/>
          </w:tcPr>
          <w:p w:rsidR="00AE735B" w:rsidRPr="00BB5DE9" w:rsidP="0002784D" w14:paraId="2CA346DB" w14:textId="77777777">
            <w:pPr>
              <w:pStyle w:val="RollCallTable"/>
              <w:rPr>
                <w:lang w:val="it-IT"/>
              </w:rPr>
            </w:pPr>
            <w:r w:rsidRPr="00BB5DE9">
              <w:rPr>
                <w:lang w:val="it-IT"/>
              </w:rPr>
              <w:t>ECR</w:t>
            </w:r>
          </w:p>
        </w:tc>
        <w:tc>
          <w:tcPr>
            <w:tcW w:w="7371" w:type="dxa"/>
            <w:shd w:val="clear" w:color="auto" w:fill="FFFFFF"/>
          </w:tcPr>
          <w:p w:rsidR="00AE735B" w:rsidRPr="00BB5DE9" w:rsidP="0002784D" w14:paraId="0EE20851" w14:textId="77777777">
            <w:pPr>
              <w:pStyle w:val="RollCallTable"/>
              <w:rPr>
                <w:lang w:val="it-IT"/>
              </w:rPr>
            </w:pPr>
            <w:r w:rsidRPr="00BB5DE9">
              <w:rPr>
                <w:lang w:val="it-IT"/>
              </w:rPr>
              <w:t>Geadis Geadi</w:t>
            </w:r>
          </w:p>
        </w:tc>
      </w:tr>
      <w:tr w14:paraId="47A344D7" w14:textId="77777777" w:rsidTr="0002784D">
        <w:tblPrEx>
          <w:tblW w:w="0" w:type="auto"/>
          <w:tblInd w:w="145" w:type="dxa"/>
          <w:tblLayout w:type="fixed"/>
          <w:tblCellMar>
            <w:left w:w="145" w:type="dxa"/>
            <w:right w:w="145" w:type="dxa"/>
          </w:tblCellMar>
          <w:tblLook w:val="0000"/>
        </w:tblPrEx>
        <w:trPr>
          <w:cantSplit/>
        </w:trPr>
        <w:tc>
          <w:tcPr>
            <w:tcW w:w="1701" w:type="dxa"/>
            <w:shd w:val="clear" w:color="auto" w:fill="FFFFFF"/>
          </w:tcPr>
          <w:p w:rsidR="00AE735B" w:rsidRPr="00BB5DE9" w:rsidP="0002784D" w14:paraId="2C7E7CE4" w14:textId="77777777">
            <w:pPr>
              <w:pStyle w:val="RollCallTable"/>
              <w:rPr>
                <w:lang w:val="it-IT"/>
              </w:rPr>
            </w:pPr>
            <w:r w:rsidRPr="00BB5DE9">
              <w:rPr>
                <w:lang w:val="it-IT"/>
              </w:rPr>
              <w:t>PPE</w:t>
            </w:r>
          </w:p>
        </w:tc>
        <w:tc>
          <w:tcPr>
            <w:tcW w:w="7371" w:type="dxa"/>
            <w:shd w:val="clear" w:color="auto" w:fill="FFFFFF"/>
          </w:tcPr>
          <w:p w:rsidR="00AE735B" w:rsidRPr="00BB5DE9" w:rsidP="0002784D" w14:paraId="0B89FC5D" w14:textId="77777777">
            <w:pPr>
              <w:pStyle w:val="RollCallTable"/>
              <w:rPr>
                <w:lang w:val="it-IT"/>
              </w:rPr>
            </w:pPr>
            <w:r w:rsidRPr="00BB5DE9">
              <w:rPr>
                <w:lang w:val="it-IT"/>
              </w:rPr>
              <w:t>Ioan-Rareş Bogdan, Krzysztof Brejza, Sandra Kalniete, Seán Kelly, Łukasz Kohut, Ondřej Kolář, Andrey Kovatchev, Miriam Lexmann, Reinhold Lopatka, David McAllister, Vangelis Meimarakis, Francisco José Millán Mon, Nicolás Pascual de la Parte, Davor Ivo Stier, Riho Terras, Matej Tonin, Pekka Toveri, Željana Zovko, Milan Zver</w:t>
            </w:r>
          </w:p>
        </w:tc>
      </w:tr>
      <w:tr w14:paraId="075CBA4F" w14:textId="77777777" w:rsidTr="0002784D">
        <w:tblPrEx>
          <w:tblW w:w="0" w:type="auto"/>
          <w:tblInd w:w="145" w:type="dxa"/>
          <w:tblLayout w:type="fixed"/>
          <w:tblCellMar>
            <w:left w:w="145" w:type="dxa"/>
            <w:right w:w="145" w:type="dxa"/>
          </w:tblCellMar>
          <w:tblLook w:val="0000"/>
        </w:tblPrEx>
        <w:trPr>
          <w:cantSplit/>
        </w:trPr>
        <w:tc>
          <w:tcPr>
            <w:tcW w:w="1701" w:type="dxa"/>
            <w:shd w:val="clear" w:color="auto" w:fill="FFFFFF"/>
          </w:tcPr>
          <w:p w:rsidR="00AE735B" w:rsidRPr="00BB5DE9" w:rsidP="0002784D" w14:paraId="5D94C9C4" w14:textId="77777777">
            <w:pPr>
              <w:pStyle w:val="RollCallTable"/>
              <w:rPr>
                <w:lang w:val="it-IT"/>
              </w:rPr>
            </w:pPr>
            <w:r w:rsidRPr="00BB5DE9">
              <w:rPr>
                <w:lang w:val="it-IT"/>
              </w:rPr>
              <w:t>Renew</w:t>
            </w:r>
          </w:p>
        </w:tc>
        <w:tc>
          <w:tcPr>
            <w:tcW w:w="7371" w:type="dxa"/>
            <w:shd w:val="clear" w:color="auto" w:fill="FFFFFF"/>
          </w:tcPr>
          <w:p w:rsidR="00AE735B" w:rsidRPr="00BB5DE9" w:rsidP="0002784D" w14:paraId="300D3FFE" w14:textId="77777777">
            <w:pPr>
              <w:pStyle w:val="RollCallTable"/>
              <w:rPr>
                <w:lang w:val="it-IT"/>
              </w:rPr>
            </w:pPr>
            <w:r w:rsidRPr="00BB5DE9">
              <w:rPr>
                <w:lang w:val="it-IT"/>
              </w:rPr>
              <w:t>Petras Auštrevičius, Dan Barna, Christophe Grudler, Bernard Guetta, Ilhan Kyuchyuk, Marjan Šarec, Marie-Agnes Strack-Zimmermann, Hilde Vautmans</w:t>
            </w:r>
          </w:p>
        </w:tc>
      </w:tr>
      <w:tr w14:paraId="2A504246" w14:textId="77777777" w:rsidTr="0002784D">
        <w:tblPrEx>
          <w:tblW w:w="0" w:type="auto"/>
          <w:tblInd w:w="145" w:type="dxa"/>
          <w:tblLayout w:type="fixed"/>
          <w:tblCellMar>
            <w:left w:w="145" w:type="dxa"/>
            <w:right w:w="145" w:type="dxa"/>
          </w:tblCellMar>
          <w:tblLook w:val="0000"/>
        </w:tblPrEx>
        <w:trPr>
          <w:cantSplit/>
        </w:trPr>
        <w:tc>
          <w:tcPr>
            <w:tcW w:w="1701" w:type="dxa"/>
            <w:shd w:val="clear" w:color="auto" w:fill="FFFFFF"/>
          </w:tcPr>
          <w:p w:rsidR="00AE735B" w:rsidRPr="00BB5DE9" w:rsidP="0002784D" w14:paraId="0B6423AC" w14:textId="77777777">
            <w:pPr>
              <w:pStyle w:val="RollCallTable"/>
              <w:rPr>
                <w:lang w:val="it-IT"/>
              </w:rPr>
            </w:pPr>
            <w:r w:rsidRPr="00BB5DE9">
              <w:rPr>
                <w:lang w:val="it-IT"/>
              </w:rPr>
              <w:t>S&amp;D</w:t>
            </w:r>
          </w:p>
        </w:tc>
        <w:tc>
          <w:tcPr>
            <w:tcW w:w="7371" w:type="dxa"/>
            <w:shd w:val="clear" w:color="auto" w:fill="FFFFFF"/>
          </w:tcPr>
          <w:p w:rsidR="00AE735B" w:rsidRPr="00BB5DE9" w:rsidP="0002784D" w14:paraId="1BB92F17" w14:textId="77777777">
            <w:pPr>
              <w:pStyle w:val="RollCallTable"/>
              <w:rPr>
                <w:lang w:val="it-IT"/>
              </w:rPr>
            </w:pPr>
            <w:r w:rsidRPr="00BB5DE9">
              <w:rPr>
                <w:lang w:val="it-IT"/>
              </w:rPr>
              <w:t>Lucia Annunziata, Vasile Dîncu, Nikolas Farantouris, Elisabeth Grossmann, Alicia Homs Ginel, Yannis Maniatis, Nacho Sánchez Amor, Marco Tarquinio, Marta Temido, Nicola Zingaretti</w:t>
            </w:r>
          </w:p>
        </w:tc>
      </w:tr>
      <w:tr w14:paraId="4943394F" w14:textId="77777777" w:rsidTr="0002784D">
        <w:tblPrEx>
          <w:tblW w:w="0" w:type="auto"/>
          <w:tblInd w:w="145" w:type="dxa"/>
          <w:tblLayout w:type="fixed"/>
          <w:tblCellMar>
            <w:left w:w="145" w:type="dxa"/>
            <w:right w:w="145" w:type="dxa"/>
          </w:tblCellMar>
          <w:tblLook w:val="0000"/>
        </w:tblPrEx>
        <w:trPr>
          <w:cantSplit/>
        </w:trPr>
        <w:tc>
          <w:tcPr>
            <w:tcW w:w="1701" w:type="dxa"/>
            <w:shd w:val="clear" w:color="auto" w:fill="FFFFFF"/>
          </w:tcPr>
          <w:p w:rsidR="00AE735B" w:rsidRPr="00BB5DE9" w:rsidP="0002784D" w14:paraId="640B44C1" w14:textId="77777777">
            <w:pPr>
              <w:pStyle w:val="RollCallTable"/>
              <w:rPr>
                <w:lang w:val="it-IT"/>
              </w:rPr>
            </w:pPr>
            <w:r w:rsidRPr="00BB5DE9">
              <w:rPr>
                <w:lang w:val="it-IT"/>
              </w:rPr>
              <w:t>Verts/ALE</w:t>
            </w:r>
          </w:p>
        </w:tc>
        <w:tc>
          <w:tcPr>
            <w:tcW w:w="7371" w:type="dxa"/>
            <w:shd w:val="clear" w:color="auto" w:fill="FFFFFF"/>
          </w:tcPr>
          <w:p w:rsidR="00AE735B" w:rsidRPr="00BB5DE9" w:rsidP="0002784D" w14:paraId="1F598B57" w14:textId="77777777">
            <w:pPr>
              <w:pStyle w:val="RollCallTable"/>
              <w:rPr>
                <w:lang w:val="it-IT"/>
              </w:rPr>
            </w:pPr>
            <w:r w:rsidRPr="00BB5DE9">
              <w:rPr>
                <w:lang w:val="it-IT"/>
              </w:rPr>
              <w:t>Hannah Neumann, Nela Riehl, Mounir Satouri, Villy Søvndal, Thomas Waitz</w:t>
            </w:r>
          </w:p>
        </w:tc>
      </w:tr>
    </w:tbl>
    <w:p w:rsidR="00AE735B" w:rsidRPr="00BB5DE9" w:rsidP="00C92319" w14:paraId="32FA6816" w14:textId="77777777"/>
    <w:tbl>
      <w:tblPr>
        <w:tblW w:w="0" w:type="auto"/>
        <w:tblInd w:w="145" w:type="dxa"/>
        <w:tblBorders>
          <w:top w:val="double" w:sz="2" w:space="0" w:color="000000"/>
          <w:left w:val="double" w:sz="2" w:space="0" w:color="000000"/>
          <w:bottom w:val="double" w:sz="2" w:space="0" w:color="000000"/>
          <w:right w:val="double" w:sz="2" w:space="0" w:color="000000"/>
          <w:insideH w:val="single" w:sz="2" w:space="0" w:color="000000"/>
          <w:insideV w:val="single" w:sz="2" w:space="0" w:color="000000"/>
        </w:tblBorders>
        <w:tblLayout w:type="fixed"/>
        <w:tblCellMar>
          <w:left w:w="145" w:type="dxa"/>
          <w:right w:w="145" w:type="dxa"/>
        </w:tblCellMar>
        <w:tblLook w:val="0000"/>
      </w:tblPr>
      <w:tblGrid>
        <w:gridCol w:w="1701"/>
        <w:gridCol w:w="7371"/>
      </w:tblGrid>
      <w:tr w14:paraId="0D45AE31" w14:textId="77777777" w:rsidTr="0002784D">
        <w:tblPrEx>
          <w:tblW w:w="0" w:type="auto"/>
          <w:tblInd w:w="145" w:type="dxa"/>
          <w:tblBorders>
            <w:top w:val="double" w:sz="2" w:space="0" w:color="000000"/>
            <w:left w:val="double" w:sz="2" w:space="0" w:color="000000"/>
            <w:bottom w:val="double" w:sz="2" w:space="0" w:color="000000"/>
            <w:right w:val="double" w:sz="2" w:space="0" w:color="000000"/>
            <w:insideH w:val="single" w:sz="2" w:space="0" w:color="000000"/>
            <w:insideV w:val="single" w:sz="2" w:space="0" w:color="000000"/>
          </w:tblBorders>
          <w:tblLayout w:type="fixed"/>
          <w:tblCellMar>
            <w:left w:w="145" w:type="dxa"/>
            <w:right w:w="145" w:type="dxa"/>
          </w:tblCellMar>
          <w:tblLook w:val="0000"/>
        </w:tblPrEx>
        <w:trPr>
          <w:cantSplit/>
        </w:trPr>
        <w:tc>
          <w:tcPr>
            <w:tcW w:w="1701" w:type="dxa"/>
            <w:shd w:val="pct10" w:color="000000" w:fill="FFFFFF"/>
            <w:vAlign w:val="center"/>
          </w:tcPr>
          <w:p w:rsidR="00AE735B" w:rsidRPr="00BB5DE9" w:rsidP="0002784D" w14:paraId="4B77EC68" w14:textId="77777777">
            <w:pPr>
              <w:pStyle w:val="RollCallVotes"/>
              <w:rPr>
                <w:lang w:val="it-IT"/>
              </w:rPr>
            </w:pPr>
            <w:r w:rsidRPr="00BB5DE9">
              <w:rPr>
                <w:lang w:val="it-IT"/>
              </w:rPr>
              <w:t>12</w:t>
            </w:r>
          </w:p>
        </w:tc>
        <w:tc>
          <w:tcPr>
            <w:tcW w:w="7371" w:type="dxa"/>
            <w:shd w:val="pct10" w:color="000000" w:fill="FFFFFF"/>
          </w:tcPr>
          <w:p w:rsidR="00AE735B" w:rsidRPr="00BB5DE9" w:rsidP="0002784D" w14:paraId="52B53882" w14:textId="77777777">
            <w:pPr>
              <w:pStyle w:val="RollCallSymbols14pt"/>
              <w:rPr>
                <w:lang w:val="it-IT"/>
              </w:rPr>
            </w:pPr>
            <w:r w:rsidRPr="00BB5DE9">
              <w:rPr>
                <w:lang w:val="it-IT"/>
              </w:rPr>
              <w:t>-</w:t>
            </w:r>
          </w:p>
        </w:tc>
      </w:tr>
      <w:tr w14:paraId="2A3A97FA" w14:textId="77777777" w:rsidTr="0002784D">
        <w:tblPrEx>
          <w:tblW w:w="0" w:type="auto"/>
          <w:tblInd w:w="145" w:type="dxa"/>
          <w:tblLayout w:type="fixed"/>
          <w:tblCellMar>
            <w:left w:w="145" w:type="dxa"/>
            <w:right w:w="145" w:type="dxa"/>
          </w:tblCellMar>
          <w:tblLook w:val="0000"/>
        </w:tblPrEx>
        <w:trPr>
          <w:cantSplit/>
        </w:trPr>
        <w:tc>
          <w:tcPr>
            <w:tcW w:w="1701" w:type="dxa"/>
            <w:shd w:val="clear" w:color="auto" w:fill="FFFFFF"/>
          </w:tcPr>
          <w:p w:rsidR="00AE735B" w:rsidRPr="00BB5DE9" w:rsidP="0002784D" w14:paraId="453854E8" w14:textId="77777777">
            <w:pPr>
              <w:pStyle w:val="RollCallTable"/>
              <w:rPr>
                <w:lang w:val="it-IT"/>
              </w:rPr>
            </w:pPr>
            <w:r w:rsidRPr="00BB5DE9">
              <w:rPr>
                <w:lang w:val="it-IT"/>
              </w:rPr>
              <w:t>ECR</w:t>
            </w:r>
          </w:p>
        </w:tc>
        <w:tc>
          <w:tcPr>
            <w:tcW w:w="7371" w:type="dxa"/>
            <w:shd w:val="clear" w:color="auto" w:fill="FFFFFF"/>
          </w:tcPr>
          <w:p w:rsidR="00AE735B" w:rsidRPr="00BB5DE9" w:rsidP="0002784D" w14:paraId="1D1E3095" w14:textId="77777777">
            <w:pPr>
              <w:pStyle w:val="RollCallTable"/>
              <w:rPr>
                <w:lang w:val="it-IT"/>
              </w:rPr>
            </w:pPr>
            <w:r w:rsidRPr="00BB5DE9">
              <w:rPr>
                <w:lang w:val="it-IT"/>
              </w:rPr>
              <w:t>Sebastian Tynkkynen</w:t>
            </w:r>
          </w:p>
        </w:tc>
      </w:tr>
      <w:tr w14:paraId="404B0139" w14:textId="77777777" w:rsidTr="0002784D">
        <w:tblPrEx>
          <w:tblW w:w="0" w:type="auto"/>
          <w:tblInd w:w="145" w:type="dxa"/>
          <w:tblLayout w:type="fixed"/>
          <w:tblCellMar>
            <w:left w:w="145" w:type="dxa"/>
            <w:right w:w="145" w:type="dxa"/>
          </w:tblCellMar>
          <w:tblLook w:val="0000"/>
        </w:tblPrEx>
        <w:trPr>
          <w:cantSplit/>
        </w:trPr>
        <w:tc>
          <w:tcPr>
            <w:tcW w:w="1701" w:type="dxa"/>
            <w:shd w:val="clear" w:color="auto" w:fill="FFFFFF"/>
          </w:tcPr>
          <w:p w:rsidR="00AE735B" w:rsidRPr="00BB5DE9" w:rsidP="0002784D" w14:paraId="24E50F1D" w14:textId="77777777">
            <w:pPr>
              <w:pStyle w:val="RollCallTable"/>
              <w:rPr>
                <w:lang w:val="it-IT"/>
              </w:rPr>
            </w:pPr>
            <w:r w:rsidRPr="00BB5DE9">
              <w:rPr>
                <w:lang w:val="it-IT"/>
              </w:rPr>
              <w:t>ESN</w:t>
            </w:r>
          </w:p>
        </w:tc>
        <w:tc>
          <w:tcPr>
            <w:tcW w:w="7371" w:type="dxa"/>
            <w:shd w:val="clear" w:color="auto" w:fill="FFFFFF"/>
          </w:tcPr>
          <w:p w:rsidR="00AE735B" w:rsidRPr="00BB5DE9" w:rsidP="0002784D" w14:paraId="02819558" w14:textId="77777777">
            <w:pPr>
              <w:pStyle w:val="RollCallTable"/>
              <w:rPr>
                <w:lang w:val="it-IT"/>
              </w:rPr>
            </w:pPr>
            <w:r w:rsidRPr="00BB5DE9">
              <w:rPr>
                <w:lang w:val="it-IT"/>
              </w:rPr>
              <w:t>Petr Bystron, Alexander Sell, Stanislav Stoyanov</w:t>
            </w:r>
          </w:p>
        </w:tc>
      </w:tr>
      <w:tr w14:paraId="2AB46168" w14:textId="77777777" w:rsidTr="0002784D">
        <w:tblPrEx>
          <w:tblW w:w="0" w:type="auto"/>
          <w:tblInd w:w="145" w:type="dxa"/>
          <w:tblLayout w:type="fixed"/>
          <w:tblCellMar>
            <w:left w:w="145" w:type="dxa"/>
            <w:right w:w="145" w:type="dxa"/>
          </w:tblCellMar>
          <w:tblLook w:val="0000"/>
        </w:tblPrEx>
        <w:trPr>
          <w:cantSplit/>
        </w:trPr>
        <w:tc>
          <w:tcPr>
            <w:tcW w:w="1701" w:type="dxa"/>
            <w:shd w:val="clear" w:color="auto" w:fill="FFFFFF"/>
          </w:tcPr>
          <w:p w:rsidR="00AE735B" w:rsidRPr="00BB5DE9" w:rsidP="0002784D" w14:paraId="187AC0A7" w14:textId="77777777">
            <w:pPr>
              <w:pStyle w:val="RollCallTable"/>
              <w:rPr>
                <w:lang w:val="it-IT"/>
              </w:rPr>
            </w:pPr>
            <w:r w:rsidRPr="00BB5DE9">
              <w:rPr>
                <w:lang w:val="it-IT"/>
              </w:rPr>
              <w:t>NI</w:t>
            </w:r>
          </w:p>
        </w:tc>
        <w:tc>
          <w:tcPr>
            <w:tcW w:w="7371" w:type="dxa"/>
            <w:shd w:val="clear" w:color="auto" w:fill="FFFFFF"/>
          </w:tcPr>
          <w:p w:rsidR="00AE735B" w:rsidRPr="00BB5DE9" w:rsidP="0002784D" w14:paraId="383D8216" w14:textId="77777777">
            <w:pPr>
              <w:pStyle w:val="RollCallTable"/>
              <w:rPr>
                <w:lang w:val="it-IT"/>
              </w:rPr>
            </w:pPr>
            <w:r w:rsidRPr="00BB5DE9">
              <w:rPr>
                <w:lang w:val="it-IT"/>
              </w:rPr>
              <w:t>Ľuboš Blaha, Grzegorz Braun, Kostas Papadakis</w:t>
            </w:r>
          </w:p>
        </w:tc>
      </w:tr>
      <w:tr w14:paraId="54631704" w14:textId="77777777" w:rsidTr="0002784D">
        <w:tblPrEx>
          <w:tblW w:w="0" w:type="auto"/>
          <w:tblInd w:w="145" w:type="dxa"/>
          <w:tblLayout w:type="fixed"/>
          <w:tblCellMar>
            <w:left w:w="145" w:type="dxa"/>
            <w:right w:w="145" w:type="dxa"/>
          </w:tblCellMar>
          <w:tblLook w:val="0000"/>
        </w:tblPrEx>
        <w:trPr>
          <w:cantSplit/>
        </w:trPr>
        <w:tc>
          <w:tcPr>
            <w:tcW w:w="1701" w:type="dxa"/>
            <w:shd w:val="clear" w:color="auto" w:fill="FFFFFF"/>
          </w:tcPr>
          <w:p w:rsidR="00AE735B" w:rsidRPr="00BB5DE9" w:rsidP="0002784D" w14:paraId="65099D55" w14:textId="77777777">
            <w:pPr>
              <w:pStyle w:val="RollCallTable"/>
              <w:rPr>
                <w:lang w:val="it-IT"/>
              </w:rPr>
            </w:pPr>
            <w:r w:rsidRPr="00BB5DE9">
              <w:rPr>
                <w:lang w:val="it-IT"/>
              </w:rPr>
              <w:t>PfE</w:t>
            </w:r>
          </w:p>
        </w:tc>
        <w:tc>
          <w:tcPr>
            <w:tcW w:w="7371" w:type="dxa"/>
            <w:shd w:val="clear" w:color="auto" w:fill="FFFFFF"/>
          </w:tcPr>
          <w:p w:rsidR="00AE735B" w:rsidRPr="00BB5DE9" w:rsidP="0002784D" w14:paraId="3CE5BBD1" w14:textId="77777777">
            <w:pPr>
              <w:pStyle w:val="RollCallTable"/>
              <w:rPr>
                <w:lang w:val="it-IT"/>
              </w:rPr>
            </w:pPr>
            <w:r w:rsidRPr="00BB5DE9">
              <w:rPr>
                <w:lang w:val="it-IT"/>
              </w:rPr>
              <w:t>Mieke Andriese, Fabrice Leggeri, Hermann Tertsch, Pierre-Romain Thionnet, Harald Vilimsky</w:t>
            </w:r>
          </w:p>
        </w:tc>
      </w:tr>
    </w:tbl>
    <w:p w:rsidR="00AE735B" w:rsidRPr="00BB5DE9" w:rsidP="00C92319" w14:paraId="7876E957" w14:textId="77777777"/>
    <w:tbl>
      <w:tblPr>
        <w:tblW w:w="0" w:type="auto"/>
        <w:tblInd w:w="145" w:type="dxa"/>
        <w:tblBorders>
          <w:top w:val="double" w:sz="2" w:space="0" w:color="000000"/>
          <w:left w:val="double" w:sz="2" w:space="0" w:color="000000"/>
          <w:bottom w:val="double" w:sz="2" w:space="0" w:color="000000"/>
          <w:right w:val="double" w:sz="2" w:space="0" w:color="000000"/>
          <w:insideH w:val="single" w:sz="2" w:space="0" w:color="000000"/>
          <w:insideV w:val="single" w:sz="2" w:space="0" w:color="000000"/>
        </w:tblBorders>
        <w:tblLayout w:type="fixed"/>
        <w:tblCellMar>
          <w:left w:w="145" w:type="dxa"/>
          <w:right w:w="145" w:type="dxa"/>
        </w:tblCellMar>
        <w:tblLook w:val="0000"/>
      </w:tblPr>
      <w:tblGrid>
        <w:gridCol w:w="1701"/>
        <w:gridCol w:w="7371"/>
      </w:tblGrid>
      <w:tr w14:paraId="341AD423" w14:textId="77777777" w:rsidTr="0002784D">
        <w:tblPrEx>
          <w:tblW w:w="0" w:type="auto"/>
          <w:tblInd w:w="145" w:type="dxa"/>
          <w:tblBorders>
            <w:top w:val="double" w:sz="2" w:space="0" w:color="000000"/>
            <w:left w:val="double" w:sz="2" w:space="0" w:color="000000"/>
            <w:bottom w:val="double" w:sz="2" w:space="0" w:color="000000"/>
            <w:right w:val="double" w:sz="2" w:space="0" w:color="000000"/>
            <w:insideH w:val="single" w:sz="2" w:space="0" w:color="000000"/>
            <w:insideV w:val="single" w:sz="2" w:space="0" w:color="000000"/>
          </w:tblBorders>
          <w:tblLayout w:type="fixed"/>
          <w:tblCellMar>
            <w:left w:w="145" w:type="dxa"/>
            <w:right w:w="145" w:type="dxa"/>
          </w:tblCellMar>
          <w:tblLook w:val="0000"/>
        </w:tblPrEx>
        <w:trPr>
          <w:cantSplit/>
        </w:trPr>
        <w:tc>
          <w:tcPr>
            <w:tcW w:w="1701" w:type="dxa"/>
            <w:shd w:val="pct10" w:color="000000" w:fill="FFFFFF"/>
            <w:vAlign w:val="center"/>
          </w:tcPr>
          <w:p w:rsidR="00AE735B" w:rsidRPr="00BB5DE9" w:rsidP="0002784D" w14:paraId="04E2963C" w14:textId="77777777">
            <w:pPr>
              <w:pStyle w:val="RollCallVotes"/>
              <w:rPr>
                <w:lang w:val="it-IT"/>
              </w:rPr>
            </w:pPr>
            <w:r w:rsidRPr="00BB5DE9">
              <w:rPr>
                <w:lang w:val="it-IT"/>
              </w:rPr>
              <w:t>8</w:t>
            </w:r>
          </w:p>
        </w:tc>
        <w:tc>
          <w:tcPr>
            <w:tcW w:w="7371" w:type="dxa"/>
            <w:shd w:val="pct10" w:color="000000" w:fill="FFFFFF"/>
          </w:tcPr>
          <w:p w:rsidR="00AE735B" w:rsidRPr="00BB5DE9" w:rsidP="0002784D" w14:paraId="03AA375E" w14:textId="77777777">
            <w:pPr>
              <w:pStyle w:val="RollCallSymbols14pt"/>
              <w:rPr>
                <w:lang w:val="it-IT"/>
              </w:rPr>
            </w:pPr>
            <w:r w:rsidRPr="00BB5DE9">
              <w:rPr>
                <w:lang w:val="it-IT"/>
              </w:rPr>
              <w:t>0</w:t>
            </w:r>
          </w:p>
        </w:tc>
      </w:tr>
      <w:tr w14:paraId="7EE4ECB2" w14:textId="77777777" w:rsidTr="0002784D">
        <w:tblPrEx>
          <w:tblW w:w="0" w:type="auto"/>
          <w:tblInd w:w="145" w:type="dxa"/>
          <w:tblLayout w:type="fixed"/>
          <w:tblCellMar>
            <w:left w:w="145" w:type="dxa"/>
            <w:right w:w="145" w:type="dxa"/>
          </w:tblCellMar>
          <w:tblLook w:val="0000"/>
        </w:tblPrEx>
        <w:trPr>
          <w:cantSplit/>
        </w:trPr>
        <w:tc>
          <w:tcPr>
            <w:tcW w:w="1701" w:type="dxa"/>
            <w:shd w:val="clear" w:color="auto" w:fill="FFFFFF"/>
          </w:tcPr>
          <w:p w:rsidR="00AE735B" w:rsidRPr="00BB5DE9" w:rsidP="0002784D" w14:paraId="04490508" w14:textId="77777777">
            <w:pPr>
              <w:pStyle w:val="RollCallTable"/>
              <w:rPr>
                <w:lang w:val="it-IT"/>
              </w:rPr>
            </w:pPr>
            <w:r w:rsidRPr="00BB5DE9">
              <w:rPr>
                <w:lang w:val="it-IT"/>
              </w:rPr>
              <w:t>ECR</w:t>
            </w:r>
          </w:p>
        </w:tc>
        <w:tc>
          <w:tcPr>
            <w:tcW w:w="7371" w:type="dxa"/>
            <w:shd w:val="clear" w:color="auto" w:fill="FFFFFF"/>
          </w:tcPr>
          <w:p w:rsidR="00AE735B" w:rsidRPr="00BB5DE9" w:rsidP="0002784D" w14:paraId="0052ADDF" w14:textId="77777777">
            <w:pPr>
              <w:pStyle w:val="RollCallTable"/>
              <w:rPr>
                <w:lang w:val="it-IT"/>
              </w:rPr>
            </w:pPr>
            <w:r w:rsidRPr="00BB5DE9">
              <w:rPr>
                <w:lang w:val="it-IT"/>
              </w:rPr>
              <w:t>Rihards Kols, Şerban Dimitrie Sturdza, Ivaylo Valchev, Mariateresa Vivaldini</w:t>
            </w:r>
          </w:p>
        </w:tc>
      </w:tr>
      <w:tr w14:paraId="31418304" w14:textId="77777777" w:rsidTr="0002784D">
        <w:tblPrEx>
          <w:tblW w:w="0" w:type="auto"/>
          <w:tblInd w:w="145" w:type="dxa"/>
          <w:tblLayout w:type="fixed"/>
          <w:tblCellMar>
            <w:left w:w="145" w:type="dxa"/>
            <w:right w:w="145" w:type="dxa"/>
          </w:tblCellMar>
          <w:tblLook w:val="0000"/>
        </w:tblPrEx>
        <w:trPr>
          <w:cantSplit/>
        </w:trPr>
        <w:tc>
          <w:tcPr>
            <w:tcW w:w="1701" w:type="dxa"/>
            <w:shd w:val="clear" w:color="auto" w:fill="FFFFFF"/>
          </w:tcPr>
          <w:p w:rsidR="00AE735B" w:rsidRPr="00BB5DE9" w:rsidP="0002784D" w14:paraId="2F595AB5" w14:textId="77777777">
            <w:pPr>
              <w:pStyle w:val="RollCallTable"/>
              <w:rPr>
                <w:lang w:val="it-IT"/>
              </w:rPr>
            </w:pPr>
            <w:r w:rsidRPr="00BB5DE9">
              <w:rPr>
                <w:lang w:val="it-IT"/>
              </w:rPr>
              <w:t>PPE</w:t>
            </w:r>
          </w:p>
        </w:tc>
        <w:tc>
          <w:tcPr>
            <w:tcW w:w="7371" w:type="dxa"/>
            <w:shd w:val="clear" w:color="auto" w:fill="FFFFFF"/>
          </w:tcPr>
          <w:p w:rsidR="00AE735B" w:rsidRPr="00BB5DE9" w:rsidP="0002784D" w14:paraId="11F9A527" w14:textId="77777777">
            <w:pPr>
              <w:pStyle w:val="RollCallTable"/>
              <w:rPr>
                <w:lang w:val="it-IT"/>
              </w:rPr>
            </w:pPr>
            <w:r w:rsidRPr="00BB5DE9">
              <w:rPr>
                <w:lang w:val="it-IT"/>
              </w:rPr>
              <w:t>Christophe Gomart</w:t>
            </w:r>
          </w:p>
        </w:tc>
      </w:tr>
      <w:tr w14:paraId="062B3410" w14:textId="77777777" w:rsidTr="0002784D">
        <w:tblPrEx>
          <w:tblW w:w="0" w:type="auto"/>
          <w:tblInd w:w="145" w:type="dxa"/>
          <w:tblLayout w:type="fixed"/>
          <w:tblCellMar>
            <w:left w:w="145" w:type="dxa"/>
            <w:right w:w="145" w:type="dxa"/>
          </w:tblCellMar>
          <w:tblLook w:val="0000"/>
        </w:tblPrEx>
        <w:trPr>
          <w:cantSplit/>
        </w:trPr>
        <w:tc>
          <w:tcPr>
            <w:tcW w:w="1701" w:type="dxa"/>
            <w:shd w:val="clear" w:color="auto" w:fill="FFFFFF"/>
          </w:tcPr>
          <w:p w:rsidR="00AE735B" w:rsidRPr="00BB5DE9" w:rsidP="0002784D" w14:paraId="394BEC9F" w14:textId="77777777">
            <w:pPr>
              <w:pStyle w:val="RollCallTable"/>
              <w:rPr>
                <w:lang w:val="it-IT"/>
              </w:rPr>
            </w:pPr>
            <w:r w:rsidRPr="00BB5DE9">
              <w:rPr>
                <w:lang w:val="it-IT"/>
              </w:rPr>
              <w:t>The Left</w:t>
            </w:r>
          </w:p>
        </w:tc>
        <w:tc>
          <w:tcPr>
            <w:tcW w:w="7371" w:type="dxa"/>
            <w:shd w:val="clear" w:color="auto" w:fill="FFFFFF"/>
          </w:tcPr>
          <w:p w:rsidR="00AE735B" w:rsidRPr="00BB5DE9" w:rsidP="0002784D" w14:paraId="30C16422" w14:textId="77777777">
            <w:pPr>
              <w:pStyle w:val="RollCallTable"/>
              <w:rPr>
                <w:lang w:val="it-IT"/>
              </w:rPr>
            </w:pPr>
            <w:r w:rsidRPr="00BB5DE9">
              <w:rPr>
                <w:lang w:val="it-IT"/>
              </w:rPr>
              <w:t>Marc Botenga, Danilo Della Valle, Giorgos Georgiou</w:t>
            </w:r>
          </w:p>
        </w:tc>
      </w:tr>
    </w:tbl>
    <w:p w:rsidR="00AE735B" w:rsidRPr="00BB5DE9" w:rsidP="00147FBF" w14:paraId="4278F6C5" w14:textId="77777777">
      <w:pPr>
        <w:pStyle w:val="Normal12a"/>
        <w:rPr>
          <w:lang w:val="it-IT"/>
        </w:rPr>
      </w:pPr>
    </w:p>
    <w:p w:rsidR="00AE735B" w:rsidRPr="00BB5DE9" w:rsidP="00B735E3" w14:paraId="359FBCCF" w14:textId="77777777">
      <w:r w:rsidRPr="00BB5DE9">
        <w:t>Significato dei simboli utilizzati:</w:t>
      </w:r>
    </w:p>
    <w:p w:rsidR="00AE735B" w:rsidRPr="00BB5DE9" w:rsidP="003858C5" w14:paraId="4C1B117D" w14:textId="77777777">
      <w:pPr>
        <w:pStyle w:val="RollCallTabs"/>
        <w:rPr>
          <w:lang w:val="it-IT"/>
        </w:rPr>
      </w:pPr>
      <w:r w:rsidRPr="00BB5DE9">
        <w:rPr>
          <w:lang w:val="it-IT"/>
        </w:rPr>
        <w:t>+</w:t>
      </w:r>
      <w:r w:rsidRPr="00BB5DE9">
        <w:rPr>
          <w:lang w:val="it-IT"/>
        </w:rPr>
        <w:tab/>
        <w:t>:</w:t>
      </w:r>
      <w:r w:rsidRPr="00BB5DE9">
        <w:rPr>
          <w:lang w:val="it-IT"/>
        </w:rPr>
        <w:tab/>
        <w:t>favorevoli</w:t>
      </w:r>
    </w:p>
    <w:p w:rsidR="00AE735B" w:rsidRPr="00BB5DE9" w:rsidP="003858C5" w14:paraId="457ABC68" w14:textId="77777777">
      <w:pPr>
        <w:pStyle w:val="RollCallTabs"/>
        <w:rPr>
          <w:lang w:val="it-IT"/>
        </w:rPr>
      </w:pPr>
      <w:r w:rsidRPr="00BB5DE9">
        <w:rPr>
          <w:lang w:val="it-IT"/>
        </w:rPr>
        <w:t>-</w:t>
      </w:r>
      <w:r w:rsidRPr="00BB5DE9">
        <w:rPr>
          <w:lang w:val="it-IT"/>
        </w:rPr>
        <w:tab/>
        <w:t>:</w:t>
      </w:r>
      <w:r w:rsidRPr="00BB5DE9">
        <w:rPr>
          <w:lang w:val="it-IT"/>
        </w:rPr>
        <w:tab/>
        <w:t>contrari</w:t>
      </w:r>
    </w:p>
    <w:p w:rsidR="00AE735B" w:rsidRPr="00BB5DE9" w:rsidP="003858C5" w14:paraId="109AAD03" w14:textId="77777777">
      <w:pPr>
        <w:pStyle w:val="RollCallTabs"/>
        <w:rPr>
          <w:lang w:val="it-IT"/>
        </w:rPr>
      </w:pPr>
      <w:r w:rsidRPr="00BB5DE9">
        <w:rPr>
          <w:lang w:val="it-IT"/>
        </w:rPr>
        <w:t>0</w:t>
      </w:r>
      <w:r w:rsidRPr="00BB5DE9">
        <w:rPr>
          <w:lang w:val="it-IT"/>
        </w:rPr>
        <w:tab/>
        <w:t>:</w:t>
      </w:r>
      <w:r w:rsidRPr="00BB5DE9">
        <w:rPr>
          <w:lang w:val="it-IT"/>
        </w:rPr>
        <w:tab/>
        <w:t>astenuti</w:t>
      </w:r>
    </w:p>
    <w:p w:rsidR="00AE735B" w:rsidRPr="00BB5DE9" w:rsidP="00207509" w14:paraId="18EC0DA8" w14:textId="77777777"/>
    <w:p w:rsidR="00AE735B" w:rsidRPr="00BB5DE9" w:rsidP="00D047FB" w14:paraId="32D49709" w14:textId="77777777"/>
    <w:p w:rsidR="00AE735B" w:rsidRPr="00BB5DE9" w:rsidP="00AE735B" w14:paraId="0A77D91B" w14:textId="77777777">
      <w:pPr>
        <w:rPr>
          <w:snapToGrid/>
          <w:lang w:eastAsia="en-GB"/>
        </w:rPr>
        <w:sectPr w:rsidSect="00AE735B">
          <w:footnotePr>
            <w:numRestart w:val="eachSect"/>
          </w:footnotePr>
          <w:endnotePr>
            <w:numFmt w:val="decimal"/>
          </w:endnotePr>
          <w:pgSz w:w="11906" w:h="16838" w:code="9"/>
          <w:pgMar w:top="1134" w:right="1418" w:bottom="1134" w:left="1418" w:header="1134" w:footer="567" w:gutter="0"/>
          <w:cols w:space="720"/>
          <w:noEndnote/>
          <w:docGrid w:linePitch="326"/>
        </w:sectPr>
      </w:pPr>
    </w:p>
    <w:p w:rsidR="00AE735B" w:rsidRPr="00BB5DE9" w:rsidP="00AE735B" w14:paraId="05E08D85" w14:textId="77777777">
      <w:pPr>
        <w:pStyle w:val="Normal24a"/>
        <w:rPr>
          <w:lang w:val="it-IT"/>
        </w:rPr>
      </w:pPr>
      <w:r w:rsidRPr="00BB5DE9">
        <w:rPr>
          <w:rStyle w:val="HideTWBExt"/>
          <w:lang w:val="it-IT"/>
        </w:rPr>
        <w:t>&lt;Date&gt;</w:t>
      </w:r>
      <w:r w:rsidRPr="00BB5DE9">
        <w:rPr>
          <w:rStyle w:val="HideTWBInt"/>
          <w:lang w:val="it-IT"/>
        </w:rPr>
        <w:t>{16/09/2026}</w:t>
      </w:r>
      <w:r w:rsidRPr="00BB5DE9">
        <w:rPr>
          <w:lang w:val="it-IT"/>
        </w:rPr>
        <w:t>16.9.2026</w:t>
      </w:r>
      <w:r w:rsidRPr="00BB5DE9">
        <w:rPr>
          <w:rStyle w:val="HideTWBExt"/>
          <w:lang w:val="it-IT"/>
        </w:rPr>
        <w:t>&lt;/Date&gt;</w:t>
      </w:r>
    </w:p>
    <w:p w:rsidR="00AE735B" w:rsidRPr="00BB5DE9" w:rsidP="00AE735B" w14:paraId="65D4F51B" w14:textId="65C1F023">
      <w:pPr>
        <w:pStyle w:val="PageHeading"/>
      </w:pPr>
      <w:r w:rsidRPr="00BB5DE9">
        <w:rPr>
          <w:rStyle w:val="HideTWBExt"/>
          <w:b w:val="0"/>
        </w:rPr>
        <w:t>&lt;CommissionResp&gt;</w:t>
      </w:r>
      <w:bookmarkStart w:id="7" w:name="OpinionToc_2"/>
      <w:bookmarkStart w:id="8" w:name="_Toc243036419"/>
      <w:r w:rsidRPr="00BB5DE9">
        <w:t>PARERE DELLA COMMISSIONE PER LO SVILUPPO</w:t>
      </w:r>
      <w:bookmarkEnd w:id="7"/>
      <w:bookmarkEnd w:id="8"/>
      <w:r w:rsidRPr="00BB5DE9">
        <w:rPr>
          <w:rStyle w:val="HideTWBExt"/>
          <w:b w:val="0"/>
        </w:rPr>
        <w:t>&lt;/CommissionResp&gt;</w:t>
      </w:r>
    </w:p>
    <w:p w:rsidR="00AE735B" w:rsidRPr="00BB5DE9" w:rsidP="00AE735B" w14:paraId="35CC0213" w14:textId="77777777">
      <w:pPr>
        <w:pStyle w:val="Normal12a"/>
        <w:rPr>
          <w:lang w:val="it-IT"/>
        </w:rPr>
      </w:pPr>
      <w:r w:rsidRPr="00BB5DE9">
        <w:rPr>
          <w:rStyle w:val="HideTWBExt"/>
          <w:lang w:val="it-IT"/>
        </w:rPr>
        <w:t>&lt;CommissionInt&gt;</w:t>
      </w:r>
      <w:r w:rsidRPr="00BB5DE9">
        <w:rPr>
          <w:lang w:val="it-IT"/>
        </w:rPr>
        <w:t>destinato alla commissione per i bilanci</w:t>
      </w:r>
      <w:r w:rsidRPr="00BB5DE9">
        <w:rPr>
          <w:rStyle w:val="HideTWBExt"/>
          <w:lang w:val="it-IT"/>
        </w:rPr>
        <w:t>&lt;/CommissionInt&gt;</w:t>
      </w:r>
    </w:p>
    <w:p w:rsidR="00AE735B" w:rsidRPr="00BB5DE9" w:rsidP="00AE735B" w14:paraId="6E7850A4" w14:textId="77777777">
      <w:r w:rsidRPr="00BB5DE9">
        <w:rPr>
          <w:rStyle w:val="HideTWBExt"/>
        </w:rPr>
        <w:t>&lt;Titre&gt;</w:t>
      </w:r>
      <w:r w:rsidRPr="00BB5DE9">
        <w:t>sul bilancio generale dell'Unione europea per l'esercizio 2027</w:t>
      </w:r>
      <w:r w:rsidRPr="00BB5DE9">
        <w:rPr>
          <w:rStyle w:val="HideTWBExt"/>
        </w:rPr>
        <w:t>&lt;/Titre&gt;</w:t>
      </w:r>
    </w:p>
    <w:p w:rsidR="00AE735B" w:rsidRPr="00BB5DE9" w:rsidP="00AE735B" w14:paraId="18BA9732" w14:textId="77777777">
      <w:pPr>
        <w:pStyle w:val="Normal12a"/>
        <w:rPr>
          <w:lang w:val="it-IT"/>
        </w:rPr>
      </w:pPr>
      <w:r w:rsidRPr="00BB5DE9">
        <w:rPr>
          <w:rStyle w:val="HideTWBExt"/>
          <w:lang w:val="it-IT"/>
        </w:rPr>
        <w:t>&lt;DocRef&gt;</w:t>
      </w:r>
      <w:r w:rsidRPr="00BB5DE9">
        <w:rPr>
          <w:lang w:val="it-IT"/>
        </w:rPr>
        <w:t>(2026/0196(BUD))</w:t>
      </w:r>
      <w:r w:rsidRPr="00BB5DE9">
        <w:rPr>
          <w:rStyle w:val="HideTWBExt"/>
          <w:lang w:val="it-IT"/>
        </w:rPr>
        <w:t>&lt;/DocRef&gt;</w:t>
      </w:r>
    </w:p>
    <w:p w:rsidR="00AE735B" w:rsidRPr="00BB5DE9" w:rsidP="00AE735B" w14:paraId="49471721" w14:textId="77777777">
      <w:pPr>
        <w:pStyle w:val="Normal24a"/>
        <w:rPr>
          <w:lang w:val="it-IT"/>
        </w:rPr>
      </w:pPr>
      <w:r w:rsidRPr="00BB5DE9">
        <w:rPr>
          <w:lang w:val="it-IT"/>
        </w:rPr>
        <w:t xml:space="preserve">Relatore per parere: </w:t>
      </w:r>
      <w:r w:rsidRPr="00BB5DE9">
        <w:rPr>
          <w:rStyle w:val="HideTWBExt"/>
          <w:lang w:val="it-IT"/>
        </w:rPr>
        <w:t>&lt;Depute&gt;</w:t>
      </w:r>
      <w:r w:rsidRPr="00BB5DE9">
        <w:rPr>
          <w:lang w:val="it-IT"/>
        </w:rPr>
        <w:t>Charles Goerens</w:t>
      </w:r>
      <w:r w:rsidRPr="00BB5DE9">
        <w:rPr>
          <w:rStyle w:val="HideTWBExt"/>
          <w:lang w:val="it-IT"/>
        </w:rPr>
        <w:t>&lt;/Depute&gt;</w:t>
      </w:r>
    </w:p>
    <w:p w:rsidR="00AE735B" w:rsidRPr="00BB5DE9" w:rsidP="00BB2AC1" w14:paraId="474F2F25" w14:textId="040FD7E1">
      <w:pPr>
        <w:widowControl/>
        <w:tabs>
          <w:tab w:val="center" w:pos="4677"/>
        </w:tabs>
      </w:pPr>
    </w:p>
    <w:p w:rsidR="00AE735B" w:rsidRPr="00BB5DE9" w:rsidP="003E06CF" w14:paraId="43D07655" w14:textId="75F473EB">
      <w:pPr>
        <w:pStyle w:val="PageHeadingNotTOC"/>
      </w:pPr>
      <w:r w:rsidRPr="00BB5DE9">
        <w:t>PARERE</w:t>
      </w:r>
    </w:p>
    <w:p w:rsidR="00AE735B" w:rsidRPr="00BB5DE9" w:rsidP="005C4A75" w14:paraId="2F587731" w14:textId="77777777">
      <w:pPr>
        <w:pStyle w:val="Normal12a"/>
        <w:jc w:val="both"/>
        <w:rPr>
          <w:lang w:val="it-IT"/>
        </w:rPr>
      </w:pPr>
      <w:r w:rsidRPr="00BB5DE9">
        <w:rPr>
          <w:lang w:val="it-IT"/>
        </w:rPr>
        <w:t>La commissione per lo sviluppo invita la commissione per i bilanci, competente per il merito, a includere nella proposta di risoluzione che approverà quanto segue:</w:t>
      </w:r>
    </w:p>
    <w:p w:rsidR="00AE735B" w:rsidRPr="00BB5DE9" w:rsidP="009A7188" w14:paraId="6FE1643F" w14:textId="77777777">
      <w:pPr>
        <w:pStyle w:val="NormalHanging12a"/>
        <w:rPr>
          <w:szCs w:val="24"/>
        </w:rPr>
      </w:pPr>
      <w:r w:rsidRPr="00BB5DE9">
        <w:t>A.</w:t>
      </w:r>
      <w:r w:rsidRPr="00BB5DE9">
        <w:tab/>
        <w:t>considerando che è nell'interesse strategico dell'Unione promuovere partenariati internazionali credibili, affidabili, inclusivi e reciprocamente vantaggiosi che accrescono la sua sicurezza, prosperità e resilienza, continuando nel contempo ad adoperarsi a favore dell'eliminazione della povertà, dello sviluppo economico e dell'autosufficienza in paesi partner, del rispetto degli impegni internazionali come gli obiettivi di sviluppo sostenibile, nonché della lotta alla fragilità, laddove è più necessario; che tali partenariati offrono all'Unione l'opportunità di diventare un leader mondiale nella cooperazione allo sviluppo e negli aiuti umanitari e un mezzo per diffondere i valori dell'UE;</w:t>
      </w:r>
    </w:p>
    <w:p w:rsidR="00AE735B" w:rsidRPr="00BB5DE9" w:rsidP="00E53F3C" w14:paraId="34CFAFBC" w14:textId="77777777">
      <w:pPr>
        <w:pStyle w:val="NormalHanging12a"/>
        <w:rPr>
          <w:bCs/>
          <w:iCs/>
        </w:rPr>
      </w:pPr>
      <w:r w:rsidRPr="00BB5DE9">
        <w:rPr>
          <w:color w:val="000000"/>
        </w:rPr>
        <w:t>B.</w:t>
      </w:r>
      <w:r w:rsidRPr="00BB5DE9">
        <w:rPr>
          <w:color w:val="000000"/>
        </w:rPr>
        <w:tab/>
      </w:r>
      <w:r w:rsidRPr="00BB5DE9">
        <w:t>considerando che si prevede che l'aiuto pubblico allo sviluppo (APS) diminuirà ulteriormente nel 2027, tornando approssimativamente ai livelli del 2020 nonostante le crescenti esigenze di sviluppo a livello mondiale</w:t>
      </w:r>
      <w:r>
        <w:rPr>
          <w:rStyle w:val="FootnoteReference"/>
          <w:bCs/>
          <w:iCs/>
        </w:rPr>
        <w:footnoteReference w:id="18"/>
      </w:r>
      <w:r w:rsidRPr="00BB5DE9">
        <w:t>;</w:t>
      </w:r>
    </w:p>
    <w:p w:rsidR="00AE735B" w:rsidRPr="00BB5DE9" w:rsidP="00E53F3C" w14:paraId="1E959A0A" w14:textId="77777777">
      <w:pPr>
        <w:pStyle w:val="NormalHanging12a"/>
        <w:rPr>
          <w:bCs/>
          <w:iCs/>
        </w:rPr>
      </w:pPr>
      <w:r w:rsidRPr="00BB5DE9">
        <w:t>C.</w:t>
      </w:r>
      <w:r w:rsidRPr="00BB5DE9">
        <w:tab/>
        <w:t>considerando che si prevede che nel 2025 i paesi meno avanzati (PMA) registreranno una riduzione compresa tra il 13 % e il 25 % dei fornitori di APS bilaterale netto, mentre i paesi dell'Africa subsahariana potrebbero subire cali compresi tra il 16 % e il 28 %, che colpiranno in modo sproporzionato i paesi che affrontano maggiori sfide in materia di sviluppo;</w:t>
      </w:r>
    </w:p>
    <w:p w:rsidR="00AE735B" w:rsidRPr="00BB5DE9" w:rsidP="00B13458" w14:paraId="6C4323D5" w14:textId="77777777">
      <w:pPr>
        <w:pStyle w:val="NormalHanging12a"/>
      </w:pPr>
      <w:r w:rsidRPr="00BB5DE9">
        <w:t>D.</w:t>
      </w:r>
      <w:r w:rsidRPr="00BB5DE9">
        <w:tab/>
        <w:t xml:space="preserve">considerando che, secondo la panoramica umanitaria globale 2026, oltre 250 milioni di persone necessitano di assistenza e protezione umanitaria a causa del protrarsi o dell'intensificarsi dei conflitti, degli sfollamenti forzati e di un numero crescente di catastrofi legate a condizioni meteorologiche estreme; che si prevede che nella seconda metà del 2026 un importante fenomeno climatico ciclico aggraverà la siccità, le inondazioni, il caldo e le tempeste in molte regioni del mondo, causando pesanti </w:t>
      </w:r>
      <w:r w:rsidRPr="00BB5DE9">
        <w:t>ripercussioni che si protrarranno nel 2027</w:t>
      </w:r>
      <w:r>
        <w:rPr>
          <w:rStyle w:val="FootnoteReference"/>
          <w:szCs w:val="24"/>
        </w:rPr>
        <w:footnoteReference w:id="19"/>
      </w:r>
      <w:r w:rsidRPr="00BB5DE9">
        <w:t>, come indicato dal recente appello a favore di azioni preventive pubblicato congiuntamente dalla FAO e dal programma alimentare mondiale (PAM) per mobilitare 202 milioni di USD al fine di proteggere 8,8 milioni di persone in 22 paesi ad alto rischio dagli effetti che si prevede avranno queste condizioni meteorologiche estreme; invita l'Unione a cooperare da vicino con i partner internazionali nell'affrontare le sfide globali più urgenti;</w:t>
      </w:r>
    </w:p>
    <w:p w:rsidR="00AE735B" w:rsidRPr="00BB5DE9" w:rsidP="00394992" w14:paraId="66C2970A" w14:textId="77777777">
      <w:pPr>
        <w:pStyle w:val="NormalHanging12a"/>
      </w:pPr>
      <w:bookmarkStart w:id="9" w:name="_Hlk232696543"/>
      <w:r w:rsidRPr="00BB5DE9">
        <w:t>E.</w:t>
      </w:r>
      <w:r w:rsidRPr="00BB5DE9">
        <w:tab/>
        <w:t>considerando che sono necessari finanziamenti adeguati, specialmente in contesti di fragilità, che consentano l'applicazione dell'approccio basato sul nesso tra azione umanitaria, sviluppo e pace; che a metà giugno 2026 meno del 30 % delle esigenze di assistenza umanitaria a livello mondiale era stato soddisfatto; che l'UE e i partner internazionali devono difendere i principi umanitari di umanità, neutralità, indipendenza e imparzialità; considerando che sono necessari ulteriori sforzi e un maggiore coordinamento dei donatori per ampliare la base di donatori per l'azione umanitaria, al fine di affrontare il crescente deficit di finanziamenti umanitari;</w:t>
      </w:r>
    </w:p>
    <w:p w:rsidR="00AE735B" w:rsidRPr="00BB5DE9" w:rsidP="00B22618" w14:paraId="522953CB" w14:textId="77777777">
      <w:pPr>
        <w:pStyle w:val="NormalHanging12a"/>
        <w:rPr>
          <w:szCs w:val="24"/>
        </w:rPr>
      </w:pPr>
      <w:r w:rsidRPr="00BB5DE9">
        <w:t>F.</w:t>
      </w:r>
      <w:r w:rsidRPr="00BB5DE9">
        <w:tab/>
        <w:t>considerando che i contratti di sviluppo dell'Unione dovrebbero garantire una concorrenza leale escludendo le imprese di paesi non alleati che attuano pratiche di dumping comprovate e sovvenzionate dallo Stato;</w:t>
      </w:r>
    </w:p>
    <w:p w:rsidR="00AE735B" w:rsidRPr="00BB5DE9" w:rsidP="00B22618" w14:paraId="16806193" w14:textId="77777777">
      <w:pPr>
        <w:pStyle w:val="NormalHanging12a"/>
        <w:rPr>
          <w:szCs w:val="24"/>
        </w:rPr>
      </w:pPr>
      <w:r w:rsidRPr="00BB5DE9">
        <w:t>G.</w:t>
      </w:r>
      <w:r w:rsidRPr="00BB5DE9">
        <w:tab/>
        <w:t>considerando che la scolarizzazione durante le crisi richiede un sostegno supplementare per evitare che i bambini abbandonino la scuola;</w:t>
      </w:r>
    </w:p>
    <w:bookmarkEnd w:id="9"/>
    <w:p w:rsidR="00AE735B" w:rsidRPr="00BB5DE9" w:rsidP="00980264" w14:paraId="562BFB2D" w14:textId="77777777">
      <w:pPr>
        <w:pStyle w:val="NormalHanging12a"/>
        <w:rPr>
          <w:bCs/>
          <w:iCs/>
          <w:szCs w:val="24"/>
        </w:rPr>
      </w:pPr>
      <w:r w:rsidRPr="00BB5DE9">
        <w:t>1.</w:t>
      </w:r>
      <w:r w:rsidRPr="00BB5DE9">
        <w:tab/>
        <w:t>rileva che il margine per la rubrica 6 del progetto di bilancio per il 2027 è di 100 milioni di EUR e che lo spazio di manovra per far fronte a nuove sfide è limitato, il che indebolisce l'UE quale attore esterno in tempi di incertezza geopolitica e finanziaria globale; ricorda che la riserva NDICI-Europa globale è stata esaurita rapidamente, sebbene alcune delle sue passate mobilitazioni non siano state dovute a difficoltà impreviste; rileva che la dotazione per l'azione esterna deve affrontare un numero crescente di priorità geopolitiche, umanitarie e di sviluppo; sottolinea pertanto la necessità di massimizzare l'efficacia della spesa esterna dell'UE, in stretta collaborazione con i paesi partner e i partner internazionali;</w:t>
      </w:r>
    </w:p>
    <w:p w:rsidR="00AE735B" w:rsidRPr="00BB5DE9" w:rsidP="00757657" w14:paraId="704FBEB8" w14:textId="77777777">
      <w:pPr>
        <w:pStyle w:val="NormalHanging12a"/>
        <w:rPr>
          <w:szCs w:val="24"/>
        </w:rPr>
      </w:pPr>
      <w:r w:rsidRPr="00BB5DE9">
        <w:t>2.</w:t>
      </w:r>
      <w:r w:rsidRPr="00BB5DE9">
        <w:tab/>
        <w:t xml:space="preserve">sottolinea la necessità di un significativo potenziamento degli aiuti umanitari e che l'importo di riferimento proposto per il 2027, pari a 1 866 milioni di EUR, non è commisurato alle esigenze previste, in un contesto in cui le crisi umanitarie si intensificano e si diffondono in tutto il mondo e altre milioni di persone rischiano di dover affrontare sfollamenti e subire la fame; ricorda, a tale proposito, che la riserva per gli aiuti d'urgenza, ossia 607 milioni di EUR per il 2027 a prezzi correnti, deve rispettare la sua finalità originaria; sottolinea che l'UE dovrebbe dare priorità ai finanziamenti umanitari per le esigenze più acute e immediate, tra cui l'alimentazione, l'alloggio e i servizi essenziali, e che il crescente deficit di finanziamenti umanitari richiede una cooperazione e una condivisione degli oneri ancora più forti con altri partner internazionali, organizzazioni multilaterali e partner che condividono gli stessi </w:t>
      </w:r>
      <w:r w:rsidRPr="00BB5DE9">
        <w:t>principi;</w:t>
      </w:r>
    </w:p>
    <w:p w:rsidR="00AE735B" w:rsidRPr="00BB5DE9" w:rsidP="009A7188" w14:paraId="3E547CB9" w14:textId="77777777">
      <w:pPr>
        <w:spacing w:after="240"/>
        <w:ind w:left="567" w:hanging="567"/>
        <w:rPr>
          <w:szCs w:val="24"/>
        </w:rPr>
      </w:pPr>
      <w:r w:rsidRPr="00BB5DE9">
        <w:t>3.</w:t>
      </w:r>
      <w:r w:rsidRPr="00BB5DE9">
        <w:tab/>
        <w:t xml:space="preserve">esprime preoccupazione in merito alla proposta della Commissione di destinare la totalità dei rientri provenienti dalla copertura dell'EFSD al finanziamento dei costi di servizio del debito relativi al prestito a sostegno dell'Ucraina, anziché ripartirli tra tutte le regioni ammissibili, in linea con le dotazioni geografiche previste dall'NDICI-Europa globale e con il regolamento (UE) n. 2026/995 per quanto riguarda una maggiore efficienza della garanzia per le azioni esterne; </w:t>
      </w:r>
    </w:p>
    <w:p w:rsidR="00AE735B" w:rsidRPr="00BB5DE9" w:rsidP="00CC78C3" w14:paraId="4A41A3FE" w14:textId="77777777">
      <w:pPr>
        <w:pStyle w:val="NormalHanging12a"/>
      </w:pPr>
      <w:r w:rsidRPr="00BB5DE9">
        <w:t>4.</w:t>
      </w:r>
      <w:r w:rsidRPr="00BB5DE9">
        <w:tab/>
        <w:t>ribadisce la propria preoccupazione per il fatto che, a seguito della revisione intermedia del QFP, i programmi geografici per l'Africa subsahariana sono stati ridotti per il periodo 2024-2027; sottolinea l'importanza di mantenere solidi partenariati con l'Africa subsahariana, riconoscendo nel contempo la necessità di rispondere all'evoluzione delle sfide geopolitiche e alle priorità emergenti; ricorda che l'articolo 6, paragrafo 2, lettera a), del regolamento NDICI-Europa globale stabilisce una dotazione minima per l'Africa subsahariana di almeno 29,18 miliardi di EUR entro il 2027, il che costituisce un obbligo giuridico; invita la Commissione a garantire che il bilancio 2027 colmi tale divario e rispetti pienamente le priorità geografiche stabilite nel regolamento;</w:t>
      </w:r>
    </w:p>
    <w:p w:rsidR="00AE735B" w:rsidRPr="00BB5DE9" w:rsidP="00D1344F" w14:paraId="533D187F" w14:textId="77777777">
      <w:pPr>
        <w:pStyle w:val="NormalHanging12a"/>
        <w:rPr>
          <w:szCs w:val="24"/>
        </w:rPr>
      </w:pPr>
      <w:r w:rsidRPr="00BB5DE9">
        <w:t>5.</w:t>
      </w:r>
      <w:r w:rsidRPr="00BB5DE9">
        <w:tab/>
        <w:t>sottolinea la necessità di rafforzare il sostegno alla nutrizione e all'istruzione, poiché le donne e i bambini sono colpiti in modo sproporzionato dai tagli agli aiuti e dalle crisi; chiede maggiori finanziamenti per l'assistenza sanitaria, in particolare per le risposte alle emergenze umanitarie e di sanità pubblica, quali il controllo, la prevenzione e la sorveglianza delle malattie; sottolinea che la recente epidemia di Ebola ha dimostrato che tali investimenti, in stretta cooperazione con i partner internazionali, sono necessari per individuare, gestire e contenere con efficacia le minacce sanitarie globali; mette in rilievo che solo con un insieme equilibrato e coerente di politiche, sostenute da finanziamenti ambiziosi e prevedibili, l'UE può effettivamente apportare risposte e sostegno coerenti ai paesi in via di sviluppo mentre affrontano le loro sfide strutturali immediate e a lungo termine;</w:t>
      </w:r>
    </w:p>
    <w:p w:rsidR="00AE735B" w:rsidRPr="00BB5DE9" w:rsidP="00657C09" w14:paraId="69E19614" w14:textId="77777777">
      <w:pPr>
        <w:pStyle w:val="NormalHanging12a"/>
        <w:rPr>
          <w:bCs/>
          <w:iCs/>
        </w:rPr>
      </w:pPr>
      <w:r w:rsidRPr="00BB5DE9">
        <w:t>6.</w:t>
      </w:r>
      <w:r w:rsidRPr="00BB5DE9">
        <w:tab/>
        <w:t>osserva che, alla luce della crisi in Medio Oriente e del peggioramento della situazione umanitaria a Gaza e in tutta la regione, sono essenziali ulteriori finanziamenti a titolo della rubrica "Vicinato meridionale" per garantire l'accesso continuo ai servizi essenziali per lo sviluppo umano, quali la sanità e l'istruzione primaria per i rifugiati palestinesi, per sostenere la stabilità regionale e per ribadire l'impegno dell'UE a favore dei diritti umani e del diritto internazionale;</w:t>
      </w:r>
    </w:p>
    <w:p w:rsidR="00AE735B" w:rsidRPr="00BB5DE9" w:rsidP="0061450F" w14:paraId="0E476438" w14:textId="77777777">
      <w:pPr>
        <w:spacing w:after="240"/>
        <w:ind w:left="567" w:hanging="567"/>
        <w:rPr>
          <w:bCs/>
          <w:iCs/>
        </w:rPr>
      </w:pPr>
      <w:r w:rsidRPr="00BB5DE9">
        <w:t xml:space="preserve">7. </w:t>
      </w:r>
      <w:r w:rsidRPr="00BB5DE9">
        <w:tab/>
        <w:t>osserva che attualmente si prevede che la spesa relativa al clima rimanga al di sotto dell'obiettivo del 30 % stabilito nel regolamento NDICI-Europa globale; invita la Commissione a proseguire gli sforzi per garantire che gli obiettivi di spesa per il clima (30 %) e la biodiversità (10 %) siano pienamente conseguiti entro la fine dell'attuale QFP; sottolinea che il conseguimento di tali obiettivi è essenziale per rafforzare la resilienza dei paesi partner agli effetti sempre più intensi dei cambiamenti climatici, della perdita di biodiversità e del degrado ambientale, sempre più spesso riconosciuti come fattori chiave alla base della povertà, dell'insicurezza alimentare, degli sfollamenti e dell'instabilità;</w:t>
      </w:r>
    </w:p>
    <w:p w:rsidR="00AE735B" w:rsidRPr="00BB5DE9" w:rsidP="009A7188" w14:paraId="63DC81D9" w14:textId="77777777">
      <w:pPr>
        <w:spacing w:after="240"/>
        <w:ind w:left="567" w:hanging="567"/>
        <w:rPr>
          <w:szCs w:val="24"/>
        </w:rPr>
      </w:pPr>
      <w:r w:rsidRPr="00BB5DE9">
        <w:t>8.</w:t>
      </w:r>
      <w:r w:rsidRPr="00BB5DE9">
        <w:tab/>
        <w:t xml:space="preserve">osserva che la spesa a titolo dell'NDICI-Europa globale per azioni a sostegno della </w:t>
      </w:r>
      <w:r w:rsidRPr="00BB5DE9">
        <w:t xml:space="preserve">gestione e della governance della migrazione e degli sfollamenti forzati ha superato l'obiettivo indicativo del regolamento fissato al 10 %; rileva che tale spesa, unitamente agli adeguamenti della revisione intermedia, riduce la percentuale di finanziamenti disponibili per altri settori; </w:t>
      </w:r>
    </w:p>
    <w:p w:rsidR="00AE735B" w:rsidRPr="00BB5DE9" w:rsidP="00394992" w14:paraId="1D6E42F1" w14:textId="77777777">
      <w:pPr>
        <w:spacing w:after="240"/>
        <w:ind w:left="567" w:hanging="567"/>
      </w:pPr>
      <w:r w:rsidRPr="00BB5DE9">
        <w:t>9.</w:t>
      </w:r>
      <w:r w:rsidRPr="00BB5DE9">
        <w:tab/>
        <w:t>esprime grave inquietudine per la drastica riduzione degli aiuti umanitari e allo sviluppo da parte dei maggiori donatori mondiali, tra cui diversi Stati membri dell'UE, che nel 2025 hanno fornito complessivamente quasi il 10 % di aiuto pubblico allo sviluppo (APS) in meno rispetto al 2024, allontanandosi ulteriormente dal loro obiettivo collettivo di versare lo 0,7 % del reddito nazionale lordo (RNL) a titolo di APS; manifesta profonda preoccupazione per la riduzione degli aiuti allo sviluppo degli Stati Uniti e per le potenziali gravi conseguenze a danno delle popolazioni vulnerabili; evidenzia, in tale contesto, che le recenti pressioni di bilancio interne in tutta l'UE hanno portato a riduzioni combinate dell'APS, sottolineando l'urgente necessità di una strategia di finanziamento collettivo più sostenibile; sottolinea che i finanziamenti allo sviluppo devono rimanere incentrati principalmente sull'eliminazione della povertà, sullo sviluppo umano, sulla resilienza, sui diritti umani, sui partenariati e sulla lotta alle cause profonde della disuguaglianza e della fragilità;</w:t>
      </w:r>
    </w:p>
    <w:p w:rsidR="00AE735B" w:rsidRPr="00BB5DE9" w:rsidP="00ED4C16" w14:paraId="2A0ADA9D" w14:textId="77777777">
      <w:pPr>
        <w:pStyle w:val="NormalHanging12a"/>
        <w:rPr>
          <w:bCs/>
          <w:iCs/>
        </w:rPr>
      </w:pPr>
      <w:r w:rsidRPr="00BB5DE9">
        <w:t>10.</w:t>
      </w:r>
      <w:r w:rsidRPr="00BB5DE9">
        <w:tab/>
        <w:t>invita la Commissione a migliorare il monitoraggio, la valutazione e la rendicontazione, sulla base di dati concreti, della distribuzione e dell'impatto degli interventi nei paesi partner, in particolare in settori quali la creazione di posti di lavoro, l'istruzione, il tenore di vita e lo sviluppo delle imprese locali, comprese le PMI, al fine di ottimizzare e ampliare l'impatto locale degli attuali interventi e partenariati dell'UE, sostenere l'elaborazione di progetti futuri con effetti duraturi nei paesi partner, migliorare la trasparenza della spesa e rafforzare il ruolo di controllo del Parlamento nell'ambito dell'autorità di bilancio;</w:t>
      </w:r>
    </w:p>
    <w:p w:rsidR="00AE735B" w:rsidRPr="00BB5DE9" w:rsidP="00ED4C16" w14:paraId="7D718250" w14:textId="77777777">
      <w:pPr>
        <w:pStyle w:val="NormalHanging12a"/>
        <w:rPr>
          <w:bCs/>
          <w:iCs/>
        </w:rPr>
      </w:pPr>
      <w:r w:rsidRPr="00BB5DE9">
        <w:t>11.</w:t>
      </w:r>
      <w:r w:rsidRPr="00BB5DE9">
        <w:tab/>
        <w:t>ricorda che un sostegno finanziario continuo e stabile dell'UE ai paesi in via di sviluppo in settori chiave, quali i diritti e le libertà fondamentali, le organizzazioni della società civile, i cambiamenti climatici, la resilienza economica, la crescita economica sostenibile, lo sviluppo del settore privato, gli investimenti, l'istruzione e le competenze, la trasformazione digitale, la sicurezza energetica, le infrastrutture, la sicurezza alimentare, le cause profonde della migrazione e gli aiuti umanitari, è essenziale per gli impegni che l'UE ha assunto nell'ambito dell'Agenda 2030 e degli obiettivi di sviluppo sostenibile e per permetterle di avere un ruolo di partner credibile a lungo termine nei partenariati internazionali e nello sviluppo economico e sociale dei suoi partner;</w:t>
      </w:r>
    </w:p>
    <w:p w:rsidR="00AE735B" w:rsidRPr="00BB5DE9" w:rsidP="00ED4C16" w14:paraId="06A129A2" w14:textId="77777777">
      <w:pPr>
        <w:pStyle w:val="NormalHanging12a"/>
        <w:rPr>
          <w:bCs/>
          <w:iCs/>
        </w:rPr>
      </w:pPr>
      <w:r w:rsidRPr="00BB5DE9">
        <w:t>12.</w:t>
      </w:r>
      <w:r w:rsidRPr="00BB5DE9">
        <w:tab/>
        <w:t xml:space="preserve">sottolinea l'importanza di rafforzare il sostegno per promuovere l'istruzione e la formazione professionale; invita la Commissione a mantenere gli aiuti dell'UE per un'istruzione di qualità nei paesi in via di sviluppo, in particolare nella regione subsahariana, e a porre l'apprendimento e la formazione professionale al centro dello sviluppo umano, dello sviluppo del settore privato e della creazione di posti di lavoro nei paesi partner; sottolinea che gli investimenti nelle competenze e nell'occupabilità, in stretta cooperazione con gli attori del settore privato locale ed europeo, sono essenziali per promuovere una crescita economica sostenibile e rafforzare i partenariati strategici dell'UE; evidenzia, in particolare, il ruolo delle PMI come motori fondamentali della crescita inclusiva, dell'innovazione e della creazione di posti di lavoro a livello locale e </w:t>
      </w:r>
      <w:r w:rsidRPr="00BB5DE9">
        <w:t>chiede un sostegno mirato per migliorare il loro accesso ai finanziamenti, ai mercati e alle opportunità di formazione;</w:t>
      </w:r>
    </w:p>
    <w:p w:rsidR="00AE735B" w:rsidRPr="00BB5DE9" w:rsidP="00ED4C16" w14:paraId="6FC6D4FC" w14:textId="77777777">
      <w:pPr>
        <w:pStyle w:val="NormalHanging12a"/>
        <w:rPr>
          <w:bCs/>
          <w:iCs/>
        </w:rPr>
      </w:pPr>
      <w:r w:rsidRPr="00BB5DE9">
        <w:t>13.</w:t>
      </w:r>
      <w:r w:rsidRPr="00BB5DE9">
        <w:tab/>
        <w:t>prende atto dell'espansione del Global Gateway e sottolinea l'importanza di mobilitare investimenti pubblici e privati per rafforzare le infrastrutture sostenibili, la connettività, la sicurezza energetica e le catene del valore resilienti nei paesi partner come pure lo sviluppo umano;</w:t>
      </w:r>
    </w:p>
    <w:p w:rsidR="00AE735B" w:rsidRPr="00BB5DE9" w:rsidP="00ED4C16" w14:paraId="39E5BD09" w14:textId="77777777">
      <w:pPr>
        <w:pStyle w:val="NormalHanging12a"/>
        <w:rPr>
          <w:bCs/>
          <w:iCs/>
        </w:rPr>
      </w:pPr>
      <w:r w:rsidRPr="00BB5DE9">
        <w:t>14.</w:t>
      </w:r>
      <w:r w:rsidRPr="00BB5DE9">
        <w:tab/>
        <w:t>sottolinea che i finanziamenti dell'UE nell'ambito dell'NDICI-Europa globale per il sostegno al bilancio richiedono impegni di governance credibili, una gestione trasparente delle finanze pubbliche e progressi misurabili verso obiettivi concordati congiuntamente; ricorda che l'efficacia e l'impatto a lungo termine dei finanziamenti esterni dell'UE dipendono da una forte titolarità nazionale e da una cooperazione costruttiva con i paesi partner.</w:t>
      </w:r>
    </w:p>
    <w:p w:rsidR="00AE735B" w:rsidRPr="00BB5DE9" w:rsidP="004C50D7" w14:paraId="3D91D4EA" w14:textId="77777777"/>
    <w:p w:rsidR="00AE735B" w:rsidRPr="00BB5DE9" w:rsidP="004C50D7" w14:paraId="1EA1FC43" w14:textId="77777777">
      <w:pPr>
        <w:sectPr w:rsidSect="00AE735B">
          <w:headerReference w:type="even" r:id="rId17"/>
          <w:headerReference w:type="default" r:id="rId18"/>
          <w:headerReference w:type="first" r:id="rId19"/>
          <w:footerReference w:type="first" r:id="rId20"/>
          <w:footnotePr>
            <w:numRestart w:val="eachSect"/>
          </w:footnotePr>
          <w:endnotePr>
            <w:numFmt w:val="decimal"/>
          </w:endnotePr>
          <w:pgSz w:w="11906" w:h="16838" w:code="9"/>
          <w:pgMar w:top="1134" w:right="1418" w:bottom="1134" w:left="1418" w:header="1134" w:footer="567" w:gutter="0"/>
          <w:cols w:space="720"/>
          <w:noEndnote/>
          <w:docGrid w:linePitch="326"/>
        </w:sectPr>
      </w:pPr>
    </w:p>
    <w:p w:rsidR="00AE735B" w:rsidRPr="00BB5DE9" w:rsidP="004C50D7" w14:paraId="4757555B" w14:textId="77777777">
      <w:pPr>
        <w:pStyle w:val="PageHeadingNotTOC"/>
      </w:pPr>
      <w:r w:rsidRPr="00BB5DE9">
        <w:t>ALLEGATO: DICHIARAZIONE DEI CONTRIBUTI</w:t>
      </w:r>
    </w:p>
    <w:p w:rsidR="00AE735B" w:rsidRPr="00BB5DE9" w:rsidP="004C50D7" w14:paraId="7C7254AE" w14:textId="77777777">
      <w:pPr>
        <w:pStyle w:val="Normal24a"/>
        <w:rPr>
          <w:lang w:val="it-IT"/>
        </w:rPr>
      </w:pPr>
      <w:r w:rsidRPr="00BB5DE9">
        <w:rPr>
          <w:rStyle w:val="HideTWBExt"/>
          <w:lang w:val="it-IT"/>
        </w:rPr>
        <w:t>&lt;FootprintIntro&gt;</w:t>
      </w:r>
      <w:r w:rsidRPr="00BB5DE9">
        <w:rPr>
          <w:lang w:val="it-IT"/>
        </w:rPr>
        <w:t>Il relatore per parere dichiara, sotto la sua esclusiva responsabilità, di non aver incluso nel suo parere alcun contributo di rappresentanti di interessi che rientrano nell'ambito di applicazione dell'accordo interistituzionale su un registro per la trasparenza obbligatorio</w:t>
      </w:r>
      <w:r>
        <w:rPr>
          <w:rStyle w:val="FootnoteReference"/>
          <w:lang w:val="it-IT"/>
        </w:rPr>
        <w:footnoteReference w:id="20"/>
      </w:r>
      <w:r w:rsidRPr="00BB5DE9">
        <w:rPr>
          <w:lang w:val="it-IT"/>
        </w:rPr>
        <w:t>, o di rappresentanti delle pubbliche autorità di paesi terzi, incluse le loro missioni diplomatiche e ambasciate, da enumerare nel presente allegato in virtù dell'allegato I, articolo 8, del regolamento.</w:t>
      </w:r>
      <w:r w:rsidRPr="00BB5DE9">
        <w:rPr>
          <w:rStyle w:val="HideTWBExt"/>
          <w:lang w:val="it-IT"/>
        </w:rPr>
        <w:t>&lt;/FootprintIntro&gt;</w:t>
      </w:r>
    </w:p>
    <w:p w:rsidR="00AE735B" w:rsidRPr="00BB5DE9" w:rsidP="004C50D7" w14:paraId="49278222" w14:textId="77777777"/>
    <w:p w:rsidR="00AE735B" w:rsidRPr="00BB5DE9" w:rsidP="004C50D7" w14:paraId="0BB833FD" w14:textId="77777777">
      <w:pPr>
        <w:sectPr w:rsidSect="00AE735B">
          <w:pgSz w:w="11894" w:h="15840"/>
          <w:pgMar w:top="1700" w:right="1417" w:bottom="1417" w:left="1417" w:header="720" w:footer="720" w:gutter="0"/>
          <w:cols w:space="720"/>
          <w:noEndnote/>
          <w:docGrid w:linePitch="326"/>
        </w:sectPr>
      </w:pPr>
    </w:p>
    <w:p w:rsidR="00AE735B" w:rsidRPr="00BB5DE9" w:rsidP="009A7188" w14:paraId="34AF1806" w14:textId="77777777">
      <w:pPr>
        <w:pStyle w:val="PageHeadingNotTOC"/>
      </w:pPr>
      <w:r w:rsidRPr="00BB5DE9">
        <w:t>INFORMAZIONI SULL'APPROVAZIONE DA PARTE DELLA COMMISSIONE COMPETENTE PER PARERE</w:t>
      </w:r>
    </w:p>
    <w:tbl>
      <w:tblPr>
        <w:tblW w:w="0" w:type="auto"/>
        <w:tblInd w:w="-10" w:type="dxa"/>
        <w:tblLayout w:type="fixed"/>
        <w:tblCellMar>
          <w:left w:w="0" w:type="dxa"/>
          <w:right w:w="0" w:type="dxa"/>
        </w:tblCellMar>
        <w:tblLook w:val="0000"/>
      </w:tblPr>
      <w:tblGrid>
        <w:gridCol w:w="3685"/>
        <w:gridCol w:w="1530"/>
        <w:gridCol w:w="1474"/>
        <w:gridCol w:w="1474"/>
        <w:gridCol w:w="1474"/>
      </w:tblGrid>
      <w:tr w14:paraId="18FFA4BA" w14:textId="77777777">
        <w:tblPrEx>
          <w:tblW w:w="0" w:type="auto"/>
          <w:tblInd w:w="-10" w:type="dxa"/>
          <w:tblLayout w:type="fixed"/>
          <w:tblCellMar>
            <w:left w:w="0" w:type="dxa"/>
            <w:right w:w="0" w:type="dxa"/>
          </w:tblCellMar>
          <w:tblLook w:val="0000"/>
        </w:tblPrEx>
        <w:tc>
          <w:tcPr>
            <w:tcW w:w="3685" w:type="dxa"/>
            <w:tcBorders>
              <w:top w:val="single" w:sz="8" w:space="0" w:color="000000"/>
              <w:left w:val="single" w:sz="8" w:space="0" w:color="000000"/>
              <w:bottom w:val="single" w:sz="8" w:space="0" w:color="000000"/>
              <w:right w:val="single" w:sz="8" w:space="0" w:color="000000"/>
            </w:tcBorders>
            <w:tcMar>
              <w:top w:w="79" w:type="dxa"/>
              <w:left w:w="79" w:type="dxa"/>
              <w:bottom w:w="79" w:type="dxa"/>
              <w:right w:w="79" w:type="dxa"/>
            </w:tcMar>
          </w:tcPr>
          <w:p w:rsidR="00AE735B" w:rsidRPr="00BB5DE9" w14:paraId="3C3970FA" w14:textId="77777777">
            <w:pPr>
              <w:autoSpaceDE w:val="0"/>
              <w:autoSpaceDN w:val="0"/>
              <w:adjustRightInd w:val="0"/>
              <w:rPr>
                <w:b/>
                <w:bCs/>
                <w:color w:val="000000"/>
                <w:sz w:val="20"/>
              </w:rPr>
            </w:pPr>
            <w:r w:rsidRPr="00BB5DE9">
              <w:rPr>
                <w:b/>
                <w:color w:val="000000"/>
                <w:sz w:val="20"/>
              </w:rPr>
              <w:t>Approvazione</w:t>
            </w:r>
          </w:p>
        </w:tc>
        <w:tc>
          <w:tcPr>
            <w:tcW w:w="1530" w:type="dxa"/>
            <w:tcBorders>
              <w:top w:val="single" w:sz="8" w:space="0" w:color="000000"/>
              <w:left w:val="nil"/>
              <w:bottom w:val="single" w:sz="8" w:space="0" w:color="000000"/>
              <w:right w:val="nil"/>
            </w:tcBorders>
            <w:tcMar>
              <w:top w:w="79" w:type="dxa"/>
              <w:left w:w="79" w:type="dxa"/>
              <w:bottom w:w="79" w:type="dxa"/>
              <w:right w:w="79" w:type="dxa"/>
            </w:tcMar>
          </w:tcPr>
          <w:p w:rsidR="00AE735B" w:rsidRPr="00BB5DE9" w14:paraId="02AFF5A6" w14:textId="77777777">
            <w:pPr>
              <w:autoSpaceDE w:val="0"/>
              <w:autoSpaceDN w:val="0"/>
              <w:adjustRightInd w:val="0"/>
              <w:rPr>
                <w:color w:val="000000"/>
                <w:sz w:val="20"/>
              </w:rPr>
            </w:pPr>
            <w:r w:rsidRPr="00BB5DE9">
              <w:rPr>
                <w:color w:val="000000"/>
                <w:sz w:val="20"/>
              </w:rPr>
              <w:t>14.9.2026</w:t>
            </w:r>
          </w:p>
        </w:tc>
        <w:tc>
          <w:tcPr>
            <w:tcW w:w="1474" w:type="dxa"/>
            <w:tcBorders>
              <w:top w:val="single" w:sz="8" w:space="0" w:color="000000"/>
              <w:left w:val="nil"/>
              <w:bottom w:val="single" w:sz="8" w:space="0" w:color="000000"/>
              <w:right w:val="nil"/>
            </w:tcBorders>
            <w:tcMar>
              <w:top w:w="79" w:type="dxa"/>
              <w:left w:w="79" w:type="dxa"/>
              <w:bottom w:w="79" w:type="dxa"/>
              <w:right w:w="79" w:type="dxa"/>
            </w:tcMar>
          </w:tcPr>
          <w:p w:rsidR="00AE735B" w:rsidRPr="00BB5DE9" w14:paraId="336F9814" w14:textId="77777777">
            <w:pPr>
              <w:autoSpaceDE w:val="0"/>
              <w:autoSpaceDN w:val="0"/>
              <w:adjustRightInd w:val="0"/>
              <w:rPr>
                <w:rFonts w:ascii="sans-serif" w:hAnsi="sans-serif" w:cs="sans-serif"/>
                <w:color w:val="000000"/>
              </w:rPr>
            </w:pPr>
          </w:p>
        </w:tc>
        <w:tc>
          <w:tcPr>
            <w:tcW w:w="1474" w:type="dxa"/>
            <w:tcBorders>
              <w:top w:val="single" w:sz="8" w:space="0" w:color="000000"/>
              <w:left w:val="nil"/>
              <w:bottom w:val="single" w:sz="8" w:space="0" w:color="000000"/>
              <w:right w:val="nil"/>
            </w:tcBorders>
            <w:tcMar>
              <w:top w:w="79" w:type="dxa"/>
              <w:left w:w="79" w:type="dxa"/>
              <w:bottom w:w="79" w:type="dxa"/>
              <w:right w:w="79" w:type="dxa"/>
            </w:tcMar>
          </w:tcPr>
          <w:p w:rsidR="00AE735B" w:rsidRPr="00BB5DE9" w14:paraId="5B2A08A4" w14:textId="77777777">
            <w:pPr>
              <w:autoSpaceDE w:val="0"/>
              <w:autoSpaceDN w:val="0"/>
              <w:adjustRightInd w:val="0"/>
              <w:rPr>
                <w:rFonts w:ascii="sans-serif" w:hAnsi="sans-serif" w:cs="sans-serif"/>
                <w:color w:val="000000"/>
              </w:rPr>
            </w:pPr>
          </w:p>
        </w:tc>
        <w:tc>
          <w:tcPr>
            <w:tcW w:w="1474" w:type="dxa"/>
            <w:tcBorders>
              <w:top w:val="single" w:sz="8" w:space="0" w:color="000000"/>
              <w:left w:val="nil"/>
              <w:bottom w:val="single" w:sz="8" w:space="0" w:color="000000"/>
              <w:right w:val="single" w:sz="8" w:space="0" w:color="000000"/>
            </w:tcBorders>
            <w:tcMar>
              <w:top w:w="79" w:type="dxa"/>
              <w:left w:w="79" w:type="dxa"/>
              <w:bottom w:w="79" w:type="dxa"/>
              <w:right w:w="79" w:type="dxa"/>
            </w:tcMar>
          </w:tcPr>
          <w:p w:rsidR="00AE735B" w:rsidRPr="00BB5DE9" w14:paraId="769A5018" w14:textId="77777777">
            <w:pPr>
              <w:autoSpaceDE w:val="0"/>
              <w:autoSpaceDN w:val="0"/>
              <w:adjustRightInd w:val="0"/>
              <w:rPr>
                <w:rFonts w:ascii="sans-serif" w:hAnsi="sans-serif" w:cs="sans-serif"/>
                <w:color w:val="000000"/>
              </w:rPr>
            </w:pPr>
          </w:p>
        </w:tc>
      </w:tr>
      <w:tr w14:paraId="22248918" w14:textId="77777777">
        <w:tblPrEx>
          <w:tblW w:w="0" w:type="auto"/>
          <w:tblInd w:w="-10" w:type="dxa"/>
          <w:tblLayout w:type="fixed"/>
          <w:tblCellMar>
            <w:left w:w="0" w:type="dxa"/>
            <w:right w:w="0" w:type="dxa"/>
          </w:tblCellMar>
          <w:tblLook w:val="0000"/>
        </w:tblPrEx>
        <w:tc>
          <w:tcPr>
            <w:tcW w:w="3685" w:type="dxa"/>
            <w:tcBorders>
              <w:top w:val="single" w:sz="8" w:space="0" w:color="000000"/>
              <w:left w:val="single" w:sz="8" w:space="0" w:color="000000"/>
              <w:bottom w:val="single" w:sz="8" w:space="0" w:color="000000"/>
              <w:right w:val="single" w:sz="8" w:space="0" w:color="000000"/>
            </w:tcBorders>
            <w:tcMar>
              <w:top w:w="79" w:type="dxa"/>
              <w:left w:w="79" w:type="dxa"/>
              <w:bottom w:w="79" w:type="dxa"/>
              <w:right w:w="79" w:type="dxa"/>
            </w:tcMar>
          </w:tcPr>
          <w:p w:rsidR="00AE735B" w:rsidRPr="00BB5DE9" w14:paraId="225F3EBA" w14:textId="77777777">
            <w:pPr>
              <w:autoSpaceDE w:val="0"/>
              <w:autoSpaceDN w:val="0"/>
              <w:adjustRightInd w:val="0"/>
              <w:rPr>
                <w:b/>
                <w:bCs/>
                <w:color w:val="000000"/>
                <w:sz w:val="20"/>
              </w:rPr>
            </w:pPr>
            <w:r w:rsidRPr="00BB5DE9">
              <w:rPr>
                <w:b/>
                <w:color w:val="000000"/>
                <w:sz w:val="20"/>
              </w:rPr>
              <w:t>Esito della votazione finale</w:t>
            </w:r>
          </w:p>
        </w:tc>
        <w:tc>
          <w:tcPr>
            <w:tcW w:w="1530" w:type="dxa"/>
            <w:tcBorders>
              <w:top w:val="single" w:sz="8" w:space="0" w:color="000000"/>
              <w:left w:val="nil"/>
              <w:bottom w:val="single" w:sz="8" w:space="0" w:color="000000"/>
              <w:right w:val="nil"/>
            </w:tcBorders>
            <w:tcMar>
              <w:top w:w="79" w:type="dxa"/>
              <w:left w:w="79" w:type="dxa"/>
              <w:bottom w:w="79" w:type="dxa"/>
              <w:right w:w="79" w:type="dxa"/>
            </w:tcMar>
          </w:tcPr>
          <w:p w:rsidR="00AE735B" w:rsidRPr="00BB5DE9" w14:paraId="3AF6202A" w14:textId="77777777">
            <w:pPr>
              <w:autoSpaceDE w:val="0"/>
              <w:autoSpaceDN w:val="0"/>
              <w:adjustRightInd w:val="0"/>
              <w:rPr>
                <w:color w:val="000000"/>
                <w:sz w:val="20"/>
              </w:rPr>
            </w:pPr>
            <w:r w:rsidRPr="00BB5DE9">
              <w:rPr>
                <w:color w:val="000000"/>
                <w:sz w:val="20"/>
              </w:rPr>
              <w:t>+:</w:t>
            </w:r>
          </w:p>
          <w:p w:rsidR="00AE735B" w:rsidRPr="00BB5DE9" w14:paraId="0F3CC6C0" w14:textId="77777777">
            <w:pPr>
              <w:autoSpaceDE w:val="0"/>
              <w:autoSpaceDN w:val="0"/>
              <w:adjustRightInd w:val="0"/>
              <w:rPr>
                <w:color w:val="000000"/>
                <w:sz w:val="20"/>
              </w:rPr>
            </w:pPr>
            <w:r w:rsidRPr="00BB5DE9">
              <w:rPr>
                <w:color w:val="000000"/>
                <w:sz w:val="20"/>
              </w:rPr>
              <w:t>–:</w:t>
            </w:r>
          </w:p>
          <w:p w:rsidR="00AE735B" w:rsidRPr="00BB5DE9" w14:paraId="29A15EE9" w14:textId="77777777">
            <w:pPr>
              <w:autoSpaceDE w:val="0"/>
              <w:autoSpaceDN w:val="0"/>
              <w:adjustRightInd w:val="0"/>
              <w:rPr>
                <w:color w:val="000000"/>
                <w:sz w:val="20"/>
              </w:rPr>
            </w:pPr>
            <w:r w:rsidRPr="00BB5DE9">
              <w:rPr>
                <w:color w:val="000000"/>
                <w:sz w:val="20"/>
              </w:rPr>
              <w:t>0:</w:t>
            </w:r>
          </w:p>
        </w:tc>
        <w:tc>
          <w:tcPr>
            <w:tcW w:w="4422" w:type="dxa"/>
            <w:gridSpan w:val="3"/>
            <w:tcBorders>
              <w:top w:val="single" w:sz="8" w:space="0" w:color="000000"/>
              <w:left w:val="nil"/>
              <w:bottom w:val="single" w:sz="8" w:space="0" w:color="000000"/>
              <w:right w:val="single" w:sz="8" w:space="0" w:color="000000"/>
            </w:tcBorders>
            <w:tcMar>
              <w:top w:w="79" w:type="dxa"/>
              <w:left w:w="79" w:type="dxa"/>
              <w:bottom w:w="79" w:type="dxa"/>
              <w:right w:w="79" w:type="dxa"/>
            </w:tcMar>
          </w:tcPr>
          <w:p w:rsidR="00AE735B" w:rsidRPr="00BB5DE9" w14:paraId="2EC2DC19" w14:textId="77777777">
            <w:pPr>
              <w:autoSpaceDE w:val="0"/>
              <w:autoSpaceDN w:val="0"/>
              <w:adjustRightInd w:val="0"/>
              <w:rPr>
                <w:color w:val="000000"/>
                <w:sz w:val="20"/>
              </w:rPr>
            </w:pPr>
            <w:r w:rsidRPr="00BB5DE9">
              <w:rPr>
                <w:color w:val="000000"/>
                <w:sz w:val="20"/>
              </w:rPr>
              <w:t>19</w:t>
            </w:r>
          </w:p>
          <w:p w:rsidR="00AE735B" w:rsidRPr="00BB5DE9" w14:paraId="0482818E" w14:textId="77777777">
            <w:pPr>
              <w:autoSpaceDE w:val="0"/>
              <w:autoSpaceDN w:val="0"/>
              <w:adjustRightInd w:val="0"/>
              <w:rPr>
                <w:color w:val="000000"/>
                <w:sz w:val="20"/>
              </w:rPr>
            </w:pPr>
            <w:r w:rsidRPr="00BB5DE9">
              <w:rPr>
                <w:color w:val="000000"/>
                <w:sz w:val="20"/>
              </w:rPr>
              <w:t>2</w:t>
            </w:r>
          </w:p>
          <w:p w:rsidR="00AE735B" w:rsidRPr="00BB5DE9" w14:paraId="1DB0C93A" w14:textId="77777777">
            <w:pPr>
              <w:autoSpaceDE w:val="0"/>
              <w:autoSpaceDN w:val="0"/>
              <w:adjustRightInd w:val="0"/>
              <w:rPr>
                <w:color w:val="000000"/>
                <w:sz w:val="20"/>
              </w:rPr>
            </w:pPr>
            <w:r w:rsidRPr="00BB5DE9">
              <w:rPr>
                <w:color w:val="000000"/>
                <w:sz w:val="20"/>
              </w:rPr>
              <w:t>2</w:t>
            </w:r>
          </w:p>
        </w:tc>
      </w:tr>
    </w:tbl>
    <w:p w:rsidR="00AE735B" w:rsidRPr="00BB5DE9" w:rsidP="004C50D7" w14:paraId="6EAC1B15" w14:textId="77777777"/>
    <w:p w:rsidR="00AE735B" w:rsidRPr="00BB5DE9" w:rsidP="004C50D7" w14:paraId="5B97EBC3" w14:textId="77777777">
      <w:pPr>
        <w:sectPr w:rsidSect="00AE735B">
          <w:pgSz w:w="11894" w:h="15840"/>
          <w:pgMar w:top="1700" w:right="1417" w:bottom="1417" w:left="1417" w:header="720" w:footer="720" w:gutter="0"/>
          <w:cols w:space="720"/>
          <w:noEndnote/>
          <w:docGrid w:linePitch="326"/>
        </w:sectPr>
      </w:pPr>
    </w:p>
    <w:p w:rsidR="00AE735B" w:rsidRPr="00BB5DE9" w:rsidP="00C36610" w14:paraId="6E3C90D9" w14:textId="77777777">
      <w:pPr>
        <w:pStyle w:val="PageHeadingNotTOC"/>
      </w:pPr>
      <w:r w:rsidRPr="00BB5DE9">
        <w:t>VOTAZIONE FINALE PER APPELLO NOMINALE DA PARTE DELLA COMMISSIONE COMPETENTE PER PARERE</w:t>
      </w:r>
    </w:p>
    <w:tbl>
      <w:tblPr>
        <w:tblW w:w="0" w:type="auto"/>
        <w:tblInd w:w="145" w:type="dxa"/>
        <w:tblBorders>
          <w:top w:val="double" w:sz="2" w:space="0" w:color="000000"/>
          <w:left w:val="double" w:sz="2" w:space="0" w:color="000000"/>
          <w:bottom w:val="double" w:sz="2" w:space="0" w:color="000000"/>
          <w:right w:val="double" w:sz="2" w:space="0" w:color="000000"/>
          <w:insideH w:val="single" w:sz="2" w:space="0" w:color="000000"/>
          <w:insideV w:val="single" w:sz="2" w:space="0" w:color="000000"/>
        </w:tblBorders>
        <w:tblLayout w:type="fixed"/>
        <w:tblCellMar>
          <w:left w:w="145" w:type="dxa"/>
          <w:right w:w="145" w:type="dxa"/>
        </w:tblCellMar>
        <w:tblLook w:val="0000"/>
      </w:tblPr>
      <w:tblGrid>
        <w:gridCol w:w="1701"/>
        <w:gridCol w:w="7371"/>
      </w:tblGrid>
      <w:tr w14:paraId="6C9D7817" w14:textId="77777777" w:rsidTr="008920AC">
        <w:tblPrEx>
          <w:tblW w:w="0" w:type="auto"/>
          <w:tblInd w:w="145" w:type="dxa"/>
          <w:tblBorders>
            <w:top w:val="double" w:sz="2" w:space="0" w:color="000000"/>
            <w:left w:val="double" w:sz="2" w:space="0" w:color="000000"/>
            <w:bottom w:val="double" w:sz="2" w:space="0" w:color="000000"/>
            <w:right w:val="double" w:sz="2" w:space="0" w:color="000000"/>
            <w:insideH w:val="single" w:sz="2" w:space="0" w:color="000000"/>
            <w:insideV w:val="single" w:sz="2" w:space="0" w:color="000000"/>
          </w:tblBorders>
          <w:tblLayout w:type="fixed"/>
          <w:tblCellMar>
            <w:left w:w="145" w:type="dxa"/>
            <w:right w:w="145" w:type="dxa"/>
          </w:tblCellMar>
          <w:tblLook w:val="0000"/>
        </w:tblPrEx>
        <w:trPr>
          <w:cantSplit/>
        </w:trPr>
        <w:tc>
          <w:tcPr>
            <w:tcW w:w="1701" w:type="dxa"/>
            <w:shd w:val="pct10" w:color="000000" w:fill="FFFFFF"/>
            <w:vAlign w:val="center"/>
          </w:tcPr>
          <w:p w:rsidR="00AE735B" w:rsidRPr="00BB5DE9" w:rsidP="003858C5" w14:paraId="248DBC16" w14:textId="77777777">
            <w:pPr>
              <w:pStyle w:val="RollCallVotes"/>
              <w:rPr>
                <w:lang w:val="it-IT"/>
              </w:rPr>
            </w:pPr>
            <w:r w:rsidRPr="00BB5DE9">
              <w:rPr>
                <w:lang w:val="it-IT"/>
              </w:rPr>
              <w:t>19</w:t>
            </w:r>
          </w:p>
        </w:tc>
        <w:tc>
          <w:tcPr>
            <w:tcW w:w="7371" w:type="dxa"/>
            <w:shd w:val="pct10" w:color="000000" w:fill="FFFFFF"/>
          </w:tcPr>
          <w:p w:rsidR="00AE735B" w:rsidRPr="00BB5DE9" w:rsidP="003858C5" w14:paraId="6C755728" w14:textId="77777777">
            <w:pPr>
              <w:pStyle w:val="RollCallSymbols14pt"/>
              <w:rPr>
                <w:lang w:val="it-IT"/>
              </w:rPr>
            </w:pPr>
            <w:r w:rsidRPr="00BB5DE9">
              <w:rPr>
                <w:lang w:val="it-IT"/>
              </w:rPr>
              <w:t>+</w:t>
            </w:r>
          </w:p>
        </w:tc>
      </w:tr>
      <w:tr w14:paraId="2F0724F5" w14:textId="77777777" w:rsidTr="008920AC">
        <w:tblPrEx>
          <w:tblW w:w="0" w:type="auto"/>
          <w:tblInd w:w="145" w:type="dxa"/>
          <w:tblLayout w:type="fixed"/>
          <w:tblCellMar>
            <w:left w:w="145" w:type="dxa"/>
            <w:right w:w="145" w:type="dxa"/>
          </w:tblCellMar>
          <w:tblLook w:val="0000"/>
        </w:tblPrEx>
        <w:trPr>
          <w:cantSplit/>
        </w:trPr>
        <w:tc>
          <w:tcPr>
            <w:tcW w:w="1701" w:type="dxa"/>
            <w:shd w:val="clear" w:color="auto" w:fill="FFFFFF"/>
          </w:tcPr>
          <w:p w:rsidR="00AE735B" w:rsidRPr="00BB5DE9" w:rsidP="003858C5" w14:paraId="7014ED2F" w14:textId="77777777">
            <w:pPr>
              <w:pStyle w:val="RollCallTable"/>
              <w:rPr>
                <w:lang w:val="it-IT"/>
              </w:rPr>
            </w:pPr>
            <w:r w:rsidRPr="00BB5DE9">
              <w:rPr>
                <w:lang w:val="it-IT"/>
              </w:rPr>
              <w:t>PPE</w:t>
            </w:r>
          </w:p>
        </w:tc>
        <w:tc>
          <w:tcPr>
            <w:tcW w:w="7371" w:type="dxa"/>
            <w:shd w:val="clear" w:color="auto" w:fill="FFFFFF"/>
          </w:tcPr>
          <w:p w:rsidR="00AE735B" w:rsidRPr="00BB5DE9" w:rsidP="003858C5" w14:paraId="6DDC1464" w14:textId="77777777">
            <w:pPr>
              <w:pStyle w:val="RollCallTable"/>
              <w:rPr>
                <w:lang w:val="it-IT"/>
              </w:rPr>
            </w:pPr>
            <w:r w:rsidRPr="00BB5DE9">
              <w:rPr>
                <w:lang w:val="it-IT"/>
              </w:rPr>
              <w:t>Hildegard Bentele, Niels Geuking, Lukas Mandl, Fulvio Martusciello, Liudas Mažylis, Angelika Winzig</w:t>
            </w:r>
          </w:p>
        </w:tc>
      </w:tr>
      <w:tr w14:paraId="2C66DD88" w14:textId="77777777" w:rsidTr="008920AC">
        <w:tblPrEx>
          <w:tblW w:w="0" w:type="auto"/>
          <w:tblInd w:w="145" w:type="dxa"/>
          <w:tblLayout w:type="fixed"/>
          <w:tblCellMar>
            <w:left w:w="145" w:type="dxa"/>
            <w:right w:w="145" w:type="dxa"/>
          </w:tblCellMar>
          <w:tblLook w:val="0000"/>
        </w:tblPrEx>
        <w:trPr>
          <w:cantSplit/>
        </w:trPr>
        <w:tc>
          <w:tcPr>
            <w:tcW w:w="1701" w:type="dxa"/>
            <w:shd w:val="clear" w:color="auto" w:fill="FFFFFF"/>
          </w:tcPr>
          <w:p w:rsidR="00AE735B" w:rsidRPr="00BB5DE9" w:rsidP="003858C5" w14:paraId="4021A2BF" w14:textId="77777777">
            <w:pPr>
              <w:pStyle w:val="RollCallTable"/>
              <w:rPr>
                <w:lang w:val="it-IT"/>
              </w:rPr>
            </w:pPr>
            <w:r w:rsidRPr="00BB5DE9">
              <w:rPr>
                <w:lang w:val="it-IT"/>
              </w:rPr>
              <w:t>PfE</w:t>
            </w:r>
          </w:p>
        </w:tc>
        <w:tc>
          <w:tcPr>
            <w:tcW w:w="7371" w:type="dxa"/>
            <w:shd w:val="clear" w:color="auto" w:fill="FFFFFF"/>
          </w:tcPr>
          <w:p w:rsidR="00AE735B" w:rsidRPr="00BB5DE9" w:rsidP="003858C5" w14:paraId="656D47C2" w14:textId="77777777">
            <w:pPr>
              <w:pStyle w:val="RollCallTable"/>
              <w:rPr>
                <w:lang w:val="it-IT"/>
              </w:rPr>
            </w:pPr>
            <w:r w:rsidRPr="00BB5DE9">
              <w:rPr>
                <w:lang w:val="it-IT"/>
              </w:rPr>
              <w:t>András Gyürk, György Hölvényi, Thierry Mariani</w:t>
            </w:r>
          </w:p>
        </w:tc>
      </w:tr>
      <w:tr w14:paraId="6930DF98" w14:textId="77777777" w:rsidTr="008920AC">
        <w:tblPrEx>
          <w:tblW w:w="0" w:type="auto"/>
          <w:tblInd w:w="145" w:type="dxa"/>
          <w:tblLayout w:type="fixed"/>
          <w:tblCellMar>
            <w:left w:w="145" w:type="dxa"/>
            <w:right w:w="145" w:type="dxa"/>
          </w:tblCellMar>
          <w:tblLook w:val="0000"/>
        </w:tblPrEx>
        <w:trPr>
          <w:cantSplit/>
        </w:trPr>
        <w:tc>
          <w:tcPr>
            <w:tcW w:w="1701" w:type="dxa"/>
            <w:shd w:val="clear" w:color="auto" w:fill="FFFFFF"/>
          </w:tcPr>
          <w:p w:rsidR="00AE735B" w:rsidRPr="00BB5DE9" w:rsidP="003858C5" w14:paraId="014D6E25" w14:textId="77777777">
            <w:pPr>
              <w:pStyle w:val="RollCallTable"/>
              <w:rPr>
                <w:lang w:val="it-IT"/>
              </w:rPr>
            </w:pPr>
            <w:r w:rsidRPr="00BB5DE9">
              <w:rPr>
                <w:lang w:val="it-IT"/>
              </w:rPr>
              <w:t>Renew</w:t>
            </w:r>
          </w:p>
        </w:tc>
        <w:tc>
          <w:tcPr>
            <w:tcW w:w="7371" w:type="dxa"/>
            <w:shd w:val="clear" w:color="auto" w:fill="FFFFFF"/>
          </w:tcPr>
          <w:p w:rsidR="00AE735B" w:rsidRPr="00BB5DE9" w:rsidP="003858C5" w14:paraId="12873CB6" w14:textId="77777777">
            <w:pPr>
              <w:pStyle w:val="RollCallTable"/>
              <w:rPr>
                <w:lang w:val="it-IT"/>
              </w:rPr>
            </w:pPr>
            <w:r w:rsidRPr="00BB5DE9">
              <w:rPr>
                <w:lang w:val="it-IT"/>
              </w:rPr>
              <w:t>Barry Andrews, Benoit Cassart, Emma Wiesner</w:t>
            </w:r>
          </w:p>
        </w:tc>
      </w:tr>
      <w:tr w14:paraId="12727C16" w14:textId="77777777" w:rsidTr="008920AC">
        <w:tblPrEx>
          <w:tblW w:w="0" w:type="auto"/>
          <w:tblInd w:w="145" w:type="dxa"/>
          <w:tblLayout w:type="fixed"/>
          <w:tblCellMar>
            <w:left w:w="145" w:type="dxa"/>
            <w:right w:w="145" w:type="dxa"/>
          </w:tblCellMar>
          <w:tblLook w:val="0000"/>
        </w:tblPrEx>
        <w:trPr>
          <w:cantSplit/>
        </w:trPr>
        <w:tc>
          <w:tcPr>
            <w:tcW w:w="1701" w:type="dxa"/>
            <w:shd w:val="clear" w:color="auto" w:fill="FFFFFF"/>
          </w:tcPr>
          <w:p w:rsidR="00AE735B" w:rsidRPr="00BB5DE9" w:rsidP="003858C5" w14:paraId="12FEA885" w14:textId="77777777">
            <w:pPr>
              <w:pStyle w:val="RollCallTable"/>
              <w:rPr>
                <w:lang w:val="it-IT"/>
              </w:rPr>
            </w:pPr>
            <w:r w:rsidRPr="00BB5DE9">
              <w:rPr>
                <w:lang w:val="it-IT"/>
              </w:rPr>
              <w:t>S&amp;D</w:t>
            </w:r>
          </w:p>
        </w:tc>
        <w:tc>
          <w:tcPr>
            <w:tcW w:w="7371" w:type="dxa"/>
            <w:shd w:val="clear" w:color="auto" w:fill="FFFFFF"/>
          </w:tcPr>
          <w:p w:rsidR="00AE735B" w:rsidRPr="00BB5DE9" w:rsidP="003858C5" w14:paraId="4E93AD77" w14:textId="77777777">
            <w:pPr>
              <w:pStyle w:val="RollCallTable"/>
              <w:rPr>
                <w:lang w:val="it-IT"/>
              </w:rPr>
            </w:pPr>
            <w:r w:rsidRPr="00BB5DE9">
              <w:rPr>
                <w:lang w:val="it-IT"/>
              </w:rPr>
              <w:t>Robert Biedroń, Murielle Laurent, Marit Maij, Marco Tarquinio, Carla Tavares</w:t>
            </w:r>
          </w:p>
        </w:tc>
      </w:tr>
      <w:tr w14:paraId="1BDBD383" w14:textId="77777777" w:rsidTr="008920AC">
        <w:tblPrEx>
          <w:tblW w:w="0" w:type="auto"/>
          <w:tblInd w:w="145" w:type="dxa"/>
          <w:tblLayout w:type="fixed"/>
          <w:tblCellMar>
            <w:left w:w="145" w:type="dxa"/>
            <w:right w:w="145" w:type="dxa"/>
          </w:tblCellMar>
          <w:tblLook w:val="0000"/>
        </w:tblPrEx>
        <w:trPr>
          <w:cantSplit/>
        </w:trPr>
        <w:tc>
          <w:tcPr>
            <w:tcW w:w="1701" w:type="dxa"/>
            <w:shd w:val="clear" w:color="auto" w:fill="FFFFFF"/>
          </w:tcPr>
          <w:p w:rsidR="00AE735B" w:rsidRPr="00BB5DE9" w:rsidP="003858C5" w14:paraId="4D0F00E7" w14:textId="77777777">
            <w:pPr>
              <w:pStyle w:val="RollCallTable"/>
              <w:rPr>
                <w:lang w:val="it-IT"/>
              </w:rPr>
            </w:pPr>
            <w:r w:rsidRPr="00BB5DE9">
              <w:rPr>
                <w:lang w:val="it-IT"/>
              </w:rPr>
              <w:t>Verts/ALE</w:t>
            </w:r>
          </w:p>
        </w:tc>
        <w:tc>
          <w:tcPr>
            <w:tcW w:w="7371" w:type="dxa"/>
            <w:shd w:val="clear" w:color="auto" w:fill="FFFFFF"/>
          </w:tcPr>
          <w:p w:rsidR="00AE735B" w:rsidRPr="00BB5DE9" w:rsidP="003858C5" w14:paraId="53A27E80" w14:textId="77777777">
            <w:pPr>
              <w:pStyle w:val="RollCallTable"/>
              <w:rPr>
                <w:lang w:val="it-IT"/>
              </w:rPr>
            </w:pPr>
            <w:r w:rsidRPr="00BB5DE9">
              <w:rPr>
                <w:lang w:val="it-IT"/>
              </w:rPr>
              <w:t>Isabella Lövin, Ana Miranda Paz</w:t>
            </w:r>
          </w:p>
        </w:tc>
      </w:tr>
    </w:tbl>
    <w:p w:rsidR="00AE735B" w:rsidRPr="00BB5DE9" w:rsidP="00147FBF" w14:paraId="5B4E085A" w14:textId="77777777"/>
    <w:tbl>
      <w:tblPr>
        <w:tblW w:w="0" w:type="auto"/>
        <w:tblInd w:w="145" w:type="dxa"/>
        <w:tblBorders>
          <w:top w:val="double" w:sz="2" w:space="0" w:color="000000"/>
          <w:left w:val="double" w:sz="2" w:space="0" w:color="000000"/>
          <w:bottom w:val="double" w:sz="2" w:space="0" w:color="000000"/>
          <w:right w:val="double" w:sz="2" w:space="0" w:color="000000"/>
          <w:insideH w:val="single" w:sz="2" w:space="0" w:color="000000"/>
          <w:insideV w:val="single" w:sz="2" w:space="0" w:color="000000"/>
        </w:tblBorders>
        <w:tblLayout w:type="fixed"/>
        <w:tblCellMar>
          <w:left w:w="145" w:type="dxa"/>
          <w:right w:w="145" w:type="dxa"/>
        </w:tblCellMar>
        <w:tblLook w:val="0000"/>
      </w:tblPr>
      <w:tblGrid>
        <w:gridCol w:w="1701"/>
        <w:gridCol w:w="7371"/>
      </w:tblGrid>
      <w:tr w14:paraId="3686D130" w14:textId="77777777" w:rsidTr="008920AC">
        <w:tblPrEx>
          <w:tblW w:w="0" w:type="auto"/>
          <w:tblInd w:w="145" w:type="dxa"/>
          <w:tblBorders>
            <w:top w:val="double" w:sz="2" w:space="0" w:color="000000"/>
            <w:left w:val="double" w:sz="2" w:space="0" w:color="000000"/>
            <w:bottom w:val="double" w:sz="2" w:space="0" w:color="000000"/>
            <w:right w:val="double" w:sz="2" w:space="0" w:color="000000"/>
            <w:insideH w:val="single" w:sz="2" w:space="0" w:color="000000"/>
            <w:insideV w:val="single" w:sz="2" w:space="0" w:color="000000"/>
          </w:tblBorders>
          <w:tblLayout w:type="fixed"/>
          <w:tblCellMar>
            <w:left w:w="145" w:type="dxa"/>
            <w:right w:w="145" w:type="dxa"/>
          </w:tblCellMar>
          <w:tblLook w:val="0000"/>
        </w:tblPrEx>
        <w:trPr>
          <w:cantSplit/>
        </w:trPr>
        <w:tc>
          <w:tcPr>
            <w:tcW w:w="1701" w:type="dxa"/>
            <w:shd w:val="pct10" w:color="000000" w:fill="FFFFFF"/>
            <w:vAlign w:val="center"/>
          </w:tcPr>
          <w:p w:rsidR="00AE735B" w:rsidRPr="00BB5DE9" w:rsidP="003858C5" w14:paraId="5BA354A3" w14:textId="77777777">
            <w:pPr>
              <w:pStyle w:val="RollCallVotes"/>
              <w:rPr>
                <w:lang w:val="it-IT"/>
              </w:rPr>
            </w:pPr>
            <w:r w:rsidRPr="00BB5DE9">
              <w:rPr>
                <w:lang w:val="it-IT"/>
              </w:rPr>
              <w:t>2</w:t>
            </w:r>
          </w:p>
        </w:tc>
        <w:tc>
          <w:tcPr>
            <w:tcW w:w="7371" w:type="dxa"/>
            <w:shd w:val="pct10" w:color="000000" w:fill="FFFFFF"/>
          </w:tcPr>
          <w:p w:rsidR="00AE735B" w:rsidRPr="00BB5DE9" w:rsidP="003858C5" w14:paraId="23F2D94B" w14:textId="77777777">
            <w:pPr>
              <w:pStyle w:val="RollCallSymbols14pt"/>
              <w:rPr>
                <w:lang w:val="it-IT"/>
              </w:rPr>
            </w:pPr>
            <w:r w:rsidRPr="00BB5DE9">
              <w:rPr>
                <w:lang w:val="it-IT"/>
              </w:rPr>
              <w:t>-</w:t>
            </w:r>
          </w:p>
        </w:tc>
      </w:tr>
      <w:tr w14:paraId="4D5E8F63" w14:textId="77777777" w:rsidTr="008920AC">
        <w:tblPrEx>
          <w:tblW w:w="0" w:type="auto"/>
          <w:tblInd w:w="145" w:type="dxa"/>
          <w:tblLayout w:type="fixed"/>
          <w:tblCellMar>
            <w:left w:w="145" w:type="dxa"/>
            <w:right w:w="145" w:type="dxa"/>
          </w:tblCellMar>
          <w:tblLook w:val="0000"/>
        </w:tblPrEx>
        <w:trPr>
          <w:cantSplit/>
        </w:trPr>
        <w:tc>
          <w:tcPr>
            <w:tcW w:w="1701" w:type="dxa"/>
            <w:shd w:val="clear" w:color="auto" w:fill="FFFFFF"/>
          </w:tcPr>
          <w:p w:rsidR="00AE735B" w:rsidRPr="00BB5DE9" w:rsidP="003858C5" w14:paraId="6D13E817" w14:textId="77777777">
            <w:pPr>
              <w:pStyle w:val="RollCallTable"/>
              <w:rPr>
                <w:lang w:val="it-IT"/>
              </w:rPr>
            </w:pPr>
            <w:r w:rsidRPr="00BB5DE9">
              <w:rPr>
                <w:lang w:val="it-IT"/>
              </w:rPr>
              <w:t>ECR</w:t>
            </w:r>
          </w:p>
        </w:tc>
        <w:tc>
          <w:tcPr>
            <w:tcW w:w="7371" w:type="dxa"/>
            <w:shd w:val="clear" w:color="auto" w:fill="FFFFFF"/>
          </w:tcPr>
          <w:p w:rsidR="00AE735B" w:rsidRPr="00BB5DE9" w:rsidP="003858C5" w14:paraId="2FBBA967" w14:textId="77777777">
            <w:pPr>
              <w:pStyle w:val="RollCallTable"/>
              <w:rPr>
                <w:lang w:val="it-IT"/>
              </w:rPr>
            </w:pPr>
            <w:r w:rsidRPr="00BB5DE9">
              <w:rPr>
                <w:lang w:val="it-IT"/>
              </w:rPr>
              <w:t>Paolo Inselvini</w:t>
            </w:r>
          </w:p>
        </w:tc>
      </w:tr>
      <w:tr w14:paraId="3ABF1F5A" w14:textId="77777777" w:rsidTr="008920AC">
        <w:tblPrEx>
          <w:tblW w:w="0" w:type="auto"/>
          <w:tblInd w:w="145" w:type="dxa"/>
          <w:tblLayout w:type="fixed"/>
          <w:tblCellMar>
            <w:left w:w="145" w:type="dxa"/>
            <w:right w:w="145" w:type="dxa"/>
          </w:tblCellMar>
          <w:tblLook w:val="0000"/>
        </w:tblPrEx>
        <w:trPr>
          <w:cantSplit/>
        </w:trPr>
        <w:tc>
          <w:tcPr>
            <w:tcW w:w="1701" w:type="dxa"/>
            <w:shd w:val="clear" w:color="auto" w:fill="FFFFFF"/>
          </w:tcPr>
          <w:p w:rsidR="00AE735B" w:rsidRPr="00BB5DE9" w:rsidP="003858C5" w14:paraId="3FAFA0EE" w14:textId="77777777">
            <w:pPr>
              <w:pStyle w:val="RollCallTable"/>
              <w:rPr>
                <w:lang w:val="it-IT"/>
              </w:rPr>
            </w:pPr>
            <w:r w:rsidRPr="00BB5DE9">
              <w:rPr>
                <w:lang w:val="it-IT"/>
              </w:rPr>
              <w:t>ESN</w:t>
            </w:r>
          </w:p>
        </w:tc>
        <w:tc>
          <w:tcPr>
            <w:tcW w:w="7371" w:type="dxa"/>
            <w:shd w:val="clear" w:color="auto" w:fill="FFFFFF"/>
          </w:tcPr>
          <w:p w:rsidR="00AE735B" w:rsidRPr="00BB5DE9" w:rsidP="003858C5" w14:paraId="4FBDADBE" w14:textId="77777777">
            <w:pPr>
              <w:pStyle w:val="RollCallTable"/>
              <w:rPr>
                <w:lang w:val="it-IT"/>
              </w:rPr>
            </w:pPr>
            <w:r w:rsidRPr="00BB5DE9">
              <w:rPr>
                <w:lang w:val="it-IT"/>
              </w:rPr>
              <w:t>Marc Jongen</w:t>
            </w:r>
          </w:p>
        </w:tc>
      </w:tr>
    </w:tbl>
    <w:p w:rsidR="00AE735B" w:rsidRPr="00BB5DE9" w:rsidP="00147FBF" w14:paraId="5122848E" w14:textId="77777777"/>
    <w:tbl>
      <w:tblPr>
        <w:tblW w:w="0" w:type="auto"/>
        <w:tblInd w:w="145" w:type="dxa"/>
        <w:tblBorders>
          <w:top w:val="double" w:sz="2" w:space="0" w:color="000000"/>
          <w:left w:val="double" w:sz="2" w:space="0" w:color="000000"/>
          <w:bottom w:val="double" w:sz="2" w:space="0" w:color="000000"/>
          <w:right w:val="double" w:sz="2" w:space="0" w:color="000000"/>
          <w:insideH w:val="single" w:sz="2" w:space="0" w:color="000000"/>
          <w:insideV w:val="single" w:sz="2" w:space="0" w:color="000000"/>
        </w:tblBorders>
        <w:tblLayout w:type="fixed"/>
        <w:tblCellMar>
          <w:left w:w="145" w:type="dxa"/>
          <w:right w:w="145" w:type="dxa"/>
        </w:tblCellMar>
        <w:tblLook w:val="0000"/>
      </w:tblPr>
      <w:tblGrid>
        <w:gridCol w:w="1701"/>
        <w:gridCol w:w="7371"/>
      </w:tblGrid>
      <w:tr w14:paraId="50408A80" w14:textId="77777777" w:rsidTr="008920AC">
        <w:tblPrEx>
          <w:tblW w:w="0" w:type="auto"/>
          <w:tblInd w:w="145" w:type="dxa"/>
          <w:tblBorders>
            <w:top w:val="double" w:sz="2" w:space="0" w:color="000000"/>
            <w:left w:val="double" w:sz="2" w:space="0" w:color="000000"/>
            <w:bottom w:val="double" w:sz="2" w:space="0" w:color="000000"/>
            <w:right w:val="double" w:sz="2" w:space="0" w:color="000000"/>
            <w:insideH w:val="single" w:sz="2" w:space="0" w:color="000000"/>
            <w:insideV w:val="single" w:sz="2" w:space="0" w:color="000000"/>
          </w:tblBorders>
          <w:tblLayout w:type="fixed"/>
          <w:tblCellMar>
            <w:left w:w="145" w:type="dxa"/>
            <w:right w:w="145" w:type="dxa"/>
          </w:tblCellMar>
          <w:tblLook w:val="0000"/>
        </w:tblPrEx>
        <w:trPr>
          <w:cantSplit/>
        </w:trPr>
        <w:tc>
          <w:tcPr>
            <w:tcW w:w="1701" w:type="dxa"/>
            <w:shd w:val="pct10" w:color="000000" w:fill="FFFFFF"/>
            <w:vAlign w:val="center"/>
          </w:tcPr>
          <w:p w:rsidR="00AE735B" w:rsidRPr="00BB5DE9" w:rsidP="003858C5" w14:paraId="344412A7" w14:textId="77777777">
            <w:pPr>
              <w:pStyle w:val="RollCallVotes"/>
              <w:rPr>
                <w:lang w:val="it-IT"/>
              </w:rPr>
            </w:pPr>
            <w:r w:rsidRPr="00BB5DE9">
              <w:rPr>
                <w:lang w:val="it-IT"/>
              </w:rPr>
              <w:t>2</w:t>
            </w:r>
          </w:p>
        </w:tc>
        <w:tc>
          <w:tcPr>
            <w:tcW w:w="7371" w:type="dxa"/>
            <w:shd w:val="pct10" w:color="000000" w:fill="FFFFFF"/>
          </w:tcPr>
          <w:p w:rsidR="00AE735B" w:rsidRPr="00BB5DE9" w:rsidP="003858C5" w14:paraId="328C6D0E" w14:textId="77777777">
            <w:pPr>
              <w:pStyle w:val="RollCallSymbols14pt"/>
              <w:rPr>
                <w:lang w:val="it-IT"/>
              </w:rPr>
            </w:pPr>
            <w:r w:rsidRPr="00BB5DE9">
              <w:rPr>
                <w:lang w:val="it-IT"/>
              </w:rPr>
              <w:t>0</w:t>
            </w:r>
          </w:p>
        </w:tc>
      </w:tr>
      <w:tr w14:paraId="066E2B61" w14:textId="77777777" w:rsidTr="008920AC">
        <w:tblPrEx>
          <w:tblW w:w="0" w:type="auto"/>
          <w:tblInd w:w="145" w:type="dxa"/>
          <w:tblLayout w:type="fixed"/>
          <w:tblCellMar>
            <w:left w:w="145" w:type="dxa"/>
            <w:right w:w="145" w:type="dxa"/>
          </w:tblCellMar>
          <w:tblLook w:val="0000"/>
        </w:tblPrEx>
        <w:trPr>
          <w:cantSplit/>
        </w:trPr>
        <w:tc>
          <w:tcPr>
            <w:tcW w:w="1701" w:type="dxa"/>
            <w:shd w:val="clear" w:color="auto" w:fill="FFFFFF"/>
          </w:tcPr>
          <w:p w:rsidR="00AE735B" w:rsidRPr="00BB5DE9" w:rsidP="003858C5" w14:paraId="570E373A" w14:textId="77777777">
            <w:pPr>
              <w:pStyle w:val="RollCallTable"/>
              <w:rPr>
                <w:lang w:val="it-IT"/>
              </w:rPr>
            </w:pPr>
            <w:r w:rsidRPr="00BB5DE9">
              <w:rPr>
                <w:lang w:val="it-IT"/>
              </w:rPr>
              <w:t>ECR</w:t>
            </w:r>
          </w:p>
        </w:tc>
        <w:tc>
          <w:tcPr>
            <w:tcW w:w="7371" w:type="dxa"/>
            <w:shd w:val="clear" w:color="auto" w:fill="FFFFFF"/>
          </w:tcPr>
          <w:p w:rsidR="00AE735B" w:rsidRPr="00BB5DE9" w:rsidP="003858C5" w14:paraId="57698708" w14:textId="77777777">
            <w:pPr>
              <w:pStyle w:val="RollCallTable"/>
              <w:rPr>
                <w:lang w:val="it-IT"/>
              </w:rPr>
            </w:pPr>
            <w:r w:rsidRPr="00BB5DE9">
              <w:rPr>
                <w:lang w:val="it-IT"/>
              </w:rPr>
              <w:t>Małgorzata Gosiewska</w:t>
            </w:r>
          </w:p>
        </w:tc>
      </w:tr>
      <w:tr w14:paraId="5F67FF74" w14:textId="77777777" w:rsidTr="008920AC">
        <w:tblPrEx>
          <w:tblW w:w="0" w:type="auto"/>
          <w:tblInd w:w="145" w:type="dxa"/>
          <w:tblLayout w:type="fixed"/>
          <w:tblCellMar>
            <w:left w:w="145" w:type="dxa"/>
            <w:right w:w="145" w:type="dxa"/>
          </w:tblCellMar>
          <w:tblLook w:val="0000"/>
        </w:tblPrEx>
        <w:trPr>
          <w:cantSplit/>
        </w:trPr>
        <w:tc>
          <w:tcPr>
            <w:tcW w:w="1701" w:type="dxa"/>
            <w:shd w:val="clear" w:color="auto" w:fill="FFFFFF"/>
          </w:tcPr>
          <w:p w:rsidR="00AE735B" w:rsidRPr="00BB5DE9" w:rsidP="003858C5" w14:paraId="4B82EA2D" w14:textId="77777777">
            <w:pPr>
              <w:pStyle w:val="RollCallTable"/>
              <w:rPr>
                <w:lang w:val="it-IT"/>
              </w:rPr>
            </w:pPr>
            <w:r w:rsidRPr="00BB5DE9">
              <w:rPr>
                <w:lang w:val="it-IT"/>
              </w:rPr>
              <w:t>The Left</w:t>
            </w:r>
          </w:p>
        </w:tc>
        <w:tc>
          <w:tcPr>
            <w:tcW w:w="7371" w:type="dxa"/>
            <w:shd w:val="clear" w:color="auto" w:fill="FFFFFF"/>
          </w:tcPr>
          <w:p w:rsidR="00AE735B" w:rsidRPr="00BB5DE9" w:rsidP="003858C5" w14:paraId="785E9430" w14:textId="77777777">
            <w:pPr>
              <w:pStyle w:val="RollCallTable"/>
              <w:rPr>
                <w:lang w:val="it-IT"/>
              </w:rPr>
            </w:pPr>
            <w:r w:rsidRPr="00BB5DE9">
              <w:rPr>
                <w:lang w:val="it-IT"/>
              </w:rPr>
              <w:t>Damien Carême</w:t>
            </w:r>
          </w:p>
        </w:tc>
      </w:tr>
    </w:tbl>
    <w:p w:rsidR="00AE735B" w:rsidRPr="00BB5DE9" w:rsidP="00147FBF" w14:paraId="33BFF576" w14:textId="77777777">
      <w:pPr>
        <w:pStyle w:val="Normal12a"/>
        <w:rPr>
          <w:lang w:val="it-IT"/>
        </w:rPr>
      </w:pPr>
    </w:p>
    <w:p w:rsidR="00AE735B" w:rsidRPr="00BB5DE9" w:rsidP="00B735E3" w14:paraId="66386E0E" w14:textId="77777777">
      <w:r w:rsidRPr="00BB5DE9">
        <w:t>Significato dei simboli utilizzati:</w:t>
      </w:r>
    </w:p>
    <w:p w:rsidR="00AE735B" w:rsidRPr="00BB5DE9" w:rsidP="003858C5" w14:paraId="1DE30626" w14:textId="77777777">
      <w:pPr>
        <w:pStyle w:val="RollCallTabs"/>
        <w:rPr>
          <w:lang w:val="it-IT"/>
        </w:rPr>
      </w:pPr>
      <w:r w:rsidRPr="00BB5DE9">
        <w:rPr>
          <w:lang w:val="it-IT"/>
        </w:rPr>
        <w:t>+</w:t>
      </w:r>
      <w:r w:rsidRPr="00BB5DE9">
        <w:rPr>
          <w:lang w:val="it-IT"/>
        </w:rPr>
        <w:tab/>
        <w:t>:</w:t>
      </w:r>
      <w:r w:rsidRPr="00BB5DE9">
        <w:rPr>
          <w:lang w:val="it-IT"/>
        </w:rPr>
        <w:tab/>
        <w:t>favorevoli</w:t>
      </w:r>
    </w:p>
    <w:p w:rsidR="00AE735B" w:rsidRPr="00BB5DE9" w:rsidP="003858C5" w14:paraId="296FAB56" w14:textId="77777777">
      <w:pPr>
        <w:pStyle w:val="RollCallTabs"/>
        <w:rPr>
          <w:lang w:val="it-IT"/>
        </w:rPr>
      </w:pPr>
      <w:r w:rsidRPr="00BB5DE9">
        <w:rPr>
          <w:lang w:val="it-IT"/>
        </w:rPr>
        <w:t>-</w:t>
      </w:r>
      <w:r w:rsidRPr="00BB5DE9">
        <w:rPr>
          <w:lang w:val="it-IT"/>
        </w:rPr>
        <w:tab/>
        <w:t>:</w:t>
      </w:r>
      <w:r w:rsidRPr="00BB5DE9">
        <w:rPr>
          <w:lang w:val="it-IT"/>
        </w:rPr>
        <w:tab/>
        <w:t>contrari</w:t>
      </w:r>
    </w:p>
    <w:p w:rsidR="00AE735B" w:rsidRPr="00BB5DE9" w:rsidP="003858C5" w14:paraId="3C0CB951" w14:textId="77777777">
      <w:pPr>
        <w:pStyle w:val="RollCallTabs"/>
        <w:rPr>
          <w:lang w:val="it-IT"/>
        </w:rPr>
      </w:pPr>
      <w:r w:rsidRPr="00BB5DE9">
        <w:rPr>
          <w:lang w:val="it-IT"/>
        </w:rPr>
        <w:t>0</w:t>
      </w:r>
      <w:r w:rsidRPr="00BB5DE9">
        <w:rPr>
          <w:lang w:val="it-IT"/>
        </w:rPr>
        <w:tab/>
        <w:t>:</w:t>
      </w:r>
      <w:r w:rsidRPr="00BB5DE9">
        <w:rPr>
          <w:lang w:val="it-IT"/>
        </w:rPr>
        <w:tab/>
        <w:t>astenuti</w:t>
      </w:r>
    </w:p>
    <w:p w:rsidR="00AE735B" w:rsidRPr="00BB5DE9" w:rsidP="004C50D7" w14:paraId="4F2E1F4F" w14:textId="77777777"/>
    <w:p w:rsidR="00AE735B" w:rsidRPr="00BB5DE9" w:rsidP="00AE735B" w14:paraId="02EF7783" w14:textId="77777777">
      <w:pPr>
        <w:rPr>
          <w:snapToGrid/>
          <w:lang w:eastAsia="en-GB"/>
        </w:rPr>
        <w:sectPr w:rsidSect="00AE735B">
          <w:footnotePr>
            <w:numRestart w:val="eachSect"/>
          </w:footnotePr>
          <w:endnotePr>
            <w:numFmt w:val="decimal"/>
          </w:endnotePr>
          <w:pgSz w:w="11906" w:h="16838" w:code="9"/>
          <w:pgMar w:top="1134" w:right="1418" w:bottom="1134" w:left="1418" w:header="1134" w:footer="567" w:gutter="0"/>
          <w:cols w:space="720"/>
          <w:noEndnote/>
          <w:docGrid w:linePitch="326"/>
        </w:sectPr>
      </w:pPr>
    </w:p>
    <w:p w:rsidR="00AE735B" w:rsidRPr="00BB5DE9" w:rsidP="00AE735B" w14:paraId="3BD61947" w14:textId="77777777">
      <w:pPr>
        <w:pStyle w:val="Normal24a"/>
        <w:rPr>
          <w:lang w:val="it-IT"/>
        </w:rPr>
      </w:pPr>
      <w:r w:rsidRPr="00BB5DE9">
        <w:rPr>
          <w:rStyle w:val="HideTWBExt"/>
          <w:lang w:val="it-IT"/>
        </w:rPr>
        <w:t>&lt;Date&gt;</w:t>
      </w:r>
      <w:r w:rsidRPr="00BB5DE9">
        <w:rPr>
          <w:rStyle w:val="HideTWBInt"/>
          <w:lang w:val="it-IT"/>
        </w:rPr>
        <w:t>{16/07/2026}</w:t>
      </w:r>
      <w:r w:rsidRPr="00BB5DE9">
        <w:rPr>
          <w:lang w:val="it-IT"/>
        </w:rPr>
        <w:t>16.7.2026</w:t>
      </w:r>
      <w:r w:rsidRPr="00BB5DE9">
        <w:rPr>
          <w:rStyle w:val="HideTWBExt"/>
          <w:lang w:val="it-IT"/>
        </w:rPr>
        <w:t>&lt;/Date&gt;</w:t>
      </w:r>
    </w:p>
    <w:p w:rsidR="00AE735B" w:rsidRPr="00BB5DE9" w:rsidP="00AE735B" w14:paraId="221A9EE8" w14:textId="47A47D55">
      <w:pPr>
        <w:pStyle w:val="PageHeading"/>
      </w:pPr>
      <w:r w:rsidRPr="00BB5DE9">
        <w:rPr>
          <w:rStyle w:val="HideTWBExt"/>
          <w:b w:val="0"/>
        </w:rPr>
        <w:t>&lt;CommissionResp&gt;</w:t>
      </w:r>
      <w:bookmarkStart w:id="10" w:name="OpinionToc_3"/>
      <w:bookmarkStart w:id="11" w:name="_Toc243036420"/>
      <w:r w:rsidRPr="00BB5DE9">
        <w:t>PARERE DELLA COMMISSIONE PER I PROBLEMI ECONOMICI E MONETARI</w:t>
      </w:r>
      <w:bookmarkEnd w:id="10"/>
      <w:bookmarkEnd w:id="11"/>
      <w:r w:rsidRPr="00BB5DE9">
        <w:rPr>
          <w:rStyle w:val="HideTWBExt"/>
          <w:b w:val="0"/>
        </w:rPr>
        <w:t>&lt;/CommissionResp&gt;</w:t>
      </w:r>
    </w:p>
    <w:p w:rsidR="00AE735B" w:rsidRPr="00BB5DE9" w:rsidP="00AE735B" w14:paraId="724EDD01" w14:textId="77777777">
      <w:pPr>
        <w:pStyle w:val="Normal12a"/>
        <w:rPr>
          <w:lang w:val="it-IT"/>
        </w:rPr>
      </w:pPr>
      <w:r w:rsidRPr="00BB5DE9">
        <w:rPr>
          <w:rStyle w:val="HideTWBExt"/>
          <w:lang w:val="it-IT"/>
        </w:rPr>
        <w:t>&lt;CommissionInt&gt;</w:t>
      </w:r>
      <w:r w:rsidRPr="00BB5DE9">
        <w:rPr>
          <w:lang w:val="it-IT"/>
        </w:rPr>
        <w:t>destinato alla commissione per i bilanci</w:t>
      </w:r>
      <w:r w:rsidRPr="00BB5DE9">
        <w:rPr>
          <w:rStyle w:val="HideTWBExt"/>
          <w:lang w:val="it-IT"/>
        </w:rPr>
        <w:t>&lt;/CommissionInt&gt;</w:t>
      </w:r>
    </w:p>
    <w:p w:rsidR="00AE735B" w:rsidRPr="00BB5DE9" w:rsidP="00AE735B" w14:paraId="56816E71" w14:textId="77777777">
      <w:r w:rsidRPr="00BB5DE9">
        <w:rPr>
          <w:rStyle w:val="HideTWBExt"/>
        </w:rPr>
        <w:t>&lt;Titre&gt;</w:t>
      </w:r>
      <w:r w:rsidRPr="00BB5DE9">
        <w:t>sul progetto di bilancio generale dell'Unione europea per l'esercizio 2027</w:t>
      </w:r>
      <w:r w:rsidRPr="00BB5DE9">
        <w:rPr>
          <w:rStyle w:val="HideTWBExt"/>
        </w:rPr>
        <w:t>&lt;/Titre&gt;</w:t>
      </w:r>
    </w:p>
    <w:p w:rsidR="00AE735B" w:rsidRPr="00BB5DE9" w:rsidP="00AE735B" w14:paraId="3E76C14A" w14:textId="77777777">
      <w:pPr>
        <w:pStyle w:val="Normal12a"/>
        <w:rPr>
          <w:lang w:val="it-IT"/>
        </w:rPr>
      </w:pPr>
      <w:r w:rsidRPr="00BB5DE9">
        <w:rPr>
          <w:rStyle w:val="HideTWBExt"/>
          <w:lang w:val="it-IT"/>
        </w:rPr>
        <w:t>&lt;DocRef&gt;</w:t>
      </w:r>
      <w:r w:rsidRPr="00BB5DE9">
        <w:rPr>
          <w:lang w:val="it-IT"/>
        </w:rPr>
        <w:t>(2026/0196(BUD))</w:t>
      </w:r>
      <w:r w:rsidRPr="00BB5DE9">
        <w:rPr>
          <w:rStyle w:val="HideTWBExt"/>
          <w:lang w:val="it-IT"/>
        </w:rPr>
        <w:t>&lt;/DocRef&gt;</w:t>
      </w:r>
    </w:p>
    <w:p w:rsidR="00AE735B" w:rsidRPr="00BB5DE9" w:rsidP="00AE735B" w14:paraId="6CE1FE5C" w14:textId="77777777">
      <w:pPr>
        <w:pStyle w:val="Normal24a"/>
        <w:rPr>
          <w:lang w:val="it-IT"/>
        </w:rPr>
      </w:pPr>
      <w:r w:rsidRPr="00BB5DE9">
        <w:rPr>
          <w:lang w:val="it-IT"/>
        </w:rPr>
        <w:t xml:space="preserve">Relatore per parere: </w:t>
      </w:r>
      <w:r w:rsidRPr="00BB5DE9">
        <w:rPr>
          <w:rStyle w:val="HideTWBExt"/>
          <w:lang w:val="it-IT"/>
        </w:rPr>
        <w:t>&lt;Depute&gt;</w:t>
      </w:r>
      <w:r w:rsidRPr="00BB5DE9">
        <w:rPr>
          <w:lang w:val="it-IT"/>
        </w:rPr>
        <w:t>Georgios Aftias</w:t>
      </w:r>
      <w:r w:rsidRPr="00BB5DE9">
        <w:rPr>
          <w:rStyle w:val="HideTWBExt"/>
          <w:lang w:val="it-IT"/>
        </w:rPr>
        <w:t>&lt;/Depute&gt;</w:t>
      </w:r>
    </w:p>
    <w:p w:rsidR="00AE735B" w:rsidRPr="00BB5DE9" w:rsidP="00AE735B" w14:paraId="34E7FE64" w14:textId="77777777"/>
    <w:p w:rsidR="00AE735B" w:rsidRPr="00BB5DE9" w:rsidP="00BB2AC1" w14:paraId="43171C9E" w14:textId="716759AE">
      <w:pPr>
        <w:widowControl/>
        <w:tabs>
          <w:tab w:val="center" w:pos="4677"/>
        </w:tabs>
      </w:pPr>
    </w:p>
    <w:p w:rsidR="00AE735B" w:rsidRPr="00BB5DE9" w:rsidP="003E06CF" w14:paraId="68B1AE84" w14:textId="6F2FA02F">
      <w:pPr>
        <w:pStyle w:val="PageHeadingNotTOC"/>
      </w:pPr>
      <w:r w:rsidRPr="00BB5DE9">
        <w:t>PARERE</w:t>
      </w:r>
    </w:p>
    <w:p w:rsidR="00AE735B" w:rsidRPr="00BB5DE9" w:rsidP="003E06CF" w14:paraId="0380E4FC" w14:textId="77777777">
      <w:pPr>
        <w:pStyle w:val="Normal12a"/>
        <w:rPr>
          <w:lang w:val="it-IT"/>
        </w:rPr>
      </w:pPr>
      <w:r w:rsidRPr="00BB5DE9">
        <w:rPr>
          <w:lang w:val="it-IT"/>
        </w:rPr>
        <w:t>La commissione per i problemi economici e monetari invita la commissione per i bilanci, competente per il merito, a includere nella proposta di risoluzione che approverà quanto segue:</w:t>
      </w:r>
    </w:p>
    <w:p w:rsidR="00AE735B" w:rsidRPr="00BB5DE9" w:rsidP="00F6359F" w14:paraId="02DD41A9" w14:textId="77777777">
      <w:pPr>
        <w:pStyle w:val="NormalHanging12a"/>
        <w:ind w:left="360" w:hanging="360"/>
        <w:jc w:val="both"/>
      </w:pPr>
      <w:bookmarkStart w:id="12" w:name="_Hlk225253345"/>
      <w:r w:rsidRPr="00BB5DE9">
        <w:t>1.</w:t>
      </w:r>
      <w:r w:rsidRPr="00BB5DE9">
        <w:tab/>
        <w:t>sottolinea che, in un contesto di incertezza geopolitica, il bilancio 2027 deve rafforzare e contribuire alla stabilità macroeconomica in linea con il quadro riveduto di governance economica dell'Unione, garantendo un margine di bilancio sufficiente per investimenti di alta qualità; sottolinea che il bilancio 2027 debba inoltre rafforzare la resilienza economica e la coesione sociale e debba costituire uno strumento fondamentale a sostegno di investimenti a lungo termine, sostenibili e inclusivi, garantendo che la stabilità dei prezzi, la creazione di posti di lavoro e la resilienza economica rimangano i pilastri fondamentali della crescita sostenibile a lungo termine e dell’autonomia strategica dell’Unione;</w:t>
      </w:r>
    </w:p>
    <w:p w:rsidR="00AE735B" w:rsidRPr="00BB5DE9" w:rsidP="00F6359F" w14:paraId="7D2CA704" w14:textId="77777777">
      <w:pPr>
        <w:pStyle w:val="NormalHanging12a"/>
        <w:ind w:left="360" w:hanging="360"/>
        <w:jc w:val="both"/>
      </w:pPr>
      <w:r w:rsidRPr="00BB5DE9">
        <w:t>2.</w:t>
      </w:r>
      <w:r w:rsidRPr="00BB5DE9">
        <w:tab/>
        <w:t>riconosce che il bilancio per l'esercizio 2027 costituisce l'ultima frazione annuale nell'ambito dell'attuale quadro finanziario pluriennale (QFP) 2021-2027 e sottolinea, in tale contesto, la necessità di garantire un adeguato livello di flessibilità di bilancio e la semplificazione delle procedure amministrative, al fine di garantire l'efficacia degli interventi dell'Unione;</w:t>
      </w:r>
    </w:p>
    <w:p w:rsidR="00AE735B" w:rsidRPr="00BB5DE9" w:rsidP="00F6359F" w14:paraId="35102E41" w14:textId="77777777">
      <w:pPr>
        <w:pStyle w:val="NormalHanging12a"/>
        <w:ind w:left="360" w:hanging="360"/>
        <w:jc w:val="both"/>
      </w:pPr>
      <w:r w:rsidRPr="00BB5DE9">
        <w:t>3.</w:t>
      </w:r>
      <w:r w:rsidRPr="00BB5DE9">
        <w:tab/>
        <w:t>sottolinea che il 2027 sarà il primo anno senza il dispositivo per la ripresa e la resilienza, che dovrà essere rimborsato nei prossimi anni, il che richiede politiche responsabili dal punto di vista del bilancio; chiede di portare avanti il dibattito sui futuri strumenti di investimento a livello dell'Unione e sull'ampliamento del paniere di risorse proprie, al fine di rafforzare il bilancio dell'Unione e ridurre l'eccessiva dipendenza dai bilanci nazionali, creando in tal modo un maggiore margine di bilancio per gli investimenti degli Stati membri; sottolinea che il bilancio dell'Unione deve essere allineato, per dimensioni e priorità, alle ambizioni dell'Unione; ricorda che l'attuazione dei piani nazionali strutturali di bilancio di medio termine nel quadro delle norme di bilancio dell'Unione è intesa a fornire il margine di bilancio necessario per stimolare gli investimenti strategici;</w:t>
      </w:r>
    </w:p>
    <w:p w:rsidR="00AE735B" w:rsidRPr="00BB5DE9" w:rsidP="00F6359F" w14:paraId="48CB5073" w14:textId="77777777">
      <w:pPr>
        <w:tabs>
          <w:tab w:val="left" w:pos="1129"/>
        </w:tabs>
        <w:ind w:left="360" w:hanging="360"/>
        <w:jc w:val="both"/>
      </w:pPr>
      <w:r w:rsidRPr="00BB5DE9">
        <w:t>4.</w:t>
      </w:r>
      <w:r w:rsidRPr="00BB5DE9">
        <w:tab/>
        <w:t xml:space="preserve">sottolinea la necessità di completare e integrare meglio il mercato interno al fine di rafforzare la sovranità finanziaria strategica dell'Unione, ridurre la frammentazione del mercato, in particolare mediante la riduzione delle barriere e delle strozzature nazionali, nonché di migliorare e aumentare l'accesso ai finanziamenti per tutte le società dell'Unione; sottolinea che il bilancio 2027 dovrebbe sostenere l'obiettivo politico di migliorare l'accesso ai finanziamenti per le PMI, che continuano a essere il pilastro dell'economia dell'Unione, così come per le start up, fornendo loro differenti fonti di finanziamento; ricorda che è fondamentale garantire condizioni eque e competitive per le imprese dell'Unione, in particolare le PMI; </w:t>
      </w:r>
    </w:p>
    <w:p w:rsidR="00AE735B" w:rsidRPr="00BB5DE9" w:rsidP="00F6359F" w14:paraId="3ADA27A4" w14:textId="77777777">
      <w:pPr>
        <w:tabs>
          <w:tab w:val="left" w:pos="1129"/>
        </w:tabs>
        <w:ind w:left="360" w:hanging="360"/>
        <w:jc w:val="both"/>
      </w:pPr>
    </w:p>
    <w:p w:rsidR="00AE735B" w:rsidRPr="00BB5DE9" w:rsidP="00F6359F" w14:paraId="5E2F8C94" w14:textId="77777777">
      <w:pPr>
        <w:pStyle w:val="NormalHanging12a"/>
        <w:ind w:left="360" w:hanging="360"/>
        <w:jc w:val="both"/>
        <w:rPr>
          <w:bCs/>
        </w:rPr>
      </w:pPr>
      <w:r w:rsidRPr="00BB5DE9">
        <w:t>5.</w:t>
      </w:r>
      <w:r w:rsidRPr="00BB5DE9">
        <w:tab/>
        <w:t>chiede l'efficace attuazione dell'Unione del risparmio e degli investimenti, compreso il pacchetto sull'integrazione del mercato e la vigilanza, e la rapida attuazione del 28</w:t>
      </w:r>
      <w:r w:rsidRPr="00BB5DE9">
        <w:rPr>
          <w:vertAlign w:val="superscript"/>
        </w:rPr>
        <w:t>o</w:t>
      </w:r>
      <w:r w:rsidRPr="00BB5DE9">
        <w:t xml:space="preserve"> regime (EU Inc.), volto ad agevolare le attività transfrontaliere e a rafforzare il mercato interno; sottolinea la necessità di completare l'Unione bancaria;</w:t>
      </w:r>
    </w:p>
    <w:p w:rsidR="00AE735B" w:rsidRPr="00BB5DE9" w:rsidP="00F6359F" w14:paraId="6130E6FA" w14:textId="77777777">
      <w:pPr>
        <w:pStyle w:val="NormalHanging12a"/>
        <w:ind w:left="360" w:hanging="360"/>
        <w:jc w:val="both"/>
        <w:rPr>
          <w:bCs/>
        </w:rPr>
      </w:pPr>
      <w:r w:rsidRPr="00BB5DE9">
        <w:t>6.</w:t>
      </w:r>
      <w:r w:rsidRPr="00BB5DE9">
        <w:tab/>
        <w:t>chiede adeguate risorse umane e finanziarie per le autorità europee di vigilanza, al fine di garantire una vigilanza e una prevenzione efficaci dei rischi finanziari sistemici; chiede che sia prestata particolare attenzione alle esigenze umane, tecniche e finanziarie dell'Autorità antiriciclaggio (AMLA) di recente istituzione e una maggiore cooperazione e scambio di informazioni con le autorità nazionali di vigilanza e le autorità competenti, al fine di prevenire e combattere efficacemente il riciclaggio di denaro e il finanziamento del terrorismo in tutta l'Unione.</w:t>
      </w:r>
    </w:p>
    <w:p w:rsidR="00AE735B" w:rsidRPr="00BB5DE9" w:rsidP="00F6359F" w14:paraId="2C19DD2A" w14:textId="77777777">
      <w:pPr>
        <w:pStyle w:val="NormalHanging12a"/>
        <w:ind w:left="360" w:hanging="360"/>
        <w:jc w:val="both"/>
        <w:rPr>
          <w:bCs/>
        </w:rPr>
      </w:pPr>
      <w:r w:rsidRPr="00BB5DE9">
        <w:t>7.</w:t>
      </w:r>
      <w:r w:rsidRPr="00BB5DE9">
        <w:tab/>
        <w:t>sottolinea che gli investimenti che contribuiscono all'Unione dell'energia, compresi gli investimenti nelle interconnessioni, nelle fonti energetiche rinnovabili, nelle infrastrutture di stoccaggio e nelle tecnologie pulite, in particolare negli Stati membri con un'elevata dipendenza energetica, dovrebbero essere considerati elementi di rafforzamento del mercato interno e riduzione delle dipendenze strategiche e delle pressioni inflazionistiche, sostenendo in tal modo la sostenibilità di bilancio, aumentando nel contempo l'autonomia energetica, l'accelerazione delle transizioni climatica, energetica e digitale e riducendo i costi dell'energia e le perturbazioni dell'approvvigionamento alle imprese e alle famiglie dell'Unione;</w:t>
      </w:r>
    </w:p>
    <w:p w:rsidR="00AE735B" w:rsidRPr="00BB5DE9" w:rsidP="00F6359F" w14:paraId="77464DA6" w14:textId="77777777">
      <w:pPr>
        <w:pStyle w:val="NormalHanging12a"/>
        <w:ind w:left="360" w:hanging="360"/>
        <w:jc w:val="both"/>
        <w:rPr>
          <w:bCs/>
        </w:rPr>
      </w:pPr>
      <w:r w:rsidRPr="00BB5DE9">
        <w:t>8.</w:t>
      </w:r>
      <w:r w:rsidRPr="00BB5DE9">
        <w:tab/>
        <w:t>prende atto delle nuove priorità di bilancio relative alla difesa e alla competitività; sottolinea che le politiche strutturali e fondamentali di lunga data dell'Unione, in particolare la politica di coesione e la politica agricola comune, dovrebbero continuare a ricevere finanziamenti adeguati, stabili e prevedibili;</w:t>
      </w:r>
    </w:p>
    <w:p w:rsidR="00AE735B" w:rsidRPr="00BB5DE9" w:rsidP="00F6359F" w14:paraId="5F1DDEC0" w14:textId="77777777">
      <w:pPr>
        <w:pStyle w:val="NormalHanging12a"/>
        <w:ind w:left="360" w:hanging="360"/>
        <w:jc w:val="both"/>
        <w:rPr>
          <w:bCs/>
        </w:rPr>
      </w:pPr>
      <w:r w:rsidRPr="00BB5DE9">
        <w:t>9.</w:t>
      </w:r>
      <w:r w:rsidRPr="00BB5DE9">
        <w:tab/>
        <w:t>evidenzia la necessità di rafforzare la competitività europea attraverso una semplificazione e riduzione degli oneri amministrativi, inclusi i procedimenti amministrativi; sottolinea che la stabilità dei prezzi e la sostenibilità delle finanze pubbliche rimangono prerequisiti fondamentali per la competitività e la prosperità a lungo termine; sottolinea che gli sforzi di semplificazione devono essere accompagnati dal rafforzamento della capacità amministrativa degli Stati membri di assorbire efficacemente i fondi dell'Unione;</w:t>
      </w:r>
    </w:p>
    <w:p w:rsidR="00AE735B" w:rsidRPr="00BB5DE9" w:rsidP="00F6359F" w14:paraId="17F758EC" w14:textId="77777777">
      <w:pPr>
        <w:pStyle w:val="NormalHanging12a"/>
        <w:ind w:left="360" w:hanging="360"/>
        <w:jc w:val="both"/>
      </w:pPr>
      <w:r w:rsidRPr="00BB5DE9">
        <w:t>10.</w:t>
      </w:r>
      <w:r w:rsidRPr="00BB5DE9">
        <w:tab/>
        <w:t xml:space="preserve">sottolinea l'importanza di rafforzare la competitività e la resilienza del settore finanziario dell'Unione; chiede, a questo proposito, un pacchetto omnibus completo sui servizi finanziari; chiede finanziamenti adeguati per le politiche e gli strumenti che sostengono il </w:t>
      </w:r>
      <w:r w:rsidRPr="00BB5DE9">
        <w:t>completamento del mercato interno dei servizi finanziari, la digitalizzazione del sistema finanziario e l'accesso ai finanziamenti per le imprese e le famiglie;</w:t>
      </w:r>
    </w:p>
    <w:p w:rsidR="00AE735B" w:rsidRPr="00BB5DE9" w:rsidP="00F6359F" w14:paraId="071B222A" w14:textId="77777777">
      <w:pPr>
        <w:pStyle w:val="NormalHanging12a"/>
        <w:ind w:left="360" w:hanging="360"/>
        <w:jc w:val="both"/>
        <w:rPr>
          <w:b/>
          <w:bCs/>
          <w:i/>
          <w:iCs/>
        </w:rPr>
      </w:pPr>
      <w:r w:rsidRPr="00BB5DE9">
        <w:t>11.</w:t>
      </w:r>
      <w:r w:rsidRPr="00BB5DE9">
        <w:tab/>
        <w:t>sottolinea che la credibilità del quadro di governance economica dell'Unione dipende dall'applicazione coerente del patto di stabilità e crescita riformato;</w:t>
      </w:r>
    </w:p>
    <w:p w:rsidR="00AE735B" w:rsidRPr="00BB5DE9" w:rsidP="00F6359F" w14:paraId="36FA6339" w14:textId="77777777">
      <w:pPr>
        <w:pStyle w:val="NormalHanging12a"/>
        <w:ind w:left="360" w:hanging="360"/>
        <w:jc w:val="both"/>
        <w:rPr>
          <w:bCs/>
        </w:rPr>
      </w:pPr>
      <w:r w:rsidRPr="00BB5DE9">
        <w:t>12.</w:t>
      </w:r>
      <w:r w:rsidRPr="00BB5DE9">
        <w:tab/>
        <w:t>sottolinea che le politiche in materia di competitività dovrebbero rimanere inclusive e tenere conto della diversità delle imprese nell'Unione, comprese le differenze in termini di dimensioni, fase del ciclo economico, esigenze di finanziamento e accesso agli strumenti finanziari, affrontando nel contempo i divari in termini di investimenti, produttività e occupazione tra le regioni e i settori; sottolinea l'importanza di dati affidabili per l'elaborazione delle politiche pubbliche;</w:t>
      </w:r>
    </w:p>
    <w:p w:rsidR="00AE735B" w:rsidRPr="00BB5DE9" w:rsidP="00F6359F" w14:paraId="3EBD63DD" w14:textId="77777777">
      <w:pPr>
        <w:pStyle w:val="NormalHanging12a"/>
        <w:ind w:left="426" w:hanging="426"/>
        <w:jc w:val="both"/>
      </w:pPr>
      <w:r w:rsidRPr="00BB5DE9">
        <w:t>13.</w:t>
      </w:r>
      <w:r w:rsidRPr="00BB5DE9">
        <w:tab/>
        <w:t>sottolinea la necessità di finanziamenti adeguati per la formazione e lo sviluppo di capacità, quale fattore importante per la competitività dell'Unione, garantendo il mantenimento delle competenze e del know-how professionali; sostiene la capacità di investimento nell'innovazione e nella digitalizzazione dell'economia e delle pubbliche amministrazioni;</w:t>
      </w:r>
    </w:p>
    <w:p w:rsidR="00AE735B" w:rsidRPr="00BB5DE9" w:rsidP="00F6359F" w14:paraId="02ACED2E" w14:textId="77777777">
      <w:pPr>
        <w:pStyle w:val="NormalHanging12a"/>
        <w:ind w:left="360" w:hanging="360"/>
        <w:jc w:val="both"/>
        <w:rPr>
          <w:bCs/>
        </w:rPr>
      </w:pPr>
      <w:r w:rsidRPr="00BB5DE9">
        <w:t>14.</w:t>
      </w:r>
      <w:r w:rsidRPr="00BB5DE9">
        <w:tab/>
        <w:t>sottolinea l'importanza di salvaguardare la stabilità finanziaria ed economica, gli investimenti e la coesione sociale, in particolare nei settori sottoposti a pressioni dei prezzi come quelli dell'edilizia abitativa accessibile, della transizione energetica e climatica e dei beni essenziali; sottolinea che la competitività e la coesione dell'economia dell'Unione sono interconnesse; pone l'accento sul fatto che la politica di coesione e i fondi strutturali sono un pilastro dell'Unione e che la convergenza economica è necessaria per lo sviluppo del mercato interno, tenuto conto delle differenti situazioni e esigenze di finanziamento nell'Unione; sottolinea che il bilancio annuale dell'Unione dovrebbe tenere conto delle raccomandazioni del semestre europeo e sostenere un uso efficace e flessibile degli strumenti della politica di coesione;</w:t>
      </w:r>
    </w:p>
    <w:p w:rsidR="00AE735B" w:rsidRPr="00BB5DE9" w:rsidP="00F6359F" w14:paraId="3F13B3A9" w14:textId="77777777">
      <w:pPr>
        <w:pStyle w:val="NormalHanging12a"/>
        <w:ind w:left="360" w:hanging="360"/>
        <w:jc w:val="both"/>
        <w:rPr>
          <w:bCs/>
        </w:rPr>
      </w:pPr>
      <w:r w:rsidRPr="00BB5DE9">
        <w:t>15.</w:t>
      </w:r>
      <w:r w:rsidRPr="00BB5DE9">
        <w:tab/>
        <w:t>chiede un maggiore sostegno alle regioni colpite da deindustrializzazione, catastrofi naturali o gravi pressioni climatiche;</w:t>
      </w:r>
    </w:p>
    <w:p w:rsidR="00AE735B" w:rsidRPr="00BB5DE9" w:rsidP="00F6359F" w14:paraId="71E02BD7" w14:textId="77777777">
      <w:pPr>
        <w:tabs>
          <w:tab w:val="left" w:pos="1129"/>
        </w:tabs>
        <w:ind w:left="360" w:hanging="360"/>
        <w:jc w:val="both"/>
      </w:pPr>
      <w:r w:rsidRPr="00BB5DE9">
        <w:t>16.</w:t>
      </w:r>
      <w:r w:rsidRPr="00BB5DE9">
        <w:tab/>
        <w:t>sottolinea la necessità di stimolare la crescita economica nell'Unione e pone l'accento sulla questione fondamentale della modernizzazione dell'economia dell'Unione, degli investimenti per rafforzare la convergenza e del miglioramento dell'accesso degli investitori al dettaglio ai mercati finanziari e dei capitali; ricorda che gli investimenti pubblici e privati dovrebbero operare in parallelo e confluire gli uni negli altri; sottolinea che un sensibile incremento del capitale di investimento privato è necessario perché il bilancio stimoli in modo efficace l'economia dell'Unione;</w:t>
      </w:r>
    </w:p>
    <w:p w:rsidR="00AE735B" w:rsidRPr="00BB5DE9" w:rsidP="00F6359F" w14:paraId="3FFED8F5" w14:textId="77777777">
      <w:pPr>
        <w:tabs>
          <w:tab w:val="left" w:pos="1129"/>
        </w:tabs>
        <w:jc w:val="both"/>
      </w:pPr>
    </w:p>
    <w:p w:rsidR="00AE735B" w:rsidRPr="00BB5DE9" w:rsidP="00F6359F" w14:paraId="2ED6009A" w14:textId="77777777">
      <w:pPr>
        <w:pStyle w:val="NormalHanging12a"/>
        <w:ind w:left="360" w:hanging="360"/>
        <w:jc w:val="both"/>
        <w:rPr>
          <w:bCs/>
        </w:rPr>
      </w:pPr>
      <w:r w:rsidRPr="00BB5DE9">
        <w:t>17.</w:t>
      </w:r>
      <w:r w:rsidRPr="00BB5DE9">
        <w:tab/>
        <w:t xml:space="preserve">ribadisce che il bilancio dell'Unione dovrebbe contribuire a </w:t>
      </w:r>
      <w:bookmarkStart w:id="13" w:name="_Hlk227193615"/>
      <w:r w:rsidRPr="00BB5DE9">
        <w:t>rafforzare la sovranità economica e monetaria dell'Unione</w:t>
      </w:r>
      <w:bookmarkEnd w:id="13"/>
      <w:r w:rsidRPr="00BB5DE9">
        <w:t>, anche attraverso finanziamenti adeguati per lo sviluppo dell'euro digitale e delle relative infrastrutture di vigilanza e di assicurazione informatica; sottolinea che l'euro digitale dovrebbe operare in modo complementare al sistema bancario, garantendo la stabilità finanziaria e la protezione dei depositi;</w:t>
      </w:r>
    </w:p>
    <w:p w:rsidR="00AE735B" w:rsidRPr="00BB5DE9" w:rsidP="00F6359F" w14:paraId="62E1E65D" w14:textId="77777777">
      <w:pPr>
        <w:pStyle w:val="NormalHanging12a"/>
        <w:ind w:left="360" w:hanging="360"/>
        <w:jc w:val="both"/>
        <w:rPr>
          <w:bCs/>
        </w:rPr>
      </w:pPr>
      <w:r w:rsidRPr="00BB5DE9">
        <w:t>18. chiede lo sviluppo di prodotti di risparmio e di investimento a lungo termine paneuropei, con l'obiettivo di mobilitare capitali privati verso settori strategici;</w:t>
      </w:r>
    </w:p>
    <w:p w:rsidR="00AE735B" w:rsidRPr="00BB5DE9" w:rsidP="00F6359F" w14:paraId="0F4F767F" w14:textId="77777777">
      <w:pPr>
        <w:pStyle w:val="NormalHanging12a"/>
        <w:ind w:left="360" w:hanging="360"/>
        <w:jc w:val="both"/>
        <w:rPr>
          <w:bCs/>
        </w:rPr>
      </w:pPr>
      <w:r w:rsidRPr="00BB5DE9">
        <w:t>19.</w:t>
      </w:r>
      <w:r w:rsidRPr="00BB5DE9">
        <w:tab/>
        <w:t>sottolinea che le sovvenzioni dell'Unione dovrebbero portare a un concreto valore aggiunto nella pratica; invita la Commissione a effettuare valutazioni ex post in merito alla misura in cui le sovvenzioni concesse hanno apportato benefici significativi alle imprese e ai cittadini dell'Unione;</w:t>
      </w:r>
    </w:p>
    <w:bookmarkEnd w:id="12"/>
    <w:p w:rsidR="00AE735B" w:rsidRPr="00BB5DE9" w:rsidP="00F6359F" w14:paraId="7681B183" w14:textId="77777777">
      <w:pPr>
        <w:pStyle w:val="NormalHanging12a"/>
        <w:ind w:left="360" w:hanging="360"/>
        <w:jc w:val="both"/>
      </w:pPr>
      <w:r w:rsidRPr="00BB5DE9">
        <w:t>20.</w:t>
      </w:r>
      <w:r w:rsidRPr="00BB5DE9">
        <w:tab/>
        <w:t>chiede di accelerare le riforme e di aumentare gli investimenti produttivi in settori critici quali la difesa, la decarbonizzazione e le infrastrutture critiche e digitali, tenendo conto nel contempo degli interessi di sicurezza nazionale quando vi è la partecipazione di paesi terzi.</w:t>
      </w:r>
      <w:bookmarkStart w:id="14" w:name="_Hlk227240534"/>
      <w:bookmarkEnd w:id="14"/>
    </w:p>
    <w:p w:rsidR="00AE735B" w:rsidRPr="00BB5DE9" w:rsidP="00F6359F" w14:paraId="6883E473" w14:textId="77777777">
      <w:pPr>
        <w:pStyle w:val="NormalHanging12a"/>
        <w:ind w:left="360" w:hanging="360"/>
        <w:jc w:val="both"/>
      </w:pPr>
      <w:r w:rsidRPr="00BB5DE9">
        <w:t>21.</w:t>
      </w:r>
      <w:r w:rsidRPr="00BB5DE9">
        <w:tab/>
        <w:t>incoraggia la Commissione a valutare la possibilità di nuove risorse proprie, al fine di dotare l'Unione di mezzi adeguati per affrontare le politiche strategiche comuni europee e di coprire i costi del rimborso di NextGenerationEU, del finanziamento del bilancio dell'Unione e della risposta alle nuove priorità industriali individuate nella relazione Draghi; prende atto dell'"approccio a paniere" proposto dalla Commissione e sottolinea che le nuove fonti di entrate dovrebbero essere adottate con il prossimo QFP e generare circa 60 miliardi di EUR all'anno; ricorda che le nuove risorse proprie dovrebbero essere accompagnate da sforzi volti ad aumentare l'efficienza della spesa dell'Unione e a prevenire qualsiasi uso improprio dei fondi dell'Unione;</w:t>
      </w:r>
    </w:p>
    <w:p w:rsidR="00AE735B" w:rsidRPr="00BB5DE9" w:rsidP="00F6359F" w14:paraId="26E00557" w14:textId="2AB888A9">
      <w:pPr>
        <w:pStyle w:val="NormalHanging12a"/>
        <w:ind w:left="360" w:hanging="360"/>
        <w:jc w:val="both"/>
      </w:pPr>
      <w:r w:rsidRPr="00BB5DE9">
        <w:t>22.</w:t>
      </w:r>
      <w:r w:rsidRPr="00BB5DE9">
        <w:tab/>
        <w:t>sottolinea la necessità di confermare in modo più sistematico le misure volte a far fronte all'insularità nella progettazione, nella programmazione e nell'attuazione degli strumenti finanziari dell'Unione, conformemente agli articoli 174 e 349 TFUE, tenendo conto delle vulnerabilità strutturali specifiche delle isole e delle regioni ultraperiferiche dell'Unione; invita la Commissione a valutare l'istituzione di un meccanismo o di un fondo dell'Unione dedicato per la continuità territoriale, volto a sostenere e garantire collegamenti marittimi e aerei affidabili, accessibili e sostenibili tra le regioni insulari e il continente; sottolinea che tale strumento contribuirebbe a compensare i costi aggiuntivi permanenti derivanti dall'insularità, a rafforzare la coesione economica, sociale e territoriale e a migliorare l'integrazione delle regioni insulari nel mercato interno;</w:t>
      </w:r>
    </w:p>
    <w:p w:rsidR="00AE735B" w:rsidRPr="00BB5DE9" w:rsidP="00F6359F" w14:paraId="7B39B437" w14:textId="77777777">
      <w:pPr>
        <w:ind w:left="360" w:hanging="360"/>
        <w:jc w:val="both"/>
      </w:pPr>
      <w:r w:rsidRPr="00BB5DE9">
        <w:t>23.</w:t>
      </w:r>
      <w:r w:rsidRPr="00BB5DE9">
        <w:tab/>
        <w:t>sottolinea la necessità di una flessibilità di bilancio e di riserve sufficienti per affrontare le crisi geopolitiche e gli shock economici, in particolare a seguito dell'impatto economico delle crisi in Medio Oriente; sottolinea la necessità di rafforzare la giustizia fiscale e la lotta contro l'evasione e l'elusione fiscali attraverso un adeguato finanziamento delle competenti autorità europee di vigilanza;</w:t>
      </w:r>
    </w:p>
    <w:p w:rsidR="00AE735B" w:rsidRPr="00BB5DE9" w:rsidP="00F6359F" w14:paraId="6FC3AB79" w14:textId="77777777">
      <w:pPr>
        <w:jc w:val="both"/>
      </w:pPr>
    </w:p>
    <w:p w:rsidR="00AE735B" w:rsidRPr="00BB5DE9" w:rsidP="00F6359F" w14:paraId="409626C9" w14:textId="77777777">
      <w:pPr>
        <w:pStyle w:val="NormalHanging12a"/>
        <w:ind w:left="357" w:hanging="357"/>
        <w:sectPr w:rsidSect="00AE735B">
          <w:headerReference w:type="even" r:id="rId21"/>
          <w:headerReference w:type="default" r:id="rId22"/>
          <w:headerReference w:type="first" r:id="rId23"/>
          <w:footerReference w:type="first" r:id="rId24"/>
          <w:footnotePr>
            <w:numRestart w:val="eachSect"/>
          </w:footnotePr>
          <w:endnotePr>
            <w:numFmt w:val="decimal"/>
          </w:endnotePr>
          <w:pgSz w:w="11906" w:h="16838" w:code="9"/>
          <w:pgMar w:top="1134" w:right="1418" w:bottom="1134" w:left="1418" w:header="1134" w:footer="567" w:gutter="0"/>
          <w:cols w:space="720"/>
          <w:noEndnote/>
          <w:docGrid w:linePitch="326"/>
        </w:sectPr>
      </w:pPr>
      <w:r w:rsidRPr="00BB5DE9">
        <w:t>24.</w:t>
      </w:r>
      <w:r w:rsidRPr="00BB5DE9">
        <w:tab/>
        <w:t>sottolinea il ruolo strategico della Banca europea per gli investimenti nel rafforzamento della competitività, della coesione e dell'autonomia strategica dell'Unione; chiede che la sua capacità di finanziamento sia rafforzata, in particolare per sostenere gli investimenti nell'innovazione, nella sicurezza energetica, nella difesa, negli alloggi e nelle infrastrutture ad alto valore aggiunto, garantendo nel contempo la stabilità finanziaria e la complementarità con gli obiettivi della governance economica della zona euro;</w:t>
      </w:r>
    </w:p>
    <w:p w:rsidR="00AE735B" w:rsidRPr="00BB5DE9" w:rsidP="002B2C72" w14:paraId="5B5AC12A" w14:textId="77777777">
      <w:pPr>
        <w:pStyle w:val="PageHeadingNotTOC"/>
      </w:pPr>
      <w:r w:rsidRPr="00BB5DE9">
        <w:t>ALLEGATO: DICHIARAZIONE DEI CONTRIBUTI</w:t>
      </w:r>
    </w:p>
    <w:p w:rsidR="00AE735B" w:rsidRPr="00BB5DE9" w:rsidP="00802975" w14:paraId="43B1416C" w14:textId="77777777">
      <w:pPr>
        <w:pStyle w:val="Footprint12b"/>
        <w:rPr>
          <w:lang w:val="it-IT"/>
        </w:rPr>
      </w:pPr>
      <w:r w:rsidRPr="00BB5DE9">
        <w:rPr>
          <w:rStyle w:val="HideTWBExt"/>
          <w:lang w:val="it-IT"/>
        </w:rPr>
        <w:t>&lt;FootprintIntro&gt;</w:t>
      </w:r>
      <w:r w:rsidRPr="00BB5DE9">
        <w:rPr>
          <w:lang w:val="it-IT"/>
        </w:rPr>
        <w:t>Il relatore per parere dichiara, sotto la sua esclusiva responsabilità, di non aver incluso nel suo parere alcun contributo di rappresentanti di interessi che rientrano nell'ambito di applicazione dell'accordo interistituzionale su un registro per la trasparenza obbligatorio</w:t>
      </w:r>
      <w:r>
        <w:rPr>
          <w:rStyle w:val="FootnoteReference"/>
          <w:lang w:val="it-IT"/>
        </w:rPr>
        <w:footnoteReference w:id="21"/>
      </w:r>
      <w:r w:rsidRPr="00BB5DE9">
        <w:rPr>
          <w:lang w:val="it-IT"/>
        </w:rPr>
        <w:t>, o di rappresentanti delle pubbliche autorità di paesi terzi, incluse le loro missioni diplomatiche e ambasciate, da enumerare nel presente allegato in virtù dell'allegato I, articolo 8, del regolamento.</w:t>
      </w:r>
      <w:r w:rsidRPr="00BB5DE9">
        <w:rPr>
          <w:rStyle w:val="HideTWBExt"/>
          <w:lang w:val="it-IT"/>
        </w:rPr>
        <w:t>&lt;/FootprintIntro&gt;</w:t>
      </w:r>
    </w:p>
    <w:p w:rsidR="00AE735B" w:rsidRPr="00BB5DE9" w:rsidP="00F6359F" w14:paraId="0227ABEC" w14:textId="77777777">
      <w:pPr>
        <w:pStyle w:val="NormalHanging12a"/>
        <w:ind w:left="357" w:hanging="357"/>
        <w:sectPr w:rsidSect="00AE735B">
          <w:pgSz w:w="11894" w:h="15840"/>
          <w:pgMar w:top="1700" w:right="1417" w:bottom="1417" w:left="1417" w:header="720" w:footer="720" w:gutter="0"/>
          <w:cols w:space="720"/>
          <w:noEndnote/>
          <w:docGrid w:linePitch="326"/>
        </w:sectPr>
      </w:pPr>
    </w:p>
    <w:p w:rsidR="00AE735B" w:rsidRPr="00BB5DE9" w:rsidP="00F6359F" w14:paraId="46FB2E7D" w14:textId="77777777">
      <w:pPr>
        <w:pStyle w:val="NormalHanging12a"/>
        <w:ind w:left="357" w:hanging="357"/>
      </w:pPr>
    </w:p>
    <w:p w:rsidR="00AE735B" w:rsidRPr="00BB5DE9" w:rsidP="00C83AFD" w14:paraId="2D333C44" w14:textId="77777777">
      <w:pPr>
        <w:pStyle w:val="PageHeadingNotTOC"/>
      </w:pPr>
      <w:r w:rsidRPr="00BB5DE9">
        <w:t>INFORMAZIONI SULL'APPROVAZIONE</w:t>
      </w:r>
      <w:r w:rsidRPr="00BB5DE9">
        <w:br/>
        <w:t>DA PARTE DELLA COMMISSIONE COMPETENTE PER PARERE</w:t>
      </w:r>
    </w:p>
    <w:tbl>
      <w:tblPr>
        <w:tblW w:w="0" w:type="auto"/>
        <w:tblInd w:w="-10" w:type="dxa"/>
        <w:tblLayout w:type="fixed"/>
        <w:tblCellMar>
          <w:left w:w="0" w:type="dxa"/>
          <w:right w:w="0" w:type="dxa"/>
        </w:tblCellMar>
        <w:tblLook w:val="0000"/>
      </w:tblPr>
      <w:tblGrid>
        <w:gridCol w:w="3685"/>
        <w:gridCol w:w="1530"/>
        <w:gridCol w:w="1474"/>
        <w:gridCol w:w="1474"/>
        <w:gridCol w:w="1474"/>
      </w:tblGrid>
      <w:tr w14:paraId="73EEC8B7" w14:textId="77777777">
        <w:tblPrEx>
          <w:tblW w:w="0" w:type="auto"/>
          <w:tblInd w:w="-10" w:type="dxa"/>
          <w:tblLayout w:type="fixed"/>
          <w:tblCellMar>
            <w:left w:w="0" w:type="dxa"/>
            <w:right w:w="0" w:type="dxa"/>
          </w:tblCellMar>
          <w:tblLook w:val="0000"/>
        </w:tblPrEx>
        <w:tc>
          <w:tcPr>
            <w:tcW w:w="3685" w:type="dxa"/>
            <w:tcBorders>
              <w:top w:val="single" w:sz="8" w:space="0" w:color="000000"/>
              <w:left w:val="single" w:sz="8" w:space="0" w:color="000000"/>
              <w:bottom w:val="single" w:sz="8" w:space="0" w:color="000000"/>
              <w:right w:val="single" w:sz="8" w:space="0" w:color="000000"/>
            </w:tcBorders>
            <w:tcMar>
              <w:top w:w="79" w:type="dxa"/>
              <w:left w:w="79" w:type="dxa"/>
              <w:bottom w:w="79" w:type="dxa"/>
              <w:right w:w="79" w:type="dxa"/>
            </w:tcMar>
          </w:tcPr>
          <w:p w:rsidR="00AE735B" w:rsidRPr="00BB5DE9" w14:paraId="219BD8CB" w14:textId="77777777">
            <w:pPr>
              <w:autoSpaceDE w:val="0"/>
              <w:autoSpaceDN w:val="0"/>
              <w:adjustRightInd w:val="0"/>
              <w:rPr>
                <w:b/>
                <w:bCs/>
                <w:color w:val="000000"/>
                <w:sz w:val="20"/>
              </w:rPr>
            </w:pPr>
            <w:r w:rsidRPr="00BB5DE9">
              <w:rPr>
                <w:b/>
                <w:color w:val="000000"/>
                <w:sz w:val="20"/>
              </w:rPr>
              <w:t>Approvazione</w:t>
            </w:r>
          </w:p>
        </w:tc>
        <w:tc>
          <w:tcPr>
            <w:tcW w:w="1530" w:type="dxa"/>
            <w:tcBorders>
              <w:top w:val="single" w:sz="8" w:space="0" w:color="000000"/>
              <w:left w:val="nil"/>
              <w:bottom w:val="single" w:sz="8" w:space="0" w:color="000000"/>
              <w:right w:val="nil"/>
            </w:tcBorders>
            <w:tcMar>
              <w:top w:w="79" w:type="dxa"/>
              <w:left w:w="79" w:type="dxa"/>
              <w:bottom w:w="79" w:type="dxa"/>
              <w:right w:w="79" w:type="dxa"/>
            </w:tcMar>
          </w:tcPr>
          <w:p w:rsidR="00AE735B" w:rsidRPr="00BB5DE9" w14:paraId="72D8A049" w14:textId="77777777">
            <w:pPr>
              <w:autoSpaceDE w:val="0"/>
              <w:autoSpaceDN w:val="0"/>
              <w:adjustRightInd w:val="0"/>
              <w:rPr>
                <w:color w:val="000000"/>
                <w:sz w:val="20"/>
              </w:rPr>
            </w:pPr>
            <w:r w:rsidRPr="00BB5DE9">
              <w:rPr>
                <w:color w:val="000000"/>
                <w:sz w:val="20"/>
              </w:rPr>
              <w:t>15.7.2026</w:t>
            </w:r>
          </w:p>
        </w:tc>
        <w:tc>
          <w:tcPr>
            <w:tcW w:w="1474" w:type="dxa"/>
            <w:tcBorders>
              <w:top w:val="single" w:sz="8" w:space="0" w:color="000000"/>
              <w:left w:val="nil"/>
              <w:bottom w:val="single" w:sz="8" w:space="0" w:color="000000"/>
              <w:right w:val="nil"/>
            </w:tcBorders>
            <w:tcMar>
              <w:top w:w="79" w:type="dxa"/>
              <w:left w:w="79" w:type="dxa"/>
              <w:bottom w:w="79" w:type="dxa"/>
              <w:right w:w="79" w:type="dxa"/>
            </w:tcMar>
          </w:tcPr>
          <w:p w:rsidR="00AE735B" w:rsidRPr="00BB5DE9" w14:paraId="7B8A07BA" w14:textId="77777777">
            <w:pPr>
              <w:autoSpaceDE w:val="0"/>
              <w:autoSpaceDN w:val="0"/>
              <w:adjustRightInd w:val="0"/>
              <w:rPr>
                <w:rFonts w:ascii="sans-serif" w:hAnsi="sans-serif" w:cs="sans-serif"/>
                <w:color w:val="000000"/>
              </w:rPr>
            </w:pPr>
          </w:p>
        </w:tc>
        <w:tc>
          <w:tcPr>
            <w:tcW w:w="1474" w:type="dxa"/>
            <w:tcBorders>
              <w:top w:val="single" w:sz="8" w:space="0" w:color="000000"/>
              <w:left w:val="nil"/>
              <w:bottom w:val="single" w:sz="8" w:space="0" w:color="000000"/>
              <w:right w:val="nil"/>
            </w:tcBorders>
            <w:tcMar>
              <w:top w:w="79" w:type="dxa"/>
              <w:left w:w="79" w:type="dxa"/>
              <w:bottom w:w="79" w:type="dxa"/>
              <w:right w:w="79" w:type="dxa"/>
            </w:tcMar>
          </w:tcPr>
          <w:p w:rsidR="00AE735B" w:rsidRPr="00BB5DE9" w14:paraId="79576A78" w14:textId="77777777">
            <w:pPr>
              <w:autoSpaceDE w:val="0"/>
              <w:autoSpaceDN w:val="0"/>
              <w:adjustRightInd w:val="0"/>
              <w:rPr>
                <w:rFonts w:ascii="sans-serif" w:hAnsi="sans-serif" w:cs="sans-serif"/>
                <w:color w:val="000000"/>
              </w:rPr>
            </w:pPr>
          </w:p>
        </w:tc>
        <w:tc>
          <w:tcPr>
            <w:tcW w:w="1474" w:type="dxa"/>
            <w:tcBorders>
              <w:top w:val="single" w:sz="8" w:space="0" w:color="000000"/>
              <w:left w:val="nil"/>
              <w:bottom w:val="single" w:sz="8" w:space="0" w:color="000000"/>
              <w:right w:val="single" w:sz="8" w:space="0" w:color="000000"/>
            </w:tcBorders>
            <w:tcMar>
              <w:top w:w="79" w:type="dxa"/>
              <w:left w:w="79" w:type="dxa"/>
              <w:bottom w:w="79" w:type="dxa"/>
              <w:right w:w="79" w:type="dxa"/>
            </w:tcMar>
          </w:tcPr>
          <w:p w:rsidR="00AE735B" w:rsidRPr="00BB5DE9" w14:paraId="299C8032" w14:textId="77777777">
            <w:pPr>
              <w:autoSpaceDE w:val="0"/>
              <w:autoSpaceDN w:val="0"/>
              <w:adjustRightInd w:val="0"/>
              <w:rPr>
                <w:rFonts w:ascii="sans-serif" w:hAnsi="sans-serif" w:cs="sans-serif"/>
                <w:color w:val="000000"/>
              </w:rPr>
            </w:pPr>
          </w:p>
        </w:tc>
      </w:tr>
      <w:tr w14:paraId="2E416537" w14:textId="77777777">
        <w:tblPrEx>
          <w:tblW w:w="0" w:type="auto"/>
          <w:tblInd w:w="-10" w:type="dxa"/>
          <w:tblLayout w:type="fixed"/>
          <w:tblCellMar>
            <w:left w:w="0" w:type="dxa"/>
            <w:right w:w="0" w:type="dxa"/>
          </w:tblCellMar>
          <w:tblLook w:val="0000"/>
        </w:tblPrEx>
        <w:tc>
          <w:tcPr>
            <w:tcW w:w="3685" w:type="dxa"/>
            <w:tcBorders>
              <w:top w:val="single" w:sz="8" w:space="0" w:color="000000"/>
              <w:left w:val="single" w:sz="8" w:space="0" w:color="000000"/>
              <w:bottom w:val="single" w:sz="8" w:space="0" w:color="000000"/>
              <w:right w:val="single" w:sz="8" w:space="0" w:color="000000"/>
            </w:tcBorders>
            <w:tcMar>
              <w:top w:w="79" w:type="dxa"/>
              <w:left w:w="79" w:type="dxa"/>
              <w:bottom w:w="79" w:type="dxa"/>
              <w:right w:w="79" w:type="dxa"/>
            </w:tcMar>
          </w:tcPr>
          <w:p w:rsidR="00AE735B" w:rsidRPr="00BB5DE9" w14:paraId="2A970A6B" w14:textId="77777777">
            <w:pPr>
              <w:autoSpaceDE w:val="0"/>
              <w:autoSpaceDN w:val="0"/>
              <w:adjustRightInd w:val="0"/>
              <w:rPr>
                <w:b/>
                <w:bCs/>
                <w:color w:val="000000"/>
                <w:sz w:val="20"/>
              </w:rPr>
            </w:pPr>
            <w:r w:rsidRPr="00BB5DE9">
              <w:rPr>
                <w:b/>
                <w:color w:val="000000"/>
                <w:sz w:val="20"/>
              </w:rPr>
              <w:t>Esito della votazione finale</w:t>
            </w:r>
          </w:p>
        </w:tc>
        <w:tc>
          <w:tcPr>
            <w:tcW w:w="1530" w:type="dxa"/>
            <w:tcBorders>
              <w:top w:val="single" w:sz="8" w:space="0" w:color="000000"/>
              <w:left w:val="nil"/>
              <w:bottom w:val="single" w:sz="8" w:space="0" w:color="000000"/>
              <w:right w:val="nil"/>
            </w:tcBorders>
            <w:tcMar>
              <w:top w:w="79" w:type="dxa"/>
              <w:left w:w="79" w:type="dxa"/>
              <w:bottom w:w="79" w:type="dxa"/>
              <w:right w:w="79" w:type="dxa"/>
            </w:tcMar>
          </w:tcPr>
          <w:p w:rsidR="00AE735B" w:rsidRPr="00BB5DE9" w14:paraId="7F77811C" w14:textId="77777777">
            <w:pPr>
              <w:autoSpaceDE w:val="0"/>
              <w:autoSpaceDN w:val="0"/>
              <w:adjustRightInd w:val="0"/>
              <w:rPr>
                <w:color w:val="000000"/>
                <w:sz w:val="20"/>
              </w:rPr>
            </w:pPr>
            <w:r w:rsidRPr="00BB5DE9">
              <w:rPr>
                <w:color w:val="000000"/>
                <w:sz w:val="20"/>
              </w:rPr>
              <w:t>+:</w:t>
            </w:r>
          </w:p>
          <w:p w:rsidR="00AE735B" w:rsidRPr="00BB5DE9" w14:paraId="26A11200" w14:textId="77777777">
            <w:pPr>
              <w:autoSpaceDE w:val="0"/>
              <w:autoSpaceDN w:val="0"/>
              <w:adjustRightInd w:val="0"/>
              <w:rPr>
                <w:color w:val="000000"/>
                <w:sz w:val="20"/>
              </w:rPr>
            </w:pPr>
            <w:r w:rsidRPr="00BB5DE9">
              <w:rPr>
                <w:color w:val="000000"/>
                <w:sz w:val="20"/>
              </w:rPr>
              <w:t>–:</w:t>
            </w:r>
          </w:p>
          <w:p w:rsidR="00AE735B" w:rsidRPr="00BB5DE9" w14:paraId="0C3C432C" w14:textId="77777777">
            <w:pPr>
              <w:autoSpaceDE w:val="0"/>
              <w:autoSpaceDN w:val="0"/>
              <w:adjustRightInd w:val="0"/>
              <w:rPr>
                <w:color w:val="000000"/>
                <w:sz w:val="20"/>
              </w:rPr>
            </w:pPr>
            <w:r w:rsidRPr="00BB5DE9">
              <w:rPr>
                <w:color w:val="000000"/>
                <w:sz w:val="20"/>
              </w:rPr>
              <w:t>0:</w:t>
            </w:r>
          </w:p>
        </w:tc>
        <w:tc>
          <w:tcPr>
            <w:tcW w:w="4422" w:type="dxa"/>
            <w:gridSpan w:val="3"/>
            <w:tcBorders>
              <w:top w:val="single" w:sz="8" w:space="0" w:color="000000"/>
              <w:left w:val="nil"/>
              <w:bottom w:val="single" w:sz="8" w:space="0" w:color="000000"/>
              <w:right w:val="single" w:sz="8" w:space="0" w:color="000000"/>
            </w:tcBorders>
            <w:tcMar>
              <w:top w:w="79" w:type="dxa"/>
              <w:left w:w="79" w:type="dxa"/>
              <w:bottom w:w="79" w:type="dxa"/>
              <w:right w:w="79" w:type="dxa"/>
            </w:tcMar>
          </w:tcPr>
          <w:p w:rsidR="00AE735B" w:rsidRPr="00BB5DE9" w14:paraId="7EE9B929" w14:textId="77777777">
            <w:pPr>
              <w:autoSpaceDE w:val="0"/>
              <w:autoSpaceDN w:val="0"/>
              <w:adjustRightInd w:val="0"/>
              <w:rPr>
                <w:color w:val="000000"/>
                <w:sz w:val="20"/>
              </w:rPr>
            </w:pPr>
            <w:r w:rsidRPr="00BB5DE9">
              <w:rPr>
                <w:color w:val="000000"/>
                <w:sz w:val="20"/>
              </w:rPr>
              <w:t>29</w:t>
            </w:r>
          </w:p>
          <w:p w:rsidR="00AE735B" w:rsidRPr="00BB5DE9" w14:paraId="6771535A" w14:textId="77777777">
            <w:pPr>
              <w:autoSpaceDE w:val="0"/>
              <w:autoSpaceDN w:val="0"/>
              <w:adjustRightInd w:val="0"/>
              <w:rPr>
                <w:color w:val="000000"/>
                <w:sz w:val="20"/>
              </w:rPr>
            </w:pPr>
            <w:r w:rsidRPr="00BB5DE9">
              <w:rPr>
                <w:color w:val="000000"/>
                <w:sz w:val="20"/>
              </w:rPr>
              <w:t>17</w:t>
            </w:r>
          </w:p>
          <w:p w:rsidR="00AE735B" w:rsidRPr="00BB5DE9" w14:paraId="01978E79" w14:textId="77777777">
            <w:pPr>
              <w:autoSpaceDE w:val="0"/>
              <w:autoSpaceDN w:val="0"/>
              <w:adjustRightInd w:val="0"/>
              <w:rPr>
                <w:color w:val="000000"/>
                <w:sz w:val="20"/>
              </w:rPr>
            </w:pPr>
            <w:r w:rsidRPr="00BB5DE9">
              <w:rPr>
                <w:color w:val="000000"/>
                <w:sz w:val="20"/>
              </w:rPr>
              <w:t>9</w:t>
            </w:r>
          </w:p>
        </w:tc>
      </w:tr>
    </w:tbl>
    <w:p w:rsidR="00AE735B" w:rsidRPr="00BB5DE9" w:rsidP="00F6359F" w14:paraId="1DD4BDBC" w14:textId="77777777"/>
    <w:p w:rsidR="00AE735B" w:rsidRPr="00BB5DE9" w:rsidP="00C83AFD" w14:paraId="057F909B" w14:textId="77777777">
      <w:pPr>
        <w:sectPr w:rsidSect="00AE735B">
          <w:pgSz w:w="11894" w:h="15840"/>
          <w:pgMar w:top="1700" w:right="1417" w:bottom="1417" w:left="1417" w:header="720" w:footer="720" w:gutter="0"/>
          <w:cols w:space="720"/>
          <w:noEndnote/>
          <w:docGrid w:linePitch="326"/>
        </w:sectPr>
      </w:pPr>
    </w:p>
    <w:p w:rsidR="00AE735B" w:rsidRPr="00BB5DE9" w:rsidP="00C36610" w14:paraId="09DB4817" w14:textId="77777777">
      <w:pPr>
        <w:pStyle w:val="PageHeadingNotTOC"/>
      </w:pPr>
      <w:r w:rsidRPr="00BB5DE9">
        <w:t>VOTAZIONE FINALE PER APPELLO NOMINALE</w:t>
      </w:r>
      <w:r w:rsidRPr="00BB5DE9">
        <w:br/>
        <w:t>DA PARTE DELLA COMMISSIONE COMPETENTE PER PARERE</w:t>
      </w:r>
    </w:p>
    <w:tbl>
      <w:tblPr>
        <w:tblW w:w="0" w:type="auto"/>
        <w:tblInd w:w="145" w:type="dxa"/>
        <w:tblBorders>
          <w:top w:val="double" w:sz="2" w:space="0" w:color="000000"/>
          <w:left w:val="double" w:sz="2" w:space="0" w:color="000000"/>
          <w:bottom w:val="double" w:sz="2" w:space="0" w:color="000000"/>
          <w:right w:val="double" w:sz="2" w:space="0" w:color="000000"/>
          <w:insideH w:val="single" w:sz="2" w:space="0" w:color="000000"/>
          <w:insideV w:val="single" w:sz="2" w:space="0" w:color="000000"/>
        </w:tblBorders>
        <w:tblLayout w:type="fixed"/>
        <w:tblCellMar>
          <w:left w:w="145" w:type="dxa"/>
          <w:right w:w="145" w:type="dxa"/>
        </w:tblCellMar>
        <w:tblLook w:val="0000"/>
      </w:tblPr>
      <w:tblGrid>
        <w:gridCol w:w="1701"/>
        <w:gridCol w:w="7371"/>
      </w:tblGrid>
      <w:tr w14:paraId="2DE28C72" w14:textId="77777777" w:rsidTr="002A49BB">
        <w:tblPrEx>
          <w:tblW w:w="0" w:type="auto"/>
          <w:tblInd w:w="145" w:type="dxa"/>
          <w:tblBorders>
            <w:top w:val="double" w:sz="2" w:space="0" w:color="000000"/>
            <w:left w:val="double" w:sz="2" w:space="0" w:color="000000"/>
            <w:bottom w:val="double" w:sz="2" w:space="0" w:color="000000"/>
            <w:right w:val="double" w:sz="2" w:space="0" w:color="000000"/>
            <w:insideH w:val="single" w:sz="2" w:space="0" w:color="000000"/>
            <w:insideV w:val="single" w:sz="2" w:space="0" w:color="000000"/>
          </w:tblBorders>
          <w:tblLayout w:type="fixed"/>
          <w:tblCellMar>
            <w:left w:w="145" w:type="dxa"/>
            <w:right w:w="145" w:type="dxa"/>
          </w:tblCellMar>
          <w:tblLook w:val="0000"/>
        </w:tblPrEx>
        <w:trPr>
          <w:cantSplit/>
        </w:trPr>
        <w:tc>
          <w:tcPr>
            <w:tcW w:w="1701" w:type="dxa"/>
            <w:shd w:val="pct10" w:color="000000" w:fill="FFFFFF"/>
            <w:vAlign w:val="center"/>
          </w:tcPr>
          <w:p w:rsidR="00AE735B" w:rsidRPr="00BB5DE9" w:rsidP="002A49BB" w14:paraId="3C6957E9" w14:textId="77777777">
            <w:pPr>
              <w:pStyle w:val="RollCallVotes"/>
              <w:rPr>
                <w:lang w:val="it-IT"/>
              </w:rPr>
            </w:pPr>
            <w:r w:rsidRPr="00BB5DE9">
              <w:rPr>
                <w:lang w:val="it-IT"/>
              </w:rPr>
              <w:t>29</w:t>
            </w:r>
          </w:p>
        </w:tc>
        <w:tc>
          <w:tcPr>
            <w:tcW w:w="7371" w:type="dxa"/>
            <w:shd w:val="pct10" w:color="000000" w:fill="FFFFFF"/>
          </w:tcPr>
          <w:p w:rsidR="00AE735B" w:rsidRPr="00BB5DE9" w:rsidP="002A49BB" w14:paraId="305E54A8" w14:textId="77777777">
            <w:pPr>
              <w:pStyle w:val="RollCallSymbols14pt"/>
              <w:rPr>
                <w:lang w:val="it-IT"/>
              </w:rPr>
            </w:pPr>
            <w:r w:rsidRPr="00BB5DE9">
              <w:rPr>
                <w:lang w:val="it-IT"/>
              </w:rPr>
              <w:t>+</w:t>
            </w:r>
          </w:p>
        </w:tc>
      </w:tr>
      <w:tr w14:paraId="6727BE36" w14:textId="77777777" w:rsidTr="002A49BB">
        <w:tblPrEx>
          <w:tblW w:w="0" w:type="auto"/>
          <w:tblInd w:w="145" w:type="dxa"/>
          <w:tblLayout w:type="fixed"/>
          <w:tblCellMar>
            <w:left w:w="145" w:type="dxa"/>
            <w:right w:w="145" w:type="dxa"/>
          </w:tblCellMar>
          <w:tblLook w:val="0000"/>
        </w:tblPrEx>
        <w:trPr>
          <w:cantSplit/>
        </w:trPr>
        <w:tc>
          <w:tcPr>
            <w:tcW w:w="1701" w:type="dxa"/>
            <w:shd w:val="clear" w:color="auto" w:fill="FFFFFF"/>
          </w:tcPr>
          <w:p w:rsidR="00AE735B" w:rsidRPr="00BB5DE9" w:rsidP="002A49BB" w14:paraId="6732BBF7" w14:textId="77777777">
            <w:pPr>
              <w:pStyle w:val="RollCallTable"/>
              <w:rPr>
                <w:lang w:val="it-IT"/>
              </w:rPr>
            </w:pPr>
            <w:r w:rsidRPr="00BB5DE9">
              <w:rPr>
                <w:lang w:val="it-IT"/>
              </w:rPr>
              <w:t>PPE</w:t>
            </w:r>
          </w:p>
        </w:tc>
        <w:tc>
          <w:tcPr>
            <w:tcW w:w="7371" w:type="dxa"/>
            <w:shd w:val="clear" w:color="auto" w:fill="FFFFFF"/>
          </w:tcPr>
          <w:p w:rsidR="00AE735B" w:rsidRPr="00BB5DE9" w:rsidP="002A49BB" w14:paraId="2061E8AB" w14:textId="77777777">
            <w:pPr>
              <w:pStyle w:val="RollCallTable"/>
              <w:rPr>
                <w:lang w:val="it-IT"/>
              </w:rPr>
            </w:pPr>
            <w:r w:rsidRPr="00BB5DE9">
              <w:rPr>
                <w:lang w:val="it-IT"/>
              </w:rPr>
              <w:t>Georgios Aftias, Stefan Berger, Daniel Buda, Marco Falcone, Markus Ferber, Dirk Gotink, Michalis Hadjipantela, Monika Hohlmeier, Luděk Niedermayer, Sirpa Pietikäinen, Jüri Ratas, Paulius Saudargas, Andreas Schwab</w:t>
            </w:r>
          </w:p>
        </w:tc>
      </w:tr>
      <w:tr w14:paraId="2A568B58" w14:textId="77777777" w:rsidTr="002A49BB">
        <w:tblPrEx>
          <w:tblW w:w="0" w:type="auto"/>
          <w:tblInd w:w="145" w:type="dxa"/>
          <w:tblLayout w:type="fixed"/>
          <w:tblCellMar>
            <w:left w:w="145" w:type="dxa"/>
            <w:right w:w="145" w:type="dxa"/>
          </w:tblCellMar>
          <w:tblLook w:val="0000"/>
        </w:tblPrEx>
        <w:trPr>
          <w:cantSplit/>
        </w:trPr>
        <w:tc>
          <w:tcPr>
            <w:tcW w:w="1701" w:type="dxa"/>
            <w:shd w:val="clear" w:color="auto" w:fill="FFFFFF"/>
          </w:tcPr>
          <w:p w:rsidR="00AE735B" w:rsidRPr="00BB5DE9" w:rsidP="002A49BB" w14:paraId="7AB91281" w14:textId="77777777">
            <w:pPr>
              <w:pStyle w:val="RollCallTable"/>
              <w:rPr>
                <w:lang w:val="it-IT"/>
              </w:rPr>
            </w:pPr>
            <w:r w:rsidRPr="00BB5DE9">
              <w:rPr>
                <w:lang w:val="it-IT"/>
              </w:rPr>
              <w:t>Renew</w:t>
            </w:r>
          </w:p>
        </w:tc>
        <w:tc>
          <w:tcPr>
            <w:tcW w:w="7371" w:type="dxa"/>
            <w:shd w:val="clear" w:color="auto" w:fill="FFFFFF"/>
          </w:tcPr>
          <w:p w:rsidR="00AE735B" w:rsidRPr="00BB5DE9" w:rsidP="002A49BB" w14:paraId="2907C67E" w14:textId="77777777">
            <w:pPr>
              <w:pStyle w:val="RollCallTable"/>
              <w:rPr>
                <w:lang w:val="it-IT"/>
              </w:rPr>
            </w:pPr>
            <w:r w:rsidRPr="00BB5DE9">
              <w:rPr>
                <w:lang w:val="it-IT"/>
              </w:rPr>
              <w:t>Gilles Boyer, Engin Eroglu, Billy Kelleher, Ľudovít Ódor, Stéphanie Yon-Courtin</w:t>
            </w:r>
          </w:p>
        </w:tc>
      </w:tr>
      <w:tr w14:paraId="5259A1C0" w14:textId="77777777" w:rsidTr="002A49BB">
        <w:tblPrEx>
          <w:tblW w:w="0" w:type="auto"/>
          <w:tblInd w:w="145" w:type="dxa"/>
          <w:tblLayout w:type="fixed"/>
          <w:tblCellMar>
            <w:left w:w="145" w:type="dxa"/>
            <w:right w:w="145" w:type="dxa"/>
          </w:tblCellMar>
          <w:tblLook w:val="0000"/>
        </w:tblPrEx>
        <w:trPr>
          <w:cantSplit/>
        </w:trPr>
        <w:tc>
          <w:tcPr>
            <w:tcW w:w="1701" w:type="dxa"/>
            <w:shd w:val="clear" w:color="auto" w:fill="FFFFFF"/>
          </w:tcPr>
          <w:p w:rsidR="00AE735B" w:rsidRPr="00BB5DE9" w:rsidP="002A49BB" w14:paraId="552C71F4" w14:textId="77777777">
            <w:pPr>
              <w:pStyle w:val="RollCallTable"/>
              <w:rPr>
                <w:lang w:val="it-IT"/>
              </w:rPr>
            </w:pPr>
            <w:r w:rsidRPr="00BB5DE9">
              <w:rPr>
                <w:lang w:val="it-IT"/>
              </w:rPr>
              <w:t>S&amp;D</w:t>
            </w:r>
          </w:p>
        </w:tc>
        <w:tc>
          <w:tcPr>
            <w:tcW w:w="7371" w:type="dxa"/>
            <w:shd w:val="clear" w:color="auto" w:fill="FFFFFF"/>
          </w:tcPr>
          <w:p w:rsidR="00AE735B" w:rsidRPr="00BB5DE9" w:rsidP="002A49BB" w14:paraId="251C8651" w14:textId="77777777">
            <w:pPr>
              <w:pStyle w:val="RollCallTable"/>
              <w:rPr>
                <w:lang w:val="it-IT"/>
              </w:rPr>
            </w:pPr>
            <w:r w:rsidRPr="00BB5DE9">
              <w:rPr>
                <w:lang w:val="it-IT"/>
              </w:rPr>
              <w:t>Matthias Ecke, Jonás Fernández, Claire Fita, Isilda Gomes, Eero Heinäluoma, Aurore Lalucq, Marit Maij, Nikos Papandreou, René Repasi, Günther Sidl, Carla Tavares</w:t>
            </w:r>
          </w:p>
        </w:tc>
      </w:tr>
    </w:tbl>
    <w:p w:rsidR="00AE735B" w:rsidRPr="00BB5DE9" w:rsidP="00F6359F" w14:paraId="539F11CC" w14:textId="77777777"/>
    <w:tbl>
      <w:tblPr>
        <w:tblW w:w="0" w:type="auto"/>
        <w:tblInd w:w="145" w:type="dxa"/>
        <w:tblBorders>
          <w:top w:val="double" w:sz="2" w:space="0" w:color="000000"/>
          <w:left w:val="double" w:sz="2" w:space="0" w:color="000000"/>
          <w:bottom w:val="double" w:sz="2" w:space="0" w:color="000000"/>
          <w:right w:val="double" w:sz="2" w:space="0" w:color="000000"/>
          <w:insideH w:val="single" w:sz="2" w:space="0" w:color="000000"/>
          <w:insideV w:val="single" w:sz="2" w:space="0" w:color="000000"/>
        </w:tblBorders>
        <w:tblLayout w:type="fixed"/>
        <w:tblCellMar>
          <w:left w:w="145" w:type="dxa"/>
          <w:right w:w="145" w:type="dxa"/>
        </w:tblCellMar>
        <w:tblLook w:val="0000"/>
      </w:tblPr>
      <w:tblGrid>
        <w:gridCol w:w="1701"/>
        <w:gridCol w:w="7371"/>
      </w:tblGrid>
      <w:tr w14:paraId="1026A55B" w14:textId="77777777" w:rsidTr="002A49BB">
        <w:tblPrEx>
          <w:tblW w:w="0" w:type="auto"/>
          <w:tblInd w:w="145" w:type="dxa"/>
          <w:tblBorders>
            <w:top w:val="double" w:sz="2" w:space="0" w:color="000000"/>
            <w:left w:val="double" w:sz="2" w:space="0" w:color="000000"/>
            <w:bottom w:val="double" w:sz="2" w:space="0" w:color="000000"/>
            <w:right w:val="double" w:sz="2" w:space="0" w:color="000000"/>
            <w:insideH w:val="single" w:sz="2" w:space="0" w:color="000000"/>
            <w:insideV w:val="single" w:sz="2" w:space="0" w:color="000000"/>
          </w:tblBorders>
          <w:tblLayout w:type="fixed"/>
          <w:tblCellMar>
            <w:left w:w="145" w:type="dxa"/>
            <w:right w:w="145" w:type="dxa"/>
          </w:tblCellMar>
          <w:tblLook w:val="0000"/>
        </w:tblPrEx>
        <w:trPr>
          <w:cantSplit/>
        </w:trPr>
        <w:tc>
          <w:tcPr>
            <w:tcW w:w="1701" w:type="dxa"/>
            <w:shd w:val="pct10" w:color="000000" w:fill="FFFFFF"/>
            <w:vAlign w:val="center"/>
          </w:tcPr>
          <w:p w:rsidR="00AE735B" w:rsidRPr="00BB5DE9" w:rsidP="002A49BB" w14:paraId="187AB127" w14:textId="77777777">
            <w:pPr>
              <w:pStyle w:val="RollCallVotes"/>
              <w:rPr>
                <w:lang w:val="it-IT"/>
              </w:rPr>
            </w:pPr>
            <w:r w:rsidRPr="00BB5DE9">
              <w:rPr>
                <w:lang w:val="it-IT"/>
              </w:rPr>
              <w:t>17</w:t>
            </w:r>
          </w:p>
        </w:tc>
        <w:tc>
          <w:tcPr>
            <w:tcW w:w="7371" w:type="dxa"/>
            <w:shd w:val="pct10" w:color="000000" w:fill="FFFFFF"/>
          </w:tcPr>
          <w:p w:rsidR="00AE735B" w:rsidRPr="00BB5DE9" w:rsidP="002A49BB" w14:paraId="35EAEA2E" w14:textId="77777777">
            <w:pPr>
              <w:pStyle w:val="RollCallSymbols14pt"/>
              <w:rPr>
                <w:lang w:val="it-IT"/>
              </w:rPr>
            </w:pPr>
            <w:r w:rsidRPr="00BB5DE9">
              <w:rPr>
                <w:lang w:val="it-IT"/>
              </w:rPr>
              <w:t>-</w:t>
            </w:r>
          </w:p>
        </w:tc>
      </w:tr>
      <w:tr w14:paraId="105E6CC1" w14:textId="77777777" w:rsidTr="002A49BB">
        <w:tblPrEx>
          <w:tblW w:w="0" w:type="auto"/>
          <w:tblInd w:w="145" w:type="dxa"/>
          <w:tblLayout w:type="fixed"/>
          <w:tblCellMar>
            <w:left w:w="145" w:type="dxa"/>
            <w:right w:w="145" w:type="dxa"/>
          </w:tblCellMar>
          <w:tblLook w:val="0000"/>
        </w:tblPrEx>
        <w:trPr>
          <w:cantSplit/>
        </w:trPr>
        <w:tc>
          <w:tcPr>
            <w:tcW w:w="1701" w:type="dxa"/>
            <w:shd w:val="clear" w:color="auto" w:fill="FFFFFF"/>
          </w:tcPr>
          <w:p w:rsidR="00AE735B" w:rsidRPr="00BB5DE9" w:rsidP="002A49BB" w14:paraId="35A241D7" w14:textId="77777777">
            <w:pPr>
              <w:pStyle w:val="RollCallTable"/>
              <w:rPr>
                <w:lang w:val="it-IT"/>
              </w:rPr>
            </w:pPr>
            <w:r w:rsidRPr="00BB5DE9">
              <w:rPr>
                <w:lang w:val="it-IT"/>
              </w:rPr>
              <w:t>ECR</w:t>
            </w:r>
          </w:p>
        </w:tc>
        <w:tc>
          <w:tcPr>
            <w:tcW w:w="7371" w:type="dxa"/>
            <w:shd w:val="clear" w:color="auto" w:fill="FFFFFF"/>
          </w:tcPr>
          <w:p w:rsidR="00AE735B" w:rsidRPr="00BB5DE9" w:rsidP="002A49BB" w14:paraId="2CC4AE46" w14:textId="77777777">
            <w:pPr>
              <w:pStyle w:val="RollCallTable"/>
              <w:rPr>
                <w:lang w:val="it-IT"/>
              </w:rPr>
            </w:pPr>
            <w:r w:rsidRPr="00BB5DE9">
              <w:rPr>
                <w:lang w:val="it-IT"/>
              </w:rPr>
              <w:t>Stephen Nikola Bartulica, Marlena Maląg</w:t>
            </w:r>
          </w:p>
        </w:tc>
      </w:tr>
      <w:tr w14:paraId="1AE2EDF3" w14:textId="77777777" w:rsidTr="002A49BB">
        <w:tblPrEx>
          <w:tblW w:w="0" w:type="auto"/>
          <w:tblInd w:w="145" w:type="dxa"/>
          <w:tblLayout w:type="fixed"/>
          <w:tblCellMar>
            <w:left w:w="145" w:type="dxa"/>
            <w:right w:w="145" w:type="dxa"/>
          </w:tblCellMar>
          <w:tblLook w:val="0000"/>
        </w:tblPrEx>
        <w:trPr>
          <w:cantSplit/>
        </w:trPr>
        <w:tc>
          <w:tcPr>
            <w:tcW w:w="1701" w:type="dxa"/>
            <w:shd w:val="clear" w:color="auto" w:fill="FFFFFF"/>
          </w:tcPr>
          <w:p w:rsidR="00AE735B" w:rsidRPr="00BB5DE9" w:rsidP="002A49BB" w14:paraId="117ED9DE" w14:textId="77777777">
            <w:pPr>
              <w:pStyle w:val="RollCallTable"/>
              <w:rPr>
                <w:lang w:val="it-IT"/>
              </w:rPr>
            </w:pPr>
            <w:r w:rsidRPr="00BB5DE9">
              <w:rPr>
                <w:lang w:val="it-IT"/>
              </w:rPr>
              <w:t>ESN</w:t>
            </w:r>
          </w:p>
        </w:tc>
        <w:tc>
          <w:tcPr>
            <w:tcW w:w="7371" w:type="dxa"/>
            <w:shd w:val="clear" w:color="auto" w:fill="FFFFFF"/>
          </w:tcPr>
          <w:p w:rsidR="00AE735B" w:rsidRPr="00BB5DE9" w:rsidP="002A49BB" w14:paraId="4A78E480" w14:textId="77777777">
            <w:pPr>
              <w:pStyle w:val="RollCallTable"/>
              <w:rPr>
                <w:lang w:val="it-IT"/>
              </w:rPr>
            </w:pPr>
            <w:r w:rsidRPr="00BB5DE9">
              <w:rPr>
                <w:lang w:val="it-IT"/>
              </w:rPr>
              <w:t>Siegbert Frank Droese, Rada Laykova</w:t>
            </w:r>
          </w:p>
        </w:tc>
      </w:tr>
      <w:tr w14:paraId="4F8220F3" w14:textId="77777777" w:rsidTr="002A49BB">
        <w:tblPrEx>
          <w:tblW w:w="0" w:type="auto"/>
          <w:tblInd w:w="145" w:type="dxa"/>
          <w:tblLayout w:type="fixed"/>
          <w:tblCellMar>
            <w:left w:w="145" w:type="dxa"/>
            <w:right w:w="145" w:type="dxa"/>
          </w:tblCellMar>
          <w:tblLook w:val="0000"/>
        </w:tblPrEx>
        <w:trPr>
          <w:cantSplit/>
        </w:trPr>
        <w:tc>
          <w:tcPr>
            <w:tcW w:w="1701" w:type="dxa"/>
            <w:shd w:val="clear" w:color="auto" w:fill="FFFFFF"/>
          </w:tcPr>
          <w:p w:rsidR="00AE735B" w:rsidRPr="00BB5DE9" w:rsidP="002A49BB" w14:paraId="0ECF48E4" w14:textId="77777777">
            <w:pPr>
              <w:pStyle w:val="RollCallTable"/>
              <w:rPr>
                <w:lang w:val="it-IT"/>
              </w:rPr>
            </w:pPr>
            <w:r w:rsidRPr="00BB5DE9">
              <w:rPr>
                <w:lang w:val="it-IT"/>
              </w:rPr>
              <w:t>NI</w:t>
            </w:r>
          </w:p>
        </w:tc>
        <w:tc>
          <w:tcPr>
            <w:tcW w:w="7371" w:type="dxa"/>
            <w:shd w:val="clear" w:color="auto" w:fill="FFFFFF"/>
          </w:tcPr>
          <w:p w:rsidR="00AE735B" w:rsidRPr="00BB5DE9" w:rsidP="002A49BB" w14:paraId="412BFC7D" w14:textId="77777777">
            <w:pPr>
              <w:pStyle w:val="RollCallTable"/>
              <w:rPr>
                <w:lang w:val="it-IT"/>
              </w:rPr>
            </w:pPr>
            <w:r w:rsidRPr="00BB5DE9">
              <w:rPr>
                <w:lang w:val="it-IT"/>
              </w:rPr>
              <w:t>Fabio De Masi, Fernand Kartheiser</w:t>
            </w:r>
          </w:p>
        </w:tc>
      </w:tr>
      <w:tr w14:paraId="6840A109" w14:textId="77777777" w:rsidTr="002A49BB">
        <w:tblPrEx>
          <w:tblW w:w="0" w:type="auto"/>
          <w:tblInd w:w="145" w:type="dxa"/>
          <w:tblLayout w:type="fixed"/>
          <w:tblCellMar>
            <w:left w:w="145" w:type="dxa"/>
            <w:right w:w="145" w:type="dxa"/>
          </w:tblCellMar>
          <w:tblLook w:val="0000"/>
        </w:tblPrEx>
        <w:trPr>
          <w:cantSplit/>
        </w:trPr>
        <w:tc>
          <w:tcPr>
            <w:tcW w:w="1701" w:type="dxa"/>
            <w:shd w:val="clear" w:color="auto" w:fill="FFFFFF"/>
          </w:tcPr>
          <w:p w:rsidR="00AE735B" w:rsidRPr="00BB5DE9" w:rsidP="002A49BB" w14:paraId="4E36E670" w14:textId="77777777">
            <w:pPr>
              <w:pStyle w:val="RollCallTable"/>
              <w:rPr>
                <w:lang w:val="it-IT"/>
              </w:rPr>
            </w:pPr>
            <w:r w:rsidRPr="00BB5DE9">
              <w:rPr>
                <w:lang w:val="it-IT"/>
              </w:rPr>
              <w:t>PfE</w:t>
            </w:r>
          </w:p>
        </w:tc>
        <w:tc>
          <w:tcPr>
            <w:tcW w:w="7371" w:type="dxa"/>
            <w:shd w:val="clear" w:color="auto" w:fill="FFFFFF"/>
          </w:tcPr>
          <w:p w:rsidR="00AE735B" w:rsidRPr="00BB5DE9" w:rsidP="002A49BB" w14:paraId="2B334090" w14:textId="77777777">
            <w:pPr>
              <w:pStyle w:val="RollCallTable"/>
              <w:rPr>
                <w:lang w:val="it-IT"/>
              </w:rPr>
            </w:pPr>
            <w:r w:rsidRPr="00BB5DE9">
              <w:rPr>
                <w:lang w:val="it-IT"/>
              </w:rPr>
              <w:t>Mireia Borrás Pabón, Enikő Győri, Jaroslav Knot, Tomáš Kubín, Pierre Pimpie, Jaroslava Pokorná Jermanová, Auke Zijlstra</w:t>
            </w:r>
          </w:p>
        </w:tc>
      </w:tr>
      <w:tr w14:paraId="047946E2" w14:textId="77777777" w:rsidTr="002A49BB">
        <w:tblPrEx>
          <w:tblW w:w="0" w:type="auto"/>
          <w:tblInd w:w="145" w:type="dxa"/>
          <w:tblLayout w:type="fixed"/>
          <w:tblCellMar>
            <w:left w:w="145" w:type="dxa"/>
            <w:right w:w="145" w:type="dxa"/>
          </w:tblCellMar>
          <w:tblLook w:val="0000"/>
        </w:tblPrEx>
        <w:trPr>
          <w:cantSplit/>
        </w:trPr>
        <w:tc>
          <w:tcPr>
            <w:tcW w:w="1701" w:type="dxa"/>
            <w:shd w:val="clear" w:color="auto" w:fill="FFFFFF"/>
          </w:tcPr>
          <w:p w:rsidR="00AE735B" w:rsidRPr="00BB5DE9" w:rsidP="002A49BB" w14:paraId="126ED67A" w14:textId="77777777">
            <w:pPr>
              <w:pStyle w:val="RollCallTable"/>
              <w:rPr>
                <w:lang w:val="it-IT"/>
              </w:rPr>
            </w:pPr>
            <w:r w:rsidRPr="00BB5DE9">
              <w:rPr>
                <w:lang w:val="it-IT"/>
              </w:rPr>
              <w:t>The Left</w:t>
            </w:r>
          </w:p>
        </w:tc>
        <w:tc>
          <w:tcPr>
            <w:tcW w:w="7371" w:type="dxa"/>
            <w:shd w:val="clear" w:color="auto" w:fill="FFFFFF"/>
          </w:tcPr>
          <w:p w:rsidR="00AE735B" w:rsidRPr="00BB5DE9" w:rsidP="002A49BB" w14:paraId="4126B1A1" w14:textId="77777777">
            <w:pPr>
              <w:pStyle w:val="RollCallTable"/>
              <w:rPr>
                <w:lang w:val="it-IT"/>
              </w:rPr>
            </w:pPr>
            <w:r w:rsidRPr="00BB5DE9">
              <w:rPr>
                <w:lang w:val="it-IT"/>
              </w:rPr>
              <w:t>Martin Günther, Gaetano Pedulla', Jussi Saramo, Pasquale Tridico</w:t>
            </w:r>
          </w:p>
        </w:tc>
      </w:tr>
    </w:tbl>
    <w:p w:rsidR="00AE735B" w:rsidRPr="00BB5DE9" w:rsidP="00F6359F" w14:paraId="3BA0F3F7" w14:textId="77777777"/>
    <w:tbl>
      <w:tblPr>
        <w:tblW w:w="0" w:type="auto"/>
        <w:tblInd w:w="145" w:type="dxa"/>
        <w:tblBorders>
          <w:top w:val="double" w:sz="2" w:space="0" w:color="000000"/>
          <w:left w:val="double" w:sz="2" w:space="0" w:color="000000"/>
          <w:bottom w:val="double" w:sz="2" w:space="0" w:color="000000"/>
          <w:right w:val="double" w:sz="2" w:space="0" w:color="000000"/>
          <w:insideH w:val="single" w:sz="2" w:space="0" w:color="000000"/>
          <w:insideV w:val="single" w:sz="2" w:space="0" w:color="000000"/>
        </w:tblBorders>
        <w:tblLayout w:type="fixed"/>
        <w:tblCellMar>
          <w:left w:w="145" w:type="dxa"/>
          <w:right w:w="145" w:type="dxa"/>
        </w:tblCellMar>
        <w:tblLook w:val="0000"/>
      </w:tblPr>
      <w:tblGrid>
        <w:gridCol w:w="1701"/>
        <w:gridCol w:w="7371"/>
      </w:tblGrid>
      <w:tr w14:paraId="5FC54A0F" w14:textId="77777777" w:rsidTr="002A49BB">
        <w:tblPrEx>
          <w:tblW w:w="0" w:type="auto"/>
          <w:tblInd w:w="145" w:type="dxa"/>
          <w:tblBorders>
            <w:top w:val="double" w:sz="2" w:space="0" w:color="000000"/>
            <w:left w:val="double" w:sz="2" w:space="0" w:color="000000"/>
            <w:bottom w:val="double" w:sz="2" w:space="0" w:color="000000"/>
            <w:right w:val="double" w:sz="2" w:space="0" w:color="000000"/>
            <w:insideH w:val="single" w:sz="2" w:space="0" w:color="000000"/>
            <w:insideV w:val="single" w:sz="2" w:space="0" w:color="000000"/>
          </w:tblBorders>
          <w:tblLayout w:type="fixed"/>
          <w:tblCellMar>
            <w:left w:w="145" w:type="dxa"/>
            <w:right w:w="145" w:type="dxa"/>
          </w:tblCellMar>
          <w:tblLook w:val="0000"/>
        </w:tblPrEx>
        <w:trPr>
          <w:cantSplit/>
        </w:trPr>
        <w:tc>
          <w:tcPr>
            <w:tcW w:w="1701" w:type="dxa"/>
            <w:shd w:val="pct10" w:color="000000" w:fill="FFFFFF"/>
            <w:vAlign w:val="center"/>
          </w:tcPr>
          <w:p w:rsidR="00AE735B" w:rsidRPr="00BB5DE9" w:rsidP="002A49BB" w14:paraId="28BC167C" w14:textId="77777777">
            <w:pPr>
              <w:pStyle w:val="RollCallVotes"/>
              <w:rPr>
                <w:lang w:val="it-IT"/>
              </w:rPr>
            </w:pPr>
            <w:r w:rsidRPr="00BB5DE9">
              <w:rPr>
                <w:lang w:val="it-IT"/>
              </w:rPr>
              <w:t>9</w:t>
            </w:r>
          </w:p>
        </w:tc>
        <w:tc>
          <w:tcPr>
            <w:tcW w:w="7371" w:type="dxa"/>
            <w:shd w:val="pct10" w:color="000000" w:fill="FFFFFF"/>
          </w:tcPr>
          <w:p w:rsidR="00AE735B" w:rsidRPr="00BB5DE9" w:rsidP="002A49BB" w14:paraId="52B75F06" w14:textId="77777777">
            <w:pPr>
              <w:pStyle w:val="RollCallSymbols14pt"/>
              <w:rPr>
                <w:lang w:val="it-IT"/>
              </w:rPr>
            </w:pPr>
            <w:r w:rsidRPr="00BB5DE9">
              <w:rPr>
                <w:lang w:val="it-IT"/>
              </w:rPr>
              <w:t>0</w:t>
            </w:r>
          </w:p>
        </w:tc>
      </w:tr>
      <w:tr w14:paraId="0087E5C3" w14:textId="77777777" w:rsidTr="002A49BB">
        <w:tblPrEx>
          <w:tblW w:w="0" w:type="auto"/>
          <w:tblInd w:w="145" w:type="dxa"/>
          <w:tblLayout w:type="fixed"/>
          <w:tblCellMar>
            <w:left w:w="145" w:type="dxa"/>
            <w:right w:w="145" w:type="dxa"/>
          </w:tblCellMar>
          <w:tblLook w:val="0000"/>
        </w:tblPrEx>
        <w:trPr>
          <w:cantSplit/>
        </w:trPr>
        <w:tc>
          <w:tcPr>
            <w:tcW w:w="1701" w:type="dxa"/>
            <w:shd w:val="clear" w:color="auto" w:fill="FFFFFF"/>
          </w:tcPr>
          <w:p w:rsidR="00AE735B" w:rsidRPr="00BB5DE9" w:rsidP="002A49BB" w14:paraId="2EB71C55" w14:textId="77777777">
            <w:pPr>
              <w:pStyle w:val="RollCallTable"/>
              <w:rPr>
                <w:lang w:val="it-IT"/>
              </w:rPr>
            </w:pPr>
            <w:r w:rsidRPr="00BB5DE9">
              <w:rPr>
                <w:lang w:val="it-IT"/>
              </w:rPr>
              <w:t>ECR</w:t>
            </w:r>
          </w:p>
        </w:tc>
        <w:tc>
          <w:tcPr>
            <w:tcW w:w="7371" w:type="dxa"/>
            <w:shd w:val="clear" w:color="auto" w:fill="FFFFFF"/>
          </w:tcPr>
          <w:p w:rsidR="00AE735B" w:rsidRPr="00BB5DE9" w:rsidP="002A49BB" w14:paraId="41C6BE86" w14:textId="77777777">
            <w:pPr>
              <w:pStyle w:val="RollCallTable"/>
              <w:rPr>
                <w:lang w:val="it-IT"/>
              </w:rPr>
            </w:pPr>
            <w:r w:rsidRPr="00BB5DE9">
              <w:rPr>
                <w:lang w:val="it-IT"/>
              </w:rPr>
              <w:t>Giovanni Crosetto, Denis Nesci, Ruggero Razza, Antonella Sberna, Mariateresa Vivaldini</w:t>
            </w:r>
          </w:p>
        </w:tc>
      </w:tr>
      <w:tr w14:paraId="4BC23DCB" w14:textId="77777777" w:rsidTr="002A49BB">
        <w:tblPrEx>
          <w:tblW w:w="0" w:type="auto"/>
          <w:tblInd w:w="145" w:type="dxa"/>
          <w:tblLayout w:type="fixed"/>
          <w:tblCellMar>
            <w:left w:w="145" w:type="dxa"/>
            <w:right w:w="145" w:type="dxa"/>
          </w:tblCellMar>
          <w:tblLook w:val="0000"/>
        </w:tblPrEx>
        <w:trPr>
          <w:cantSplit/>
        </w:trPr>
        <w:tc>
          <w:tcPr>
            <w:tcW w:w="1701" w:type="dxa"/>
            <w:shd w:val="clear" w:color="auto" w:fill="FFFFFF"/>
          </w:tcPr>
          <w:p w:rsidR="00AE735B" w:rsidRPr="00BB5DE9" w:rsidP="002A49BB" w14:paraId="78861D76" w14:textId="77777777">
            <w:pPr>
              <w:pStyle w:val="RollCallTable"/>
              <w:rPr>
                <w:lang w:val="it-IT"/>
              </w:rPr>
            </w:pPr>
            <w:r w:rsidRPr="00BB5DE9">
              <w:rPr>
                <w:lang w:val="it-IT"/>
              </w:rPr>
              <w:t>Verts/ALE</w:t>
            </w:r>
          </w:p>
        </w:tc>
        <w:tc>
          <w:tcPr>
            <w:tcW w:w="7371" w:type="dxa"/>
            <w:shd w:val="clear" w:color="auto" w:fill="FFFFFF"/>
          </w:tcPr>
          <w:p w:rsidR="00AE735B" w:rsidRPr="00BB5DE9" w:rsidP="002A49BB" w14:paraId="4C253DD7" w14:textId="77777777">
            <w:pPr>
              <w:pStyle w:val="RollCallTable"/>
              <w:rPr>
                <w:lang w:val="it-IT"/>
              </w:rPr>
            </w:pPr>
            <w:r w:rsidRPr="00BB5DE9">
              <w:rPr>
                <w:lang w:val="it-IT"/>
              </w:rPr>
              <w:t>Rasmus Andresen, Damian Boeselager, Kira Marie Peter-Hansen, Marie Toussaint</w:t>
            </w:r>
          </w:p>
        </w:tc>
      </w:tr>
    </w:tbl>
    <w:p w:rsidR="00AE735B" w:rsidRPr="00BB5DE9" w:rsidP="00147FBF" w14:paraId="75C962AB" w14:textId="77777777">
      <w:pPr>
        <w:pStyle w:val="Normal12a"/>
        <w:rPr>
          <w:lang w:val="it-IT"/>
        </w:rPr>
      </w:pPr>
    </w:p>
    <w:p w:rsidR="00AE735B" w:rsidRPr="00BB5DE9" w:rsidP="00B735E3" w14:paraId="49DB36BA" w14:textId="77777777">
      <w:r w:rsidRPr="00BB5DE9">
        <w:t>Significato dei simboli utilizzati:</w:t>
      </w:r>
    </w:p>
    <w:p w:rsidR="00AE735B" w:rsidRPr="00BB5DE9" w:rsidP="003858C5" w14:paraId="79CF5A1B" w14:textId="77777777">
      <w:pPr>
        <w:pStyle w:val="RollCallTabs"/>
        <w:rPr>
          <w:lang w:val="it-IT"/>
        </w:rPr>
      </w:pPr>
      <w:r w:rsidRPr="00BB5DE9">
        <w:rPr>
          <w:lang w:val="it-IT"/>
        </w:rPr>
        <w:t>+</w:t>
      </w:r>
      <w:r w:rsidRPr="00BB5DE9">
        <w:rPr>
          <w:lang w:val="it-IT"/>
        </w:rPr>
        <w:tab/>
        <w:t>:</w:t>
      </w:r>
      <w:r w:rsidRPr="00BB5DE9">
        <w:rPr>
          <w:lang w:val="it-IT"/>
        </w:rPr>
        <w:tab/>
        <w:t>favorevoli</w:t>
      </w:r>
    </w:p>
    <w:p w:rsidR="00AE735B" w:rsidRPr="00BB5DE9" w:rsidP="003858C5" w14:paraId="22C0A42A" w14:textId="77777777">
      <w:pPr>
        <w:pStyle w:val="RollCallTabs"/>
        <w:rPr>
          <w:lang w:val="it-IT"/>
        </w:rPr>
      </w:pPr>
      <w:r w:rsidRPr="00BB5DE9">
        <w:rPr>
          <w:lang w:val="it-IT"/>
        </w:rPr>
        <w:t>-</w:t>
      </w:r>
      <w:r w:rsidRPr="00BB5DE9">
        <w:rPr>
          <w:lang w:val="it-IT"/>
        </w:rPr>
        <w:tab/>
        <w:t>:</w:t>
      </w:r>
      <w:r w:rsidRPr="00BB5DE9">
        <w:rPr>
          <w:lang w:val="it-IT"/>
        </w:rPr>
        <w:tab/>
        <w:t>contrari</w:t>
      </w:r>
    </w:p>
    <w:p w:rsidR="00AE735B" w:rsidRPr="00BB5DE9" w:rsidP="003858C5" w14:paraId="53669787" w14:textId="77777777">
      <w:pPr>
        <w:pStyle w:val="RollCallTabs"/>
        <w:rPr>
          <w:lang w:val="it-IT"/>
        </w:rPr>
      </w:pPr>
      <w:r w:rsidRPr="00BB5DE9">
        <w:rPr>
          <w:lang w:val="it-IT"/>
        </w:rPr>
        <w:t>0</w:t>
      </w:r>
      <w:r w:rsidRPr="00BB5DE9">
        <w:rPr>
          <w:lang w:val="it-IT"/>
        </w:rPr>
        <w:tab/>
        <w:t>:</w:t>
      </w:r>
      <w:r w:rsidRPr="00BB5DE9">
        <w:rPr>
          <w:lang w:val="it-IT"/>
        </w:rPr>
        <w:tab/>
        <w:t>astenuti</w:t>
      </w:r>
    </w:p>
    <w:p w:rsidR="00AE735B" w:rsidRPr="00BB5DE9" w:rsidP="00207509" w14:paraId="21CFFFB2" w14:textId="77777777"/>
    <w:p w:rsidR="00AE735B" w:rsidRPr="00BB5DE9" w:rsidP="00C83AFD" w14:paraId="4391077C" w14:textId="77777777"/>
    <w:p w:rsidR="00AE735B" w:rsidRPr="00BB5DE9" w:rsidP="00AE735B" w14:paraId="3121CE32" w14:textId="77777777">
      <w:pPr>
        <w:rPr>
          <w:snapToGrid/>
          <w:lang w:eastAsia="en-GB"/>
        </w:rPr>
        <w:sectPr w:rsidSect="00AE735B">
          <w:footnotePr>
            <w:numRestart w:val="eachSect"/>
          </w:footnotePr>
          <w:endnotePr>
            <w:numFmt w:val="decimal"/>
          </w:endnotePr>
          <w:pgSz w:w="11906" w:h="16838" w:code="9"/>
          <w:pgMar w:top="1134" w:right="1418" w:bottom="1134" w:left="1418" w:header="1134" w:footer="567" w:gutter="0"/>
          <w:cols w:space="720"/>
          <w:noEndnote/>
          <w:docGrid w:linePitch="326"/>
        </w:sectPr>
      </w:pPr>
    </w:p>
    <w:p w:rsidR="00AE735B" w:rsidRPr="00BB5DE9" w:rsidP="00AE735B" w14:paraId="46F5B10B" w14:textId="77777777">
      <w:pPr>
        <w:pStyle w:val="Normal24a"/>
        <w:rPr>
          <w:lang w:val="it-IT"/>
        </w:rPr>
      </w:pPr>
      <w:r w:rsidRPr="00BB5DE9">
        <w:rPr>
          <w:rStyle w:val="HideTWBExt"/>
          <w:lang w:val="it-IT"/>
        </w:rPr>
        <w:t>&lt;Date&gt;</w:t>
      </w:r>
      <w:r w:rsidRPr="00BB5DE9">
        <w:rPr>
          <w:rStyle w:val="HideTWBInt"/>
          <w:lang w:val="it-IT"/>
        </w:rPr>
        <w:t>{03/09/2026}</w:t>
      </w:r>
      <w:r w:rsidRPr="00BB5DE9">
        <w:rPr>
          <w:lang w:val="it-IT"/>
        </w:rPr>
        <w:t>3.9.2026</w:t>
      </w:r>
      <w:r w:rsidRPr="00BB5DE9">
        <w:rPr>
          <w:rStyle w:val="HideTWBExt"/>
          <w:lang w:val="it-IT"/>
        </w:rPr>
        <w:t>&lt;/Date&gt;</w:t>
      </w:r>
    </w:p>
    <w:p w:rsidR="00AE735B" w:rsidRPr="00BB5DE9" w:rsidP="00AE735B" w14:paraId="3E563122" w14:textId="6CD4338A">
      <w:pPr>
        <w:pStyle w:val="PageHeading"/>
      </w:pPr>
      <w:r w:rsidRPr="00BB5DE9">
        <w:rPr>
          <w:rStyle w:val="HideTWBExt"/>
          <w:b w:val="0"/>
        </w:rPr>
        <w:t>&lt;CommissionResp&gt;</w:t>
      </w:r>
      <w:bookmarkStart w:id="15" w:name="OpinionToc_4"/>
      <w:bookmarkStart w:id="16" w:name="_Toc243036421"/>
      <w:r w:rsidRPr="00BB5DE9">
        <w:t>PARERE DELLA COMMISSIONE PER L'OCCUPAZIONE E GLI AFFARI SOCIALI</w:t>
      </w:r>
      <w:bookmarkEnd w:id="15"/>
      <w:bookmarkEnd w:id="16"/>
      <w:r w:rsidRPr="00BB5DE9">
        <w:rPr>
          <w:rStyle w:val="HideTWBExt"/>
          <w:b w:val="0"/>
        </w:rPr>
        <w:t>&lt;/CommissionResp&gt;</w:t>
      </w:r>
    </w:p>
    <w:p w:rsidR="00AE735B" w:rsidRPr="00BB5DE9" w:rsidP="00AE735B" w14:paraId="0BA7B3E1" w14:textId="77777777">
      <w:pPr>
        <w:pStyle w:val="Normal12a"/>
        <w:rPr>
          <w:lang w:val="it-IT"/>
        </w:rPr>
      </w:pPr>
      <w:r w:rsidRPr="00BB5DE9">
        <w:rPr>
          <w:rStyle w:val="HideTWBExt"/>
          <w:lang w:val="it-IT"/>
        </w:rPr>
        <w:t>&lt;CommissionInt&gt;</w:t>
      </w:r>
      <w:r w:rsidRPr="00BB5DE9">
        <w:rPr>
          <w:lang w:val="it-IT"/>
        </w:rPr>
        <w:t>destinato alla commissione per i bilanci</w:t>
      </w:r>
      <w:r w:rsidRPr="00BB5DE9">
        <w:rPr>
          <w:rStyle w:val="HideTWBExt"/>
          <w:lang w:val="it-IT"/>
        </w:rPr>
        <w:t>&lt;/CommissionInt&gt;</w:t>
      </w:r>
    </w:p>
    <w:p w:rsidR="00AE735B" w:rsidRPr="00BB5DE9" w:rsidP="00AE735B" w14:paraId="3BAC8000" w14:textId="77777777">
      <w:r w:rsidRPr="00BB5DE9">
        <w:rPr>
          <w:rStyle w:val="HideTWBExt"/>
        </w:rPr>
        <w:t>&lt;Titre&gt;</w:t>
      </w:r>
      <w:r w:rsidRPr="00BB5DE9">
        <w:t>sul bilancio generale dell'Unione europea per l'esercizio 2027 – tutte le sezioni</w:t>
      </w:r>
      <w:r w:rsidRPr="00BB5DE9">
        <w:rPr>
          <w:rStyle w:val="HideTWBExt"/>
        </w:rPr>
        <w:t>&lt;/Titre&gt;</w:t>
      </w:r>
    </w:p>
    <w:p w:rsidR="00AE735B" w:rsidRPr="00BB5DE9" w:rsidP="00AE735B" w14:paraId="63B761DB" w14:textId="77777777">
      <w:pPr>
        <w:pStyle w:val="Normal12a"/>
        <w:rPr>
          <w:lang w:val="it-IT"/>
        </w:rPr>
      </w:pPr>
      <w:r w:rsidRPr="00BB5DE9">
        <w:rPr>
          <w:rStyle w:val="HideTWBExt"/>
          <w:lang w:val="it-IT"/>
        </w:rPr>
        <w:t>&lt;DocRef&gt;</w:t>
      </w:r>
      <w:r w:rsidRPr="00BB5DE9">
        <w:rPr>
          <w:lang w:val="it-IT"/>
        </w:rPr>
        <w:t>(2026/0196(BUD))</w:t>
      </w:r>
      <w:r w:rsidRPr="00BB5DE9">
        <w:rPr>
          <w:rStyle w:val="HideTWBExt"/>
          <w:lang w:val="it-IT"/>
        </w:rPr>
        <w:t>&lt;/DocRef&gt;</w:t>
      </w:r>
    </w:p>
    <w:p w:rsidR="00AE735B" w:rsidRPr="00BB5DE9" w:rsidP="00AE735B" w14:paraId="0D31F0F1" w14:textId="77777777">
      <w:pPr>
        <w:pStyle w:val="Normal24a"/>
        <w:rPr>
          <w:lang w:val="it-IT"/>
        </w:rPr>
      </w:pPr>
      <w:r w:rsidRPr="00BB5DE9">
        <w:rPr>
          <w:lang w:val="it-IT"/>
        </w:rPr>
        <w:t xml:space="preserve">Relatrice per parere: </w:t>
      </w:r>
      <w:r w:rsidRPr="00BB5DE9">
        <w:rPr>
          <w:rStyle w:val="HideTWBExt"/>
          <w:lang w:val="it-IT"/>
        </w:rPr>
        <w:t>&lt;Depute&gt;</w:t>
      </w:r>
      <w:r w:rsidRPr="00BB5DE9">
        <w:rPr>
          <w:lang w:val="it-IT"/>
        </w:rPr>
        <w:t>Romana Tomc</w:t>
      </w:r>
      <w:r w:rsidRPr="00BB5DE9">
        <w:rPr>
          <w:rStyle w:val="HideTWBExt"/>
          <w:lang w:val="it-IT"/>
        </w:rPr>
        <w:t>&lt;/Depute&gt;</w:t>
      </w:r>
    </w:p>
    <w:p w:rsidR="00AE735B" w:rsidRPr="00BB5DE9" w:rsidP="00BB2AC1" w14:paraId="4FF513FC" w14:textId="3CC2A1A0">
      <w:pPr>
        <w:widowControl/>
        <w:tabs>
          <w:tab w:val="center" w:pos="4677"/>
        </w:tabs>
      </w:pPr>
    </w:p>
    <w:p w:rsidR="00AE735B" w:rsidRPr="00BB5DE9" w:rsidP="003E06CF" w14:paraId="080C7A80" w14:textId="506C0116">
      <w:pPr>
        <w:pStyle w:val="PageHeadingNotTOC"/>
      </w:pPr>
      <w:r w:rsidRPr="00BB5DE9">
        <w:t>PARERE</w:t>
      </w:r>
    </w:p>
    <w:p w:rsidR="00AE735B" w:rsidRPr="00BB5DE9" w:rsidP="003E06CF" w14:paraId="61C42CB5" w14:textId="77777777">
      <w:pPr>
        <w:pStyle w:val="Normal12a"/>
        <w:rPr>
          <w:lang w:val="it-IT"/>
        </w:rPr>
      </w:pPr>
      <w:r w:rsidRPr="00BB5DE9">
        <w:rPr>
          <w:lang w:val="it-IT"/>
        </w:rPr>
        <w:t>La commissione per l'occupazione e gli affari sociali invita la commissione per i bilanci, competente per il merito, a includere nella proposta di risoluzione che approverà quanto segue:</w:t>
      </w:r>
    </w:p>
    <w:p w:rsidR="00AE735B" w:rsidRPr="00BB5DE9" w:rsidP="00A720C8" w14:paraId="3DF3FC0A" w14:textId="77777777">
      <w:pPr>
        <w:pStyle w:val="NormalHanging12a"/>
      </w:pPr>
      <w:r w:rsidRPr="00BB5DE9">
        <w:t>1.</w:t>
      </w:r>
      <w:r w:rsidRPr="00BB5DE9">
        <w:tab/>
        <w:t>sottolinea le persistenti sfide socioeconomiche che l'UE si trova ad affrontare, tra cui gli ostacoli alla crescita e alla competitività, i cambiamenti demografici, la povertà, in particolare la povertà infantile e lavorativa, l'esclusione sociale e l'aumento del costo della vita, la mancanza di accessibilità, anche economica, degli alloggi, la disparità di accesso ai servizi pubblici, l'adeguatezza e la sostenibilità delle pensioni, la disoccupazione, particolarmente elevata tra i giovani, e i posti di lavoro precari, che richiedono un sostegno di bilancio; sottolinea la necessità di assicurare risorse adeguate per le politiche occupazionali e sociali dell'UE e di adeguare le competenze, la formazione e le politiche industriali per garantire una duplice transizione giusta;</w:t>
      </w:r>
    </w:p>
    <w:p w:rsidR="00AE735B" w:rsidRPr="00BB5DE9" w:rsidP="00A720C8" w14:paraId="5418CEC5" w14:textId="77777777">
      <w:pPr>
        <w:pStyle w:val="NormalHanging12a"/>
      </w:pPr>
      <w:r w:rsidRPr="00BB5DE9">
        <w:t>2.</w:t>
      </w:r>
      <w:r w:rsidRPr="00BB5DE9">
        <w:tab/>
        <w:t>sottolinea il ruolo essenziale svolto dai programmi dell'UE nel settore sociale e dell'occupazione, in particolare quelli legati al Fondo sociale europeo Plus (FSE+), al Fondo europeo di adeguamento alla globalizzazione, al Fondo per una transizione giusta e al Fondo sociale per il clima, al fine di sostenere la coesione economica, sociale e territoriale dell'Unione e promuovere la resilienza economica; sottolinea che il FSE+ è il principale strumento dell'UE per investire nelle persone, promuovere elevati livelli di occupazione e una protezione sociale equa nonché sviluppare una forza lavoro qualificata e resiliente, pronta per la transizione verso un'economia verde e digitale, nonché società inclusive e coese al fine di eliminare la povertà e realizzare i principi del pilastro europeo dei diritti sociali; sottolinea in tal senso l'importanza di aumentare gli investimenti pubblici e sociali; chiede che nel prossimo quadro finanziario pluriennale (QFP) il Fondo sociale europeo autonomo e separato disponga di una dotazione finanziaria forte e specifica e di concentrazioni tematiche al fine di promuovere la convergenza sociale verso l'alto e un'occupazione di qualità; ricorda che un'Unione sociale forte è fondamentale per la competitività dell'Europa;</w:t>
      </w:r>
    </w:p>
    <w:p w:rsidR="00AE735B" w:rsidRPr="00BB5DE9" w:rsidP="00A720C8" w14:paraId="56C12BD0" w14:textId="77777777">
      <w:pPr>
        <w:pStyle w:val="NormalHanging12a"/>
      </w:pPr>
      <w:r w:rsidRPr="00BB5DE9">
        <w:t>3.</w:t>
      </w:r>
      <w:r w:rsidRPr="00BB5DE9">
        <w:tab/>
        <w:t>deplora che nell'UE il rischio di povertà o di esclusione sociale riguardi una persona su cinque, compresi 19,5 milioni di minori nel 2024; accoglie con favore la pubblicazione della strategia dell'UE contro la povertà e le iniziative correlate riguardanti il rafforzamento della garanzia europea per l'infanzia, il sostegno all'attivazione delle persone escluse dal mercato del lavoro e la lotta all'esclusione abitativa; sottolinea tuttavia che per realizzare tali impegni politici occorre garantire l'assegnazione di risorse di bilancio commisurate ed esorta la Commissione a impegnare risorse sufficienti per le azioni volte a combattere la povertà nel bilancio 2027 come pure nel prossimo QFP; rinnova il ripetuto invito del Parlamento a incrementare in modo significativo i finanziamenti della garanzia europea per l'infanzia con un'apposita dotazione di almeno 20 miliardi di EUR e invita tutti gli Stati membri – e non solo quelli maggiormente colpiti dalla povertà infantile – ad assegnare almeno il 5 % delle risorse del FSE+ in regime di gestione concorrente al sostegno di attività nell'ambito della garanzia europea per l'infanzia; insiste sulla necessità di una maggiore ambizione per eliminare e prevenire la deprivazione abitativa in tutta Europa attraverso l'attuazione del principio "prima la casa";</w:t>
      </w:r>
    </w:p>
    <w:p w:rsidR="00AE735B" w:rsidRPr="00BB5DE9" w:rsidP="00A720C8" w14:paraId="4BBAB902" w14:textId="77777777">
      <w:pPr>
        <w:pStyle w:val="NormalHanging12a"/>
      </w:pPr>
      <w:r w:rsidRPr="00BB5DE9">
        <w:t>4.</w:t>
      </w:r>
      <w:r w:rsidRPr="00BB5DE9">
        <w:tab/>
        <w:t>sottolinea la notevole diversità geografica dei problemi sociali e il ruolo chiave svolto dalle regioni nell'affrontarli; evidenzia in tale contesto lo stretto legame tra l'efficacia della politica sociale e l'adeguato finanziamento della politica di coesione;</w:t>
      </w:r>
    </w:p>
    <w:p w:rsidR="00AE735B" w:rsidRPr="00BB5DE9" w:rsidP="00316979" w14:paraId="55585186" w14:textId="77777777">
      <w:pPr>
        <w:pStyle w:val="NormalHanging12a"/>
      </w:pPr>
      <w:r w:rsidRPr="00BB5DE9">
        <w:t>5.</w:t>
      </w:r>
      <w:r w:rsidRPr="00BB5DE9">
        <w:tab/>
        <w:t>sottolinea l'importanza di un sostegno di bilancio pluriennale sufficiente e costante per realizzare le priorità di politica sociale dell'Unione, quali posti di lavoro di qualità e mobilità dei lavoratori equa;</w:t>
      </w:r>
    </w:p>
    <w:p w:rsidR="00AE735B" w:rsidRPr="00BB5DE9" w:rsidP="00D157E4" w14:paraId="383C6CAE" w14:textId="77777777">
      <w:pPr>
        <w:pStyle w:val="NormalHanging12a"/>
      </w:pPr>
      <w:r w:rsidRPr="00BB5DE9">
        <w:t>6.</w:t>
      </w:r>
      <w:r w:rsidRPr="00BB5DE9">
        <w:tab/>
        <w:t>chiede l'integrazione della dimensione di genere in tutte le politiche, i programmi e le azioni dell'UE; chiede l'integrazione di una prospettiva di genere nel processo di elaborazione del bilancio e un bilancio dotato dei mezzi adeguati per promuovere la partecipazione e il trattamento paritari delle donne nel mercato del lavoro, nonché l'introduzione di sistemi completi per monitorare e misurare le dotazioni di bilancio volte a promuovere la parità di genere, la partecipazione delle donne al mercato del lavoro, l'accesso all'occupazione e i divari retributivi e pensionistici;</w:t>
      </w:r>
    </w:p>
    <w:p w:rsidR="00AE735B" w:rsidRPr="00BB5DE9" w:rsidP="009F0754" w14:paraId="01221160" w14:textId="77777777">
      <w:pPr>
        <w:pStyle w:val="NormalHanging12a"/>
      </w:pPr>
      <w:r w:rsidRPr="00BB5DE9">
        <w:t>7.</w:t>
      </w:r>
      <w:r w:rsidRPr="00BB5DE9">
        <w:tab/>
        <w:t>insiste sulla necessità che le norme che disciplinano l'utilizzo dei fondi dell'UE includano condizionalità sociali per garantire posti di lavoro di qualità e migliorare il rispetto dei diritti sociali e dei principi democratici, dei diritti fondamentali dei lavoratori e delle condizioni di lavoro applicabili; chiede inoltre condizionalità sociali più efficaci nelle norme in materia di appalti pubblici e concessioni, al fine di promuovere la contrattazione collettiva;</w:t>
      </w:r>
    </w:p>
    <w:p w:rsidR="00AE735B" w:rsidRPr="00BB5DE9" w:rsidP="00316979" w14:paraId="13015244" w14:textId="77777777">
      <w:pPr>
        <w:pStyle w:val="NormalHanging12a"/>
      </w:pPr>
      <w:r w:rsidRPr="00BB5DE9">
        <w:t>8.</w:t>
      </w:r>
      <w:r w:rsidRPr="00BB5DE9">
        <w:tab/>
        <w:t xml:space="preserve">evidenzia l'importanza del ruolo del bilancio dell'UE nell'attuare il piano d'azione sul pilastro europeo dei diritti sociali e conseguire i suoi obiettivi per il 2030 attraverso maggiori investimenti mirati a livello dell'UE e nazionale; ricorda il pilastro europeo dei diritti sociali e il piano d'azione del 4 marzo 2021, compresi gli obiettivi principali dell'UE per il 2030 in materia di occupazione, competenze e riduzione della povertà, la dichiarazione di Porto dell'8 maggio 2021 sugli affari sociali adottata dai membri del Consiglio europeo, la dichiarazione tripartita a favore di un prospero dialogo sociale europeo e la dichiarazione di La Hulpe sul futuro del pilastro europeo dei diritti sociali; </w:t>
      </w:r>
      <w:r w:rsidRPr="00BB5DE9">
        <w:t>si attende che il prossimo aggiornamento del piano d'azione contenga proposte concrete per attuare le priorità esistenti e affrontare nuove sfide, e che tali proposte siano accompagnate da un sostegno adeguato nel bilancio dell'UE per il 2027 come pure nel prossimo QFP; sottolinea l'importante ruolo del FSE+ e del suo uso efficace, unitamente ai fondi di coesione, per l'attuazione del piano d'azione a tale riguardo;</w:t>
      </w:r>
    </w:p>
    <w:p w:rsidR="00AE735B" w:rsidRPr="00BB5DE9" w:rsidP="00316979" w14:paraId="34BDABA2" w14:textId="77777777">
      <w:pPr>
        <w:pStyle w:val="NormalHanging12a"/>
      </w:pPr>
      <w:r w:rsidRPr="00BB5DE9">
        <w:t>9.</w:t>
      </w:r>
      <w:r w:rsidRPr="00BB5DE9">
        <w:tab/>
        <w:t>invita gli Stati membri ad accelerare l'utilizzo dei fondi dell'UE e a usare appieno le risorse disponibili nell'ambito dell'attuale QFP; sottolinea che gli sforzi volti a rafforzare la competitività dovrebbero andare di pari passo con un sostegno costante alle priorità e alle politiche sociali, garantendo che i valori sociali dell'Unione e le esigenze dei cittadini rimangano al centro del progetto europeo; sottolinea che le norme relative all'utilizzo dei fondi dell'UE sono ampie e complesse e invita la Commissione a semplificarle nel prossimo QFP al fine di razionalizzare l'intero processo; esorta la Commissione ad aumentare l'assistenza tecnica e le altre forme di sostegno a disposizione degli Stati membri al fine di favorire un maggiore assorbimento dei fondi;</w:t>
      </w:r>
    </w:p>
    <w:p w:rsidR="00AE735B" w:rsidRPr="00BB5DE9" w:rsidP="00316979" w14:paraId="6B6E3C47" w14:textId="77777777">
      <w:pPr>
        <w:pStyle w:val="NormalHanging12a"/>
      </w:pPr>
      <w:r w:rsidRPr="00BB5DE9">
        <w:t>10.</w:t>
      </w:r>
      <w:r w:rsidRPr="00BB5DE9">
        <w:tab/>
        <w:t>sottolinea la necessità di sostenere le donne, i minori, i giovani, le famiglie e i gruppi in situazioni di vulnerabilità, tra cui le persone con disabilità e i rom, attraverso programmi e finanziamenti specifici; chiede misure mirate per combattere la disoccupazione giovanile, la povertà infantile e l'esclusione sociale; pone l'accento sulla necessità di prestare particolare attenzione alle famiglie monoparentali e alle famiglie numerose;</w:t>
      </w:r>
    </w:p>
    <w:p w:rsidR="00AE735B" w:rsidRPr="00BB5DE9" w:rsidP="00316979" w14:paraId="7F0B70DA" w14:textId="77777777">
      <w:pPr>
        <w:pStyle w:val="NormalHanging12a"/>
      </w:pPr>
      <w:r w:rsidRPr="00BB5DE9">
        <w:t>11.</w:t>
      </w:r>
      <w:r w:rsidRPr="00BB5DE9">
        <w:tab/>
        <w:t>sottolinea che manca una risposta strategica atta a mitigare l'impatto delle sfide demografiche connesse all'invecchiamento della popolazione dovuto alla diminuzione dei tassi di natalità e all'aumento dell'aspettativa di vita; sottolinea che i cambiamenti demografici rappresentano una sfida importante per la competitività dell'Unione e la sostenibilità dei suoi mercati del lavoro e dei suoi sistemi sociali nonché un grave problema orizzontale in tutta l'UE, che richiede un approccio strategico e soluzioni a lungo termine; pone l'accento sull'importanza di finanziamenti adeguati sia per l'educazione della prima infanzia e a lungo termine sia per i servizi di assistenza e sostegno, comprese le reti pubbliche di asili nido e residenze sanitarie assistenziali, oltre che per il miglioramento delle competenze e delle condizioni di lavoro nel settore; sottolinea altresì l'importanza di disposizioni adeguate e sostenibili in materia di pensioni, in particolare per le donne; sottolinea la necessità di definire politiche mirate che affrontino le esigenze specifiche dei lavoratori di tutte le età, nonché le esigenze specifiche dei lavoratori con disabilità e affetti da malattie croniche, come i disturbi muscolo-scheletrici, o dei lavoratori che ritornano al lavoro dopo periodi di assenza più lunghi;</w:t>
      </w:r>
    </w:p>
    <w:p w:rsidR="00AE735B" w:rsidRPr="00BB5DE9" w:rsidP="003D0BA8" w14:paraId="74F569EE" w14:textId="77777777">
      <w:pPr>
        <w:pStyle w:val="NormalHanging12a"/>
        <w:rPr>
          <w:bCs/>
          <w:iCs/>
        </w:rPr>
      </w:pPr>
      <w:r w:rsidRPr="00BB5DE9">
        <w:t>12.</w:t>
      </w:r>
      <w:r w:rsidRPr="00BB5DE9">
        <w:tab/>
        <w:t>invita a sostenere maggiormente le politiche favorevoli alle famiglie, in particolare attraverso l'accesso a servizi di assistenza all'infanzia e di assistenza a lungo termine a prezzi accessibili e ad alloggi sostenibili e a prezzi accessibili, inclusi gli alloggi sociali;</w:t>
      </w:r>
    </w:p>
    <w:p w:rsidR="00AE735B" w:rsidRPr="00BB5DE9" w:rsidP="003D0BA8" w14:paraId="05EDD0B7" w14:textId="77777777">
      <w:pPr>
        <w:pStyle w:val="NormalHanging12a"/>
      </w:pPr>
      <w:r w:rsidRPr="00BB5DE9">
        <w:t>13.</w:t>
      </w:r>
      <w:r w:rsidRPr="00BB5DE9">
        <w:tab/>
        <w:t xml:space="preserve">ritiene che una forza lavoro qualificata sia essenziale per rafforzare la competitività e la resilienza dell'Unione agli shock esterni, affrontare con successo la duplice transizione e prepararsi alla rapida evoluzione delle tecnologie, tra cui l'IA; riconosce a tale riguardo il ruolo essenziale delle competenze, dell'istruzione e formazione professionale (IFP), di tirocini di qualità retribuiti, degli apprendistati e dell'apprendimento permanente; </w:t>
      </w:r>
      <w:r w:rsidRPr="00BB5DE9">
        <w:t>sottolinea la necessità di garantire che il bilancio 2027 preveda finanziamenti adeguati a favore delle politiche in materia di competenze, in particolare delle iniziative nel quadro dell'Unione delle competenze e del FSE+ nonché del Fondo per una transizione giusta e delle accademie dell'industria a zero emissioni nette; sottolinea la necessità di adeguare la formazione, il miglioramento delle competenze, la riqualificazione e l'apprendimento permanente alle esigenze del mercato del lavoro; sottolinea che le politiche occupazionali e sociali devono rispondere alle esigenze sociali ed economiche dei lavoratori e mirare a garantire un'occupazione stabile e sicura, condizioni di lavoro dignitose, salari equi e una vita dignitosa; chiede pertanto finanziamenti adeguati per sostenere lo sviluppo delle competenze, in particolare nell'intelligenza artificiale e nei settori strategici e in transizione, al fine di rispondere al meglio alle esigenze della forza lavoro e delle imprese;</w:t>
      </w:r>
    </w:p>
    <w:p w:rsidR="00AE735B" w:rsidRPr="00BB5DE9" w:rsidP="003D0BA8" w14:paraId="0F6CBCB3" w14:textId="77777777">
      <w:pPr>
        <w:pStyle w:val="NormalHanging12a"/>
        <w:rPr>
          <w:bCs/>
          <w:iCs/>
        </w:rPr>
      </w:pPr>
      <w:r w:rsidRPr="00BB5DE9">
        <w:t>14.</w:t>
      </w:r>
      <w:r w:rsidRPr="00BB5DE9">
        <w:tab/>
        <w:t>sottolinea che la salute e la sicurezza sul lavoro rappresentano una priorità essenziale e che l'UE e gli Stati membri devono rafforzare le misure preventive e l'applicazione delle norme per proteggere i lavoratori dai rischi fisici e psicosociali, garantendo nel contempo un risarcimento, una riabilitazione e un reinserimento adeguati in caso di infortuni sul lavoro e malattie professionali; pone l'accento sull'importanza di affrontare i rischi psicosociali sul luogo di lavoro e di investire nelle autorità e negli ispettorati nazionali del lavoro;</w:t>
      </w:r>
    </w:p>
    <w:p w:rsidR="00AE735B" w:rsidRPr="00BB5DE9" w:rsidP="003D0BA8" w14:paraId="598FC5B0" w14:textId="77777777">
      <w:pPr>
        <w:pStyle w:val="NormalHanging12a"/>
      </w:pPr>
      <w:r w:rsidRPr="00BB5DE9">
        <w:t>15.</w:t>
      </w:r>
      <w:r w:rsidRPr="00BB5DE9">
        <w:tab/>
        <w:t>evidenzia il ruolo essenziale delle cinque agenzie dell'UE attive nel settore dell'occupazione e della politica sociale, vale a dire l'Autorità europea del lavoro, la Fondazione europea per il miglioramento delle condizioni di vita e di lavoro, l'Agenzia europea per la sicurezza e la salute sul lavoro, il Centro europeo per lo sviluppo della formazione professionale e la Fondazione europea per la formazione, e sottolinea che dovrebbero essere dotate di risorse finanziarie e umane commisurate per adempiere ai loro mandati e far fronte all'evoluzione dei loro compiti; sottolinea la necessità di garantire risorse sufficienti per l'ETF oltre il luglio 2027 al fine di garantire la continuità delle operazioni; ricorda che la Commissione presenterà una proposta volta a rafforzare l'Autorità europea del lavoro (ELA) e sottolinea che le modifiche al mandato e all'ambito di applicazione dell'ELA devono essere sostenute da un bilancio corrispondente e adeguato;</w:t>
      </w:r>
    </w:p>
    <w:p w:rsidR="00AE735B" w:rsidRPr="00BB5DE9" w:rsidP="003D0BA8" w14:paraId="7B9FE6A6" w14:textId="77777777">
      <w:pPr>
        <w:pStyle w:val="NormalHanging12a"/>
        <w:rPr>
          <w:bCs/>
          <w:iCs/>
        </w:rPr>
      </w:pPr>
      <w:r w:rsidRPr="00BB5DE9">
        <w:t>16.</w:t>
      </w:r>
      <w:r w:rsidRPr="00BB5DE9">
        <w:tab/>
        <w:t>rammenta che i progetti pilota e le azioni preparatorie sono essenziali per testare nuove iniziative strategiche nei settori dell'occupazione e dell'inclusione sociale, anche attraverso la raccolta di dati; ribadisce il suo invito alla Commissione a valutare in modo imparziale le proposte di progetti pilota e di azioni preparatorie sulla base di una valutazione giuridica e finanziaria che ne rispecchi il merito e ad attuare tali proposte nella forma in cui sono state adottate;</w:t>
      </w:r>
    </w:p>
    <w:p w:rsidR="00AE735B" w:rsidRPr="00BB5DE9" w:rsidP="00303BB3" w14:paraId="406055DB" w14:textId="77777777">
      <w:pPr>
        <w:pStyle w:val="NormalHanging12a"/>
      </w:pPr>
      <w:r w:rsidRPr="00BB5DE9">
        <w:t>17.</w:t>
      </w:r>
      <w:r w:rsidRPr="00BB5DE9">
        <w:tab/>
        <w:t>sottolinea la necessità di migliorare costantemente l'efficienza delle spese amministrative dell'Unione, in particolare attraverso un migliore coordinamento tra le agenzie dell'UE e l'eliminazione delle duplicazioni in linea con le priorità strategiche;</w:t>
      </w:r>
    </w:p>
    <w:p w:rsidR="00AE735B" w:rsidRPr="00BB5DE9" w:rsidP="00303BB3" w14:paraId="4ACA8D99" w14:textId="77777777">
      <w:pPr>
        <w:pStyle w:val="NormalHanging12a"/>
      </w:pPr>
      <w:r w:rsidRPr="00BB5DE9">
        <w:t>18.</w:t>
      </w:r>
      <w:r w:rsidRPr="00BB5DE9">
        <w:tab/>
        <w:t xml:space="preserve">ricorda che il multilinguismo è un principio fondamentale che migliora l'accessibilità e la trasparenza del contenuto delle discussioni che si svolgono in seno alle istituzioni dell'UE e costituisce una garanzia del loro funzionamento democratico; ritiene tuttavia </w:t>
      </w:r>
      <w:r w:rsidRPr="00BB5DE9">
        <w:t>che il multilinguismo sia minacciato dalla riduzione della quantità e della qualità dei servizi di traduzione e interpretazione dovuta ai vincoli di bilancio, dalla crescente esternalizzazione di tali servizi e dal deterioramento delle condizioni di lavoro di coloro che li forniscono; chiede pertanto maggiori finanziamenti per i servizi di traduzione e interpretazione delle istituzioni dell'UE, in particolare del Parlamento europeo, garantendo nel contempo l'internalizzazione dei lavoratori che forniscono tali servizi e la loro assunzione diretta e permanente da parte delle istituzioni dell'UE;</w:t>
      </w:r>
    </w:p>
    <w:p w:rsidR="00AE735B" w:rsidRPr="00BB5DE9" w:rsidP="00303BB3" w14:paraId="57A6F4A8" w14:textId="77777777">
      <w:pPr>
        <w:pStyle w:val="NormalHanging12a"/>
      </w:pPr>
      <w:r w:rsidRPr="00BB5DE9">
        <w:t>19.</w:t>
      </w:r>
      <w:r w:rsidRPr="00BB5DE9">
        <w:tab/>
        <w:t>si rammarica per la diminuzione della dotazione della linea di bilancio 07 20 04 09 (Misure di informazione e formazione per le organizzazioni dei lavoratori); ricorda che è fondamentale garantire finanziamenti adeguati per questa linea di bilancio e assicurare che il sostegno dell'UE alle misure di informazione e formazione per le organizzazioni dei lavoratori sia rafforzato, e non ridotto, per il 2027; sottolinea che un forte dialogo sociale è un elemento chiave del modello sociale europeo; ricorda l'impegno dell'Unione a promuovere il ruolo delle parti sociali e ad agevolare il dialogo sociale, in linea con l'articolo 152 del trattato sul funzionamento dell'Unione europea; sottolinea la necessità di garantire un adeguato sostegno per il dialogo sociale, di promuovere e migliorare le capacità delle parti sociali e di aumentare la dotazione di tale linea di bilancio.</w:t>
      </w:r>
    </w:p>
    <w:p w:rsidR="00AE735B" w:rsidRPr="00BB5DE9" w:rsidP="009824DF" w14:paraId="3B04B536" w14:textId="77777777">
      <w:pPr>
        <w:pStyle w:val="NormalHanging12a"/>
      </w:pPr>
    </w:p>
    <w:p w:rsidR="00AE735B" w:rsidRPr="00BB5DE9" w14:paraId="3EA8ACD6" w14:textId="77777777">
      <w:pPr>
        <w:widowControl/>
        <w:sectPr w:rsidSect="00AE735B">
          <w:headerReference w:type="even" r:id="rId25"/>
          <w:headerReference w:type="default" r:id="rId26"/>
          <w:headerReference w:type="first" r:id="rId27"/>
          <w:footerReference w:type="first" r:id="rId28"/>
          <w:footnotePr>
            <w:numRestart w:val="eachSect"/>
          </w:footnotePr>
          <w:endnotePr>
            <w:numFmt w:val="decimal"/>
          </w:endnotePr>
          <w:pgSz w:w="11906" w:h="16838" w:code="9"/>
          <w:pgMar w:top="1134" w:right="1418" w:bottom="1134" w:left="1418" w:header="1134" w:footer="567" w:gutter="0"/>
          <w:cols w:space="720"/>
          <w:noEndnote/>
          <w:docGrid w:linePitch="326"/>
        </w:sectPr>
      </w:pPr>
    </w:p>
    <w:p w:rsidR="00AE735B" w:rsidRPr="00BB5DE9" w:rsidP="00653A47" w14:paraId="67FB6DE0" w14:textId="77777777">
      <w:pPr>
        <w:pStyle w:val="PageHeadingNotTOC"/>
      </w:pPr>
      <w:r w:rsidRPr="00BB5DE9">
        <w:t>ALLEGATO: DICHIARAZIONE DEI CONTRIBUTI</w:t>
      </w:r>
    </w:p>
    <w:p w:rsidR="00AE735B" w:rsidRPr="00BB5DE9" w:rsidP="00653A47" w14:paraId="33B305F0" w14:textId="77777777">
      <w:pPr>
        <w:spacing w:after="480"/>
      </w:pPr>
      <w:r w:rsidRPr="00BB5DE9">
        <w:rPr>
          <w:rStyle w:val="HideTWBExt"/>
        </w:rPr>
        <w:t>&lt;FootprintIntro&gt;</w:t>
      </w:r>
      <w:r w:rsidRPr="00BB5DE9">
        <w:t>La relatrice per parere dichiara, sotto la sua esclusiva responsabilità, di non aver incluso nel suo parere alcun contributo di rappresentanti di interessi che rientrano nell'ambito di applicazione dell'accordo interistituzionale su un registro per la trasparenza obbligatorio</w:t>
      </w:r>
      <w:r>
        <w:rPr>
          <w:vertAlign w:val="superscript"/>
        </w:rPr>
        <w:footnoteReference w:id="22"/>
      </w:r>
      <w:r w:rsidRPr="00BB5DE9">
        <w:t>, o di rappresentanti delle pubbliche autorità di paesi terzi, incluse le loro missioni diplomatiche e ambasciate, da enumerare nel presente allegato in virtù dell'allegato I, articolo 8, del regolamento.</w:t>
      </w:r>
      <w:r w:rsidRPr="00BB5DE9">
        <w:rPr>
          <w:rStyle w:val="HideTWBExt"/>
        </w:rPr>
        <w:t>&lt;/FootprintIntro&gt;</w:t>
      </w:r>
    </w:p>
    <w:p w:rsidR="00AE735B" w:rsidRPr="00BB5DE9" w:rsidP="00653A47" w14:paraId="75F7A0AD" w14:textId="77777777"/>
    <w:p w:rsidR="00AE735B" w:rsidRPr="00BB5DE9" w:rsidP="002B35FB" w14:paraId="37DBFA8B" w14:textId="77777777">
      <w:pPr>
        <w:pStyle w:val="NormalHanging12a"/>
      </w:pPr>
    </w:p>
    <w:p w:rsidR="00AE735B" w:rsidRPr="00BB5DE9" w:rsidP="005E7EA4" w14:paraId="0D277D57" w14:textId="77777777"/>
    <w:p w:rsidR="00AE735B" w:rsidRPr="00BB5DE9" w:rsidP="005E7EA4" w14:paraId="3F003A16" w14:textId="77777777">
      <w:pPr>
        <w:sectPr w:rsidSect="00AE735B">
          <w:footnotePr>
            <w:numRestart w:val="eachSect"/>
          </w:footnotePr>
          <w:endnotePr>
            <w:numFmt w:val="decimal"/>
          </w:endnotePr>
          <w:pgSz w:w="11906" w:h="16838" w:code="9"/>
          <w:pgMar w:top="1134" w:right="1418" w:bottom="1418" w:left="1418" w:header="1134" w:footer="567" w:gutter="0"/>
          <w:cols w:space="720"/>
          <w:noEndnote/>
          <w:docGrid w:linePitch="326"/>
        </w:sectPr>
      </w:pPr>
    </w:p>
    <w:p w:rsidR="00AE735B" w:rsidRPr="00BB5DE9" w:rsidP="005E7EA4" w14:paraId="06C142C6" w14:textId="77777777">
      <w:pPr>
        <w:pStyle w:val="PageHeadingNotTOC"/>
      </w:pPr>
      <w:r w:rsidRPr="00BB5DE9">
        <w:t>INFORMAZIONI SULL'APPROVAZIONE DA PARTE DELLA COMMISSIONE COMPETENTE PER PARERE</w:t>
      </w:r>
    </w:p>
    <w:tbl>
      <w:tblPr>
        <w:tblW w:w="0" w:type="auto"/>
        <w:tblInd w:w="-10" w:type="dxa"/>
        <w:tblLayout w:type="fixed"/>
        <w:tblCellMar>
          <w:left w:w="0" w:type="dxa"/>
          <w:right w:w="0" w:type="dxa"/>
        </w:tblCellMar>
        <w:tblLook w:val="0000"/>
      </w:tblPr>
      <w:tblGrid>
        <w:gridCol w:w="3685"/>
        <w:gridCol w:w="1530"/>
        <w:gridCol w:w="1474"/>
        <w:gridCol w:w="1474"/>
        <w:gridCol w:w="1474"/>
      </w:tblGrid>
      <w:tr w14:paraId="1E19F661" w14:textId="77777777">
        <w:tblPrEx>
          <w:tblW w:w="0" w:type="auto"/>
          <w:tblInd w:w="-10" w:type="dxa"/>
          <w:tblLayout w:type="fixed"/>
          <w:tblCellMar>
            <w:left w:w="0" w:type="dxa"/>
            <w:right w:w="0" w:type="dxa"/>
          </w:tblCellMar>
          <w:tblLook w:val="0000"/>
        </w:tblPrEx>
        <w:tc>
          <w:tcPr>
            <w:tcW w:w="3685" w:type="dxa"/>
            <w:tcBorders>
              <w:top w:val="single" w:sz="8" w:space="0" w:color="000000"/>
              <w:left w:val="single" w:sz="8" w:space="0" w:color="000000"/>
              <w:bottom w:val="single" w:sz="8" w:space="0" w:color="000000"/>
              <w:right w:val="single" w:sz="8" w:space="0" w:color="000000"/>
            </w:tcBorders>
            <w:tcMar>
              <w:top w:w="79" w:type="dxa"/>
              <w:left w:w="79" w:type="dxa"/>
              <w:bottom w:w="79" w:type="dxa"/>
              <w:right w:w="79" w:type="dxa"/>
            </w:tcMar>
          </w:tcPr>
          <w:p w:rsidR="00AE735B" w:rsidRPr="00BB5DE9" w14:paraId="3F2B652B" w14:textId="77777777">
            <w:pPr>
              <w:autoSpaceDE w:val="0"/>
              <w:autoSpaceDN w:val="0"/>
              <w:adjustRightInd w:val="0"/>
              <w:rPr>
                <w:b/>
                <w:bCs/>
                <w:color w:val="000000"/>
                <w:sz w:val="20"/>
              </w:rPr>
            </w:pPr>
            <w:r w:rsidRPr="00BB5DE9">
              <w:rPr>
                <w:b/>
                <w:color w:val="000000"/>
                <w:sz w:val="20"/>
              </w:rPr>
              <w:t>Approvazione</w:t>
            </w:r>
          </w:p>
        </w:tc>
        <w:tc>
          <w:tcPr>
            <w:tcW w:w="1530" w:type="dxa"/>
            <w:tcBorders>
              <w:top w:val="single" w:sz="8" w:space="0" w:color="000000"/>
              <w:left w:val="nil"/>
              <w:bottom w:val="single" w:sz="8" w:space="0" w:color="000000"/>
              <w:right w:val="nil"/>
            </w:tcBorders>
            <w:tcMar>
              <w:top w:w="79" w:type="dxa"/>
              <w:left w:w="79" w:type="dxa"/>
              <w:bottom w:w="79" w:type="dxa"/>
              <w:right w:w="79" w:type="dxa"/>
            </w:tcMar>
          </w:tcPr>
          <w:p w:rsidR="00AE735B" w:rsidRPr="00BB5DE9" w14:paraId="7ED50825" w14:textId="77777777">
            <w:pPr>
              <w:autoSpaceDE w:val="0"/>
              <w:autoSpaceDN w:val="0"/>
              <w:adjustRightInd w:val="0"/>
              <w:rPr>
                <w:color w:val="000000"/>
                <w:sz w:val="20"/>
              </w:rPr>
            </w:pPr>
            <w:r w:rsidRPr="00BB5DE9">
              <w:rPr>
                <w:color w:val="000000"/>
                <w:sz w:val="20"/>
              </w:rPr>
              <w:t>2.9.2026</w:t>
            </w:r>
          </w:p>
        </w:tc>
        <w:tc>
          <w:tcPr>
            <w:tcW w:w="1474" w:type="dxa"/>
            <w:tcBorders>
              <w:top w:val="single" w:sz="8" w:space="0" w:color="000000"/>
              <w:left w:val="nil"/>
              <w:bottom w:val="single" w:sz="8" w:space="0" w:color="000000"/>
              <w:right w:val="nil"/>
            </w:tcBorders>
            <w:tcMar>
              <w:top w:w="79" w:type="dxa"/>
              <w:left w:w="79" w:type="dxa"/>
              <w:bottom w:w="79" w:type="dxa"/>
              <w:right w:w="79" w:type="dxa"/>
            </w:tcMar>
          </w:tcPr>
          <w:p w:rsidR="00AE735B" w:rsidRPr="00BB5DE9" w14:paraId="4DA6785D" w14:textId="77777777">
            <w:pPr>
              <w:autoSpaceDE w:val="0"/>
              <w:autoSpaceDN w:val="0"/>
              <w:adjustRightInd w:val="0"/>
              <w:rPr>
                <w:rFonts w:ascii="sans-serif" w:hAnsi="sans-serif" w:cs="sans-serif"/>
                <w:color w:val="000000"/>
              </w:rPr>
            </w:pPr>
          </w:p>
        </w:tc>
        <w:tc>
          <w:tcPr>
            <w:tcW w:w="1474" w:type="dxa"/>
            <w:tcBorders>
              <w:top w:val="single" w:sz="8" w:space="0" w:color="000000"/>
              <w:left w:val="nil"/>
              <w:bottom w:val="single" w:sz="8" w:space="0" w:color="000000"/>
              <w:right w:val="nil"/>
            </w:tcBorders>
            <w:tcMar>
              <w:top w:w="79" w:type="dxa"/>
              <w:left w:w="79" w:type="dxa"/>
              <w:bottom w:w="79" w:type="dxa"/>
              <w:right w:w="79" w:type="dxa"/>
            </w:tcMar>
          </w:tcPr>
          <w:p w:rsidR="00AE735B" w:rsidRPr="00BB5DE9" w14:paraId="06646A9F" w14:textId="77777777">
            <w:pPr>
              <w:autoSpaceDE w:val="0"/>
              <w:autoSpaceDN w:val="0"/>
              <w:adjustRightInd w:val="0"/>
              <w:rPr>
                <w:rFonts w:ascii="sans-serif" w:hAnsi="sans-serif" w:cs="sans-serif"/>
                <w:color w:val="000000"/>
              </w:rPr>
            </w:pPr>
          </w:p>
        </w:tc>
        <w:tc>
          <w:tcPr>
            <w:tcW w:w="1474" w:type="dxa"/>
            <w:tcBorders>
              <w:top w:val="single" w:sz="8" w:space="0" w:color="000000"/>
              <w:left w:val="nil"/>
              <w:bottom w:val="single" w:sz="8" w:space="0" w:color="000000"/>
              <w:right w:val="single" w:sz="8" w:space="0" w:color="000000"/>
            </w:tcBorders>
            <w:tcMar>
              <w:top w:w="79" w:type="dxa"/>
              <w:left w:w="79" w:type="dxa"/>
              <w:bottom w:w="79" w:type="dxa"/>
              <w:right w:w="79" w:type="dxa"/>
            </w:tcMar>
          </w:tcPr>
          <w:p w:rsidR="00AE735B" w:rsidRPr="00BB5DE9" w14:paraId="555AF947" w14:textId="77777777">
            <w:pPr>
              <w:autoSpaceDE w:val="0"/>
              <w:autoSpaceDN w:val="0"/>
              <w:adjustRightInd w:val="0"/>
              <w:rPr>
                <w:rFonts w:ascii="sans-serif" w:hAnsi="sans-serif" w:cs="sans-serif"/>
                <w:color w:val="000000"/>
              </w:rPr>
            </w:pPr>
          </w:p>
        </w:tc>
      </w:tr>
      <w:tr w14:paraId="7B8ECE11" w14:textId="77777777">
        <w:tblPrEx>
          <w:tblW w:w="0" w:type="auto"/>
          <w:tblInd w:w="-10" w:type="dxa"/>
          <w:tblLayout w:type="fixed"/>
          <w:tblCellMar>
            <w:left w:w="0" w:type="dxa"/>
            <w:right w:w="0" w:type="dxa"/>
          </w:tblCellMar>
          <w:tblLook w:val="0000"/>
        </w:tblPrEx>
        <w:tc>
          <w:tcPr>
            <w:tcW w:w="3685" w:type="dxa"/>
            <w:tcBorders>
              <w:top w:val="single" w:sz="8" w:space="0" w:color="000000"/>
              <w:left w:val="single" w:sz="8" w:space="0" w:color="000000"/>
              <w:bottom w:val="single" w:sz="8" w:space="0" w:color="000000"/>
              <w:right w:val="single" w:sz="8" w:space="0" w:color="000000"/>
            </w:tcBorders>
            <w:tcMar>
              <w:top w:w="79" w:type="dxa"/>
              <w:left w:w="79" w:type="dxa"/>
              <w:bottom w:w="79" w:type="dxa"/>
              <w:right w:w="79" w:type="dxa"/>
            </w:tcMar>
          </w:tcPr>
          <w:p w:rsidR="00AE735B" w:rsidRPr="00BB5DE9" w14:paraId="650DBC0E" w14:textId="77777777">
            <w:pPr>
              <w:autoSpaceDE w:val="0"/>
              <w:autoSpaceDN w:val="0"/>
              <w:adjustRightInd w:val="0"/>
              <w:rPr>
                <w:b/>
                <w:bCs/>
                <w:color w:val="000000"/>
                <w:sz w:val="20"/>
              </w:rPr>
            </w:pPr>
            <w:r w:rsidRPr="00BB5DE9">
              <w:rPr>
                <w:b/>
                <w:color w:val="000000"/>
                <w:sz w:val="20"/>
              </w:rPr>
              <w:t>Esito della votazione finale</w:t>
            </w:r>
          </w:p>
        </w:tc>
        <w:tc>
          <w:tcPr>
            <w:tcW w:w="1530" w:type="dxa"/>
            <w:tcBorders>
              <w:top w:val="single" w:sz="8" w:space="0" w:color="000000"/>
              <w:left w:val="nil"/>
              <w:bottom w:val="single" w:sz="8" w:space="0" w:color="000000"/>
              <w:right w:val="nil"/>
            </w:tcBorders>
            <w:tcMar>
              <w:top w:w="79" w:type="dxa"/>
              <w:left w:w="79" w:type="dxa"/>
              <w:bottom w:w="79" w:type="dxa"/>
              <w:right w:w="79" w:type="dxa"/>
            </w:tcMar>
          </w:tcPr>
          <w:p w:rsidR="00AE735B" w:rsidRPr="00BB5DE9" w14:paraId="5AF4569A" w14:textId="77777777">
            <w:pPr>
              <w:autoSpaceDE w:val="0"/>
              <w:autoSpaceDN w:val="0"/>
              <w:adjustRightInd w:val="0"/>
              <w:rPr>
                <w:color w:val="000000"/>
                <w:sz w:val="20"/>
              </w:rPr>
            </w:pPr>
            <w:r w:rsidRPr="00BB5DE9">
              <w:rPr>
                <w:color w:val="000000"/>
                <w:sz w:val="20"/>
              </w:rPr>
              <w:t>+:</w:t>
            </w:r>
          </w:p>
          <w:p w:rsidR="00AE735B" w:rsidRPr="00BB5DE9" w14:paraId="6AAB32E6" w14:textId="77777777">
            <w:pPr>
              <w:autoSpaceDE w:val="0"/>
              <w:autoSpaceDN w:val="0"/>
              <w:adjustRightInd w:val="0"/>
              <w:rPr>
                <w:color w:val="000000"/>
                <w:sz w:val="20"/>
              </w:rPr>
            </w:pPr>
            <w:r w:rsidRPr="00BB5DE9">
              <w:rPr>
                <w:color w:val="000000"/>
                <w:sz w:val="20"/>
              </w:rPr>
              <w:t>–:</w:t>
            </w:r>
          </w:p>
          <w:p w:rsidR="00AE735B" w:rsidRPr="00BB5DE9" w14:paraId="44CCA368" w14:textId="77777777">
            <w:pPr>
              <w:autoSpaceDE w:val="0"/>
              <w:autoSpaceDN w:val="0"/>
              <w:adjustRightInd w:val="0"/>
              <w:rPr>
                <w:color w:val="000000"/>
                <w:sz w:val="20"/>
              </w:rPr>
            </w:pPr>
            <w:r w:rsidRPr="00BB5DE9">
              <w:rPr>
                <w:color w:val="000000"/>
                <w:sz w:val="20"/>
              </w:rPr>
              <w:t>0:</w:t>
            </w:r>
          </w:p>
        </w:tc>
        <w:tc>
          <w:tcPr>
            <w:tcW w:w="4422" w:type="dxa"/>
            <w:gridSpan w:val="3"/>
            <w:tcBorders>
              <w:top w:val="single" w:sz="8" w:space="0" w:color="000000"/>
              <w:left w:val="nil"/>
              <w:bottom w:val="single" w:sz="8" w:space="0" w:color="000000"/>
              <w:right w:val="single" w:sz="8" w:space="0" w:color="000000"/>
            </w:tcBorders>
            <w:tcMar>
              <w:top w:w="79" w:type="dxa"/>
              <w:left w:w="79" w:type="dxa"/>
              <w:bottom w:w="79" w:type="dxa"/>
              <w:right w:w="79" w:type="dxa"/>
            </w:tcMar>
          </w:tcPr>
          <w:p w:rsidR="00AE735B" w:rsidRPr="00BB5DE9" w14:paraId="79A59E4D" w14:textId="77777777">
            <w:pPr>
              <w:autoSpaceDE w:val="0"/>
              <w:autoSpaceDN w:val="0"/>
              <w:adjustRightInd w:val="0"/>
              <w:rPr>
                <w:color w:val="000000"/>
                <w:sz w:val="20"/>
              </w:rPr>
            </w:pPr>
            <w:r w:rsidRPr="00BB5DE9">
              <w:rPr>
                <w:color w:val="000000"/>
                <w:sz w:val="20"/>
              </w:rPr>
              <w:t>42</w:t>
            </w:r>
          </w:p>
          <w:p w:rsidR="00AE735B" w:rsidRPr="00BB5DE9" w14:paraId="61B6E1C9" w14:textId="77777777">
            <w:pPr>
              <w:autoSpaceDE w:val="0"/>
              <w:autoSpaceDN w:val="0"/>
              <w:adjustRightInd w:val="0"/>
              <w:rPr>
                <w:color w:val="000000"/>
                <w:sz w:val="20"/>
              </w:rPr>
            </w:pPr>
            <w:r w:rsidRPr="00BB5DE9">
              <w:rPr>
                <w:color w:val="000000"/>
                <w:sz w:val="20"/>
              </w:rPr>
              <w:t>9</w:t>
            </w:r>
          </w:p>
          <w:p w:rsidR="00AE735B" w:rsidRPr="00BB5DE9" w14:paraId="4000D8ED" w14:textId="77777777">
            <w:pPr>
              <w:autoSpaceDE w:val="0"/>
              <w:autoSpaceDN w:val="0"/>
              <w:adjustRightInd w:val="0"/>
              <w:rPr>
                <w:color w:val="000000"/>
                <w:sz w:val="20"/>
              </w:rPr>
            </w:pPr>
            <w:r w:rsidRPr="00BB5DE9">
              <w:rPr>
                <w:color w:val="000000"/>
                <w:sz w:val="20"/>
              </w:rPr>
              <w:t>6</w:t>
            </w:r>
          </w:p>
        </w:tc>
      </w:tr>
    </w:tbl>
    <w:p w:rsidR="00AE735B" w:rsidRPr="00BB5DE9" w14:paraId="30845771" w14:textId="77777777"/>
    <w:p w:rsidR="00AE735B" w:rsidRPr="00BB5DE9" w:rsidP="005E7EA4" w14:paraId="601B47DD" w14:textId="77777777">
      <w:pPr>
        <w:sectPr w:rsidSect="00AE735B">
          <w:pgSz w:w="11894" w:h="15840"/>
          <w:pgMar w:top="1700" w:right="1417" w:bottom="1417" w:left="1417" w:header="720" w:footer="720" w:gutter="0"/>
          <w:cols w:space="720"/>
          <w:noEndnote/>
          <w:docGrid w:linePitch="326"/>
        </w:sectPr>
      </w:pPr>
    </w:p>
    <w:p w:rsidR="00AE735B" w:rsidRPr="00BB5DE9" w:rsidP="005E7EA4" w14:paraId="11A0E3DF" w14:textId="77777777"/>
    <w:p w:rsidR="00AE735B" w:rsidRPr="00BB5DE9" w:rsidP="00C36610" w14:paraId="64529BC8" w14:textId="77777777">
      <w:pPr>
        <w:pStyle w:val="PageHeadingNotTOC"/>
      </w:pPr>
      <w:r w:rsidRPr="00BB5DE9">
        <w:t>VOTAZIONE FINALE PER APPELLO NOMINALE DA PARTE DELLA COMMISSIONE COMPETENTE PER PARERE</w:t>
      </w:r>
    </w:p>
    <w:tbl>
      <w:tblPr>
        <w:tblW w:w="0" w:type="auto"/>
        <w:tblInd w:w="145" w:type="dxa"/>
        <w:tblBorders>
          <w:top w:val="double" w:sz="2" w:space="0" w:color="000000"/>
          <w:left w:val="double" w:sz="2" w:space="0" w:color="000000"/>
          <w:bottom w:val="double" w:sz="2" w:space="0" w:color="000000"/>
          <w:right w:val="double" w:sz="2" w:space="0" w:color="000000"/>
          <w:insideH w:val="single" w:sz="2" w:space="0" w:color="000000"/>
          <w:insideV w:val="single" w:sz="2" w:space="0" w:color="000000"/>
        </w:tblBorders>
        <w:tblLayout w:type="fixed"/>
        <w:tblCellMar>
          <w:left w:w="145" w:type="dxa"/>
          <w:right w:w="145" w:type="dxa"/>
        </w:tblCellMar>
        <w:tblLook w:val="0000"/>
      </w:tblPr>
      <w:tblGrid>
        <w:gridCol w:w="1701"/>
        <w:gridCol w:w="7371"/>
      </w:tblGrid>
      <w:tr w14:paraId="77A52012" w14:textId="77777777" w:rsidTr="008920AC">
        <w:tblPrEx>
          <w:tblW w:w="0" w:type="auto"/>
          <w:tblInd w:w="145" w:type="dxa"/>
          <w:tblBorders>
            <w:top w:val="double" w:sz="2" w:space="0" w:color="000000"/>
            <w:left w:val="double" w:sz="2" w:space="0" w:color="000000"/>
            <w:bottom w:val="double" w:sz="2" w:space="0" w:color="000000"/>
            <w:right w:val="double" w:sz="2" w:space="0" w:color="000000"/>
            <w:insideH w:val="single" w:sz="2" w:space="0" w:color="000000"/>
            <w:insideV w:val="single" w:sz="2" w:space="0" w:color="000000"/>
          </w:tblBorders>
          <w:tblLayout w:type="fixed"/>
          <w:tblCellMar>
            <w:left w:w="145" w:type="dxa"/>
            <w:right w:w="145" w:type="dxa"/>
          </w:tblCellMar>
          <w:tblLook w:val="0000"/>
        </w:tblPrEx>
        <w:trPr>
          <w:cantSplit/>
        </w:trPr>
        <w:tc>
          <w:tcPr>
            <w:tcW w:w="1701" w:type="dxa"/>
            <w:shd w:val="pct10" w:color="000000" w:fill="FFFFFF"/>
            <w:vAlign w:val="center"/>
          </w:tcPr>
          <w:p w:rsidR="00AE735B" w:rsidRPr="00BB5DE9" w:rsidP="003858C5" w14:paraId="502F2338" w14:textId="77777777">
            <w:pPr>
              <w:pStyle w:val="RollCallVotes"/>
              <w:rPr>
                <w:lang w:val="it-IT"/>
              </w:rPr>
            </w:pPr>
            <w:r w:rsidRPr="00BB5DE9">
              <w:rPr>
                <w:lang w:val="it-IT"/>
              </w:rPr>
              <w:t>42</w:t>
            </w:r>
          </w:p>
        </w:tc>
        <w:tc>
          <w:tcPr>
            <w:tcW w:w="7371" w:type="dxa"/>
            <w:shd w:val="pct10" w:color="000000" w:fill="FFFFFF"/>
          </w:tcPr>
          <w:p w:rsidR="00AE735B" w:rsidRPr="00BB5DE9" w:rsidP="003858C5" w14:paraId="3B66F3D6" w14:textId="77777777">
            <w:pPr>
              <w:pStyle w:val="RollCallSymbols14pt"/>
              <w:rPr>
                <w:lang w:val="it-IT"/>
              </w:rPr>
            </w:pPr>
            <w:r w:rsidRPr="00BB5DE9">
              <w:rPr>
                <w:lang w:val="it-IT"/>
              </w:rPr>
              <w:t>+</w:t>
            </w:r>
          </w:p>
        </w:tc>
      </w:tr>
      <w:tr w14:paraId="3A1C1E4C" w14:textId="77777777" w:rsidTr="008920AC">
        <w:tblPrEx>
          <w:tblW w:w="0" w:type="auto"/>
          <w:tblInd w:w="145" w:type="dxa"/>
          <w:tblLayout w:type="fixed"/>
          <w:tblCellMar>
            <w:left w:w="145" w:type="dxa"/>
            <w:right w:w="145" w:type="dxa"/>
          </w:tblCellMar>
          <w:tblLook w:val="0000"/>
        </w:tblPrEx>
        <w:trPr>
          <w:cantSplit/>
        </w:trPr>
        <w:tc>
          <w:tcPr>
            <w:tcW w:w="1701" w:type="dxa"/>
            <w:shd w:val="clear" w:color="auto" w:fill="FFFFFF"/>
          </w:tcPr>
          <w:p w:rsidR="00AE735B" w:rsidRPr="00BB5DE9" w:rsidP="003858C5" w14:paraId="14CC4FBF" w14:textId="77777777">
            <w:pPr>
              <w:pStyle w:val="RollCallTable"/>
              <w:rPr>
                <w:lang w:val="it-IT"/>
              </w:rPr>
            </w:pPr>
            <w:r w:rsidRPr="00BB5DE9">
              <w:rPr>
                <w:lang w:val="it-IT"/>
              </w:rPr>
              <w:t>NI</w:t>
            </w:r>
          </w:p>
        </w:tc>
        <w:tc>
          <w:tcPr>
            <w:tcW w:w="7371" w:type="dxa"/>
            <w:shd w:val="clear" w:color="auto" w:fill="FFFFFF"/>
          </w:tcPr>
          <w:p w:rsidR="00AE735B" w:rsidRPr="00BB5DE9" w:rsidP="003858C5" w14:paraId="7D1C19F1" w14:textId="77777777">
            <w:pPr>
              <w:pStyle w:val="RollCallTable"/>
              <w:rPr>
                <w:lang w:val="it-IT"/>
              </w:rPr>
            </w:pPr>
            <w:r w:rsidRPr="00BB5DE9">
              <w:rPr>
                <w:lang w:val="it-IT"/>
              </w:rPr>
              <w:t>Branislav Ondruš, Jan-Peter Warnke</w:t>
            </w:r>
          </w:p>
        </w:tc>
      </w:tr>
      <w:tr w14:paraId="399F4DCC" w14:textId="77777777" w:rsidTr="008920AC">
        <w:tblPrEx>
          <w:tblW w:w="0" w:type="auto"/>
          <w:tblInd w:w="145" w:type="dxa"/>
          <w:tblLayout w:type="fixed"/>
          <w:tblCellMar>
            <w:left w:w="145" w:type="dxa"/>
            <w:right w:w="145" w:type="dxa"/>
          </w:tblCellMar>
          <w:tblLook w:val="0000"/>
        </w:tblPrEx>
        <w:trPr>
          <w:cantSplit/>
        </w:trPr>
        <w:tc>
          <w:tcPr>
            <w:tcW w:w="1701" w:type="dxa"/>
            <w:shd w:val="clear" w:color="auto" w:fill="FFFFFF"/>
          </w:tcPr>
          <w:p w:rsidR="00AE735B" w:rsidRPr="00BB5DE9" w:rsidP="003858C5" w14:paraId="63C32B3D" w14:textId="77777777">
            <w:pPr>
              <w:pStyle w:val="RollCallTable"/>
              <w:rPr>
                <w:lang w:val="it-IT"/>
              </w:rPr>
            </w:pPr>
            <w:r w:rsidRPr="00BB5DE9">
              <w:rPr>
                <w:lang w:val="it-IT"/>
              </w:rPr>
              <w:t>PPE</w:t>
            </w:r>
          </w:p>
        </w:tc>
        <w:tc>
          <w:tcPr>
            <w:tcW w:w="7371" w:type="dxa"/>
            <w:shd w:val="clear" w:color="auto" w:fill="FFFFFF"/>
          </w:tcPr>
          <w:p w:rsidR="00AE735B" w:rsidRPr="00BB5DE9" w:rsidP="003858C5" w14:paraId="515EB700" w14:textId="77777777">
            <w:pPr>
              <w:pStyle w:val="RollCallTable"/>
              <w:rPr>
                <w:lang w:val="it-IT"/>
              </w:rPr>
            </w:pPr>
            <w:r w:rsidRPr="00BB5DE9">
              <w:rPr>
                <w:lang w:val="it-IT"/>
              </w:rPr>
              <w:t>Maravillas Abadía Jover, Hildegard Bentele, Andrzej Buła, David Casa, Gheorghe Falcă, Niels Geuking, Norbert Herhammer, Sérgio Humberto, Martine Kemp, Isabelle Le Callennec, Jagna Marczułajtis-Walczak, Eleonora Meleti, Letizia Moratti, Liesbet Sommen, Romana Tomc</w:t>
            </w:r>
          </w:p>
        </w:tc>
      </w:tr>
      <w:tr w14:paraId="3BC168BD" w14:textId="77777777" w:rsidTr="008920AC">
        <w:tblPrEx>
          <w:tblW w:w="0" w:type="auto"/>
          <w:tblInd w:w="145" w:type="dxa"/>
          <w:tblLayout w:type="fixed"/>
          <w:tblCellMar>
            <w:left w:w="145" w:type="dxa"/>
            <w:right w:w="145" w:type="dxa"/>
          </w:tblCellMar>
          <w:tblLook w:val="0000"/>
        </w:tblPrEx>
        <w:trPr>
          <w:cantSplit/>
        </w:trPr>
        <w:tc>
          <w:tcPr>
            <w:tcW w:w="1701" w:type="dxa"/>
            <w:shd w:val="clear" w:color="auto" w:fill="FFFFFF"/>
          </w:tcPr>
          <w:p w:rsidR="00AE735B" w:rsidRPr="00BB5DE9" w:rsidP="003858C5" w14:paraId="2F7859EF" w14:textId="77777777">
            <w:pPr>
              <w:pStyle w:val="RollCallTable"/>
              <w:rPr>
                <w:lang w:val="it-IT"/>
              </w:rPr>
            </w:pPr>
            <w:r w:rsidRPr="00BB5DE9">
              <w:rPr>
                <w:lang w:val="it-IT"/>
              </w:rPr>
              <w:t>Renew</w:t>
            </w:r>
          </w:p>
        </w:tc>
        <w:tc>
          <w:tcPr>
            <w:tcW w:w="7371" w:type="dxa"/>
            <w:shd w:val="clear" w:color="auto" w:fill="FFFFFF"/>
          </w:tcPr>
          <w:p w:rsidR="00AE735B" w:rsidRPr="00BB5DE9" w:rsidP="003858C5" w14:paraId="371F02F6" w14:textId="77777777">
            <w:pPr>
              <w:pStyle w:val="RollCallTable"/>
              <w:rPr>
                <w:lang w:val="it-IT"/>
              </w:rPr>
            </w:pPr>
            <w:r w:rsidRPr="00BB5DE9">
              <w:rPr>
                <w:lang w:val="it-IT"/>
              </w:rPr>
              <w:t>Grégory Allione, Valérie Devaux, Elisabetta Gualmini, Hristo Petrov, Jana Toom</w:t>
            </w:r>
          </w:p>
        </w:tc>
      </w:tr>
      <w:tr w14:paraId="776572B8" w14:textId="77777777" w:rsidTr="008920AC">
        <w:tblPrEx>
          <w:tblW w:w="0" w:type="auto"/>
          <w:tblInd w:w="145" w:type="dxa"/>
          <w:tblLayout w:type="fixed"/>
          <w:tblCellMar>
            <w:left w:w="145" w:type="dxa"/>
            <w:right w:w="145" w:type="dxa"/>
          </w:tblCellMar>
          <w:tblLook w:val="0000"/>
        </w:tblPrEx>
        <w:trPr>
          <w:cantSplit/>
        </w:trPr>
        <w:tc>
          <w:tcPr>
            <w:tcW w:w="1701" w:type="dxa"/>
            <w:shd w:val="clear" w:color="auto" w:fill="FFFFFF"/>
          </w:tcPr>
          <w:p w:rsidR="00AE735B" w:rsidRPr="00BB5DE9" w:rsidP="003858C5" w14:paraId="05DBFE8B" w14:textId="77777777">
            <w:pPr>
              <w:pStyle w:val="RollCallTable"/>
              <w:rPr>
                <w:lang w:val="it-IT"/>
              </w:rPr>
            </w:pPr>
            <w:r w:rsidRPr="00BB5DE9">
              <w:rPr>
                <w:lang w:val="it-IT"/>
              </w:rPr>
              <w:t>S&amp;D</w:t>
            </w:r>
          </w:p>
        </w:tc>
        <w:tc>
          <w:tcPr>
            <w:tcW w:w="7371" w:type="dxa"/>
            <w:shd w:val="clear" w:color="auto" w:fill="FFFFFF"/>
          </w:tcPr>
          <w:p w:rsidR="00AE735B" w:rsidRPr="00BB5DE9" w:rsidP="003858C5" w14:paraId="63C0D2D7" w14:textId="77777777">
            <w:pPr>
              <w:pStyle w:val="RollCallTable"/>
              <w:rPr>
                <w:lang w:val="it-IT"/>
              </w:rPr>
            </w:pPr>
            <w:r w:rsidRPr="00BB5DE9">
              <w:rPr>
                <w:lang w:val="it-IT"/>
              </w:rPr>
              <w:t>Marc Angel, Vilija Blinkevičiūtė, Estelle Ceulemans, Vivien Costanzo, Alicia Homs Ginel, Marina Kaljurand, Marit Maij, Ana Catarina Mendes, Idoia Mendia, Matjaž Nemec, Aodhán Ó Ríordáin, Marianne Vind</w:t>
            </w:r>
          </w:p>
        </w:tc>
      </w:tr>
      <w:tr w14:paraId="661814B5" w14:textId="77777777" w:rsidTr="008920AC">
        <w:tblPrEx>
          <w:tblW w:w="0" w:type="auto"/>
          <w:tblInd w:w="145" w:type="dxa"/>
          <w:tblLayout w:type="fixed"/>
          <w:tblCellMar>
            <w:left w:w="145" w:type="dxa"/>
            <w:right w:w="145" w:type="dxa"/>
          </w:tblCellMar>
          <w:tblLook w:val="0000"/>
        </w:tblPrEx>
        <w:trPr>
          <w:cantSplit/>
        </w:trPr>
        <w:tc>
          <w:tcPr>
            <w:tcW w:w="1701" w:type="dxa"/>
            <w:shd w:val="clear" w:color="auto" w:fill="FFFFFF"/>
          </w:tcPr>
          <w:p w:rsidR="00AE735B" w:rsidRPr="00BB5DE9" w:rsidP="003858C5" w14:paraId="09EEFD46" w14:textId="77777777">
            <w:pPr>
              <w:pStyle w:val="RollCallTable"/>
              <w:rPr>
                <w:lang w:val="it-IT"/>
              </w:rPr>
            </w:pPr>
            <w:r w:rsidRPr="00BB5DE9">
              <w:rPr>
                <w:lang w:val="it-IT"/>
              </w:rPr>
              <w:t>The Left</w:t>
            </w:r>
          </w:p>
        </w:tc>
        <w:tc>
          <w:tcPr>
            <w:tcW w:w="7371" w:type="dxa"/>
            <w:shd w:val="clear" w:color="auto" w:fill="FFFFFF"/>
          </w:tcPr>
          <w:p w:rsidR="00AE735B" w:rsidRPr="00BB5DE9" w:rsidP="003858C5" w14:paraId="307726CB" w14:textId="77777777">
            <w:pPr>
              <w:pStyle w:val="RollCallTable"/>
              <w:rPr>
                <w:lang w:val="it-IT"/>
              </w:rPr>
            </w:pPr>
            <w:r w:rsidRPr="00BB5DE9">
              <w:rPr>
                <w:lang w:val="it-IT"/>
              </w:rPr>
              <w:t>Konstantinos Arvanitis, Leila Chaibi, Per Clausen, Kathleen Funchion, João Oliveira</w:t>
            </w:r>
          </w:p>
        </w:tc>
      </w:tr>
      <w:tr w14:paraId="020D8093" w14:textId="77777777" w:rsidTr="008920AC">
        <w:tblPrEx>
          <w:tblW w:w="0" w:type="auto"/>
          <w:tblInd w:w="145" w:type="dxa"/>
          <w:tblLayout w:type="fixed"/>
          <w:tblCellMar>
            <w:left w:w="145" w:type="dxa"/>
            <w:right w:w="145" w:type="dxa"/>
          </w:tblCellMar>
          <w:tblLook w:val="0000"/>
        </w:tblPrEx>
        <w:trPr>
          <w:cantSplit/>
        </w:trPr>
        <w:tc>
          <w:tcPr>
            <w:tcW w:w="1701" w:type="dxa"/>
            <w:shd w:val="clear" w:color="auto" w:fill="FFFFFF"/>
          </w:tcPr>
          <w:p w:rsidR="00AE735B" w:rsidRPr="00BB5DE9" w:rsidP="003858C5" w14:paraId="44DF5139" w14:textId="77777777">
            <w:pPr>
              <w:pStyle w:val="RollCallTable"/>
              <w:rPr>
                <w:lang w:val="it-IT"/>
              </w:rPr>
            </w:pPr>
            <w:r w:rsidRPr="00BB5DE9">
              <w:rPr>
                <w:lang w:val="it-IT"/>
              </w:rPr>
              <w:t>Verts/ALE</w:t>
            </w:r>
          </w:p>
        </w:tc>
        <w:tc>
          <w:tcPr>
            <w:tcW w:w="7371" w:type="dxa"/>
            <w:shd w:val="clear" w:color="auto" w:fill="FFFFFF"/>
          </w:tcPr>
          <w:p w:rsidR="00AE735B" w:rsidRPr="00BB5DE9" w:rsidP="003858C5" w14:paraId="463BE002" w14:textId="77777777">
            <w:pPr>
              <w:pStyle w:val="RollCallTable"/>
              <w:rPr>
                <w:lang w:val="it-IT"/>
              </w:rPr>
            </w:pPr>
            <w:r w:rsidRPr="00BB5DE9">
              <w:rPr>
                <w:lang w:val="it-IT"/>
              </w:rPr>
              <w:t>Katrin Langensiepen, Maria Ohisalo, Villy Søvndal</w:t>
            </w:r>
          </w:p>
        </w:tc>
      </w:tr>
    </w:tbl>
    <w:p w:rsidR="00AE735B" w:rsidRPr="00BB5DE9" w:rsidP="00147FBF" w14:paraId="5B0A44B1" w14:textId="77777777"/>
    <w:tbl>
      <w:tblPr>
        <w:tblW w:w="0" w:type="auto"/>
        <w:tblInd w:w="145" w:type="dxa"/>
        <w:tblBorders>
          <w:top w:val="double" w:sz="2" w:space="0" w:color="000000"/>
          <w:left w:val="double" w:sz="2" w:space="0" w:color="000000"/>
          <w:bottom w:val="double" w:sz="2" w:space="0" w:color="000000"/>
          <w:right w:val="double" w:sz="2" w:space="0" w:color="000000"/>
          <w:insideH w:val="single" w:sz="2" w:space="0" w:color="000000"/>
          <w:insideV w:val="single" w:sz="2" w:space="0" w:color="000000"/>
        </w:tblBorders>
        <w:tblLayout w:type="fixed"/>
        <w:tblCellMar>
          <w:left w:w="145" w:type="dxa"/>
          <w:right w:w="145" w:type="dxa"/>
        </w:tblCellMar>
        <w:tblLook w:val="0000"/>
      </w:tblPr>
      <w:tblGrid>
        <w:gridCol w:w="1701"/>
        <w:gridCol w:w="7371"/>
      </w:tblGrid>
      <w:tr w14:paraId="6252ACDA" w14:textId="77777777" w:rsidTr="008920AC">
        <w:tblPrEx>
          <w:tblW w:w="0" w:type="auto"/>
          <w:tblInd w:w="145" w:type="dxa"/>
          <w:tblBorders>
            <w:top w:val="double" w:sz="2" w:space="0" w:color="000000"/>
            <w:left w:val="double" w:sz="2" w:space="0" w:color="000000"/>
            <w:bottom w:val="double" w:sz="2" w:space="0" w:color="000000"/>
            <w:right w:val="double" w:sz="2" w:space="0" w:color="000000"/>
            <w:insideH w:val="single" w:sz="2" w:space="0" w:color="000000"/>
            <w:insideV w:val="single" w:sz="2" w:space="0" w:color="000000"/>
          </w:tblBorders>
          <w:tblLayout w:type="fixed"/>
          <w:tblCellMar>
            <w:left w:w="145" w:type="dxa"/>
            <w:right w:w="145" w:type="dxa"/>
          </w:tblCellMar>
          <w:tblLook w:val="0000"/>
        </w:tblPrEx>
        <w:trPr>
          <w:cantSplit/>
        </w:trPr>
        <w:tc>
          <w:tcPr>
            <w:tcW w:w="1701" w:type="dxa"/>
            <w:shd w:val="pct10" w:color="000000" w:fill="FFFFFF"/>
            <w:vAlign w:val="center"/>
          </w:tcPr>
          <w:p w:rsidR="00AE735B" w:rsidRPr="00BB5DE9" w:rsidP="003858C5" w14:paraId="33FA2A79" w14:textId="77777777">
            <w:pPr>
              <w:pStyle w:val="RollCallVotes"/>
              <w:rPr>
                <w:lang w:val="it-IT"/>
              </w:rPr>
            </w:pPr>
            <w:r w:rsidRPr="00BB5DE9">
              <w:rPr>
                <w:lang w:val="it-IT"/>
              </w:rPr>
              <w:t>9</w:t>
            </w:r>
          </w:p>
        </w:tc>
        <w:tc>
          <w:tcPr>
            <w:tcW w:w="7371" w:type="dxa"/>
            <w:shd w:val="pct10" w:color="000000" w:fill="FFFFFF"/>
          </w:tcPr>
          <w:p w:rsidR="00AE735B" w:rsidRPr="00BB5DE9" w:rsidP="003858C5" w14:paraId="1F3C2B37" w14:textId="77777777">
            <w:pPr>
              <w:pStyle w:val="RollCallSymbols14pt"/>
              <w:rPr>
                <w:lang w:val="it-IT"/>
              </w:rPr>
            </w:pPr>
            <w:r w:rsidRPr="00BB5DE9">
              <w:rPr>
                <w:lang w:val="it-IT"/>
              </w:rPr>
              <w:t>-</w:t>
            </w:r>
          </w:p>
        </w:tc>
      </w:tr>
      <w:tr w14:paraId="310F32BC" w14:textId="77777777" w:rsidTr="008920AC">
        <w:tblPrEx>
          <w:tblW w:w="0" w:type="auto"/>
          <w:tblInd w:w="145" w:type="dxa"/>
          <w:tblLayout w:type="fixed"/>
          <w:tblCellMar>
            <w:left w:w="145" w:type="dxa"/>
            <w:right w:w="145" w:type="dxa"/>
          </w:tblCellMar>
          <w:tblLook w:val="0000"/>
        </w:tblPrEx>
        <w:trPr>
          <w:cantSplit/>
        </w:trPr>
        <w:tc>
          <w:tcPr>
            <w:tcW w:w="1701" w:type="dxa"/>
            <w:shd w:val="clear" w:color="auto" w:fill="FFFFFF"/>
          </w:tcPr>
          <w:p w:rsidR="00AE735B" w:rsidRPr="00BB5DE9" w:rsidP="003858C5" w14:paraId="18BE192A" w14:textId="77777777">
            <w:pPr>
              <w:pStyle w:val="RollCallTable"/>
              <w:rPr>
                <w:lang w:val="it-IT"/>
              </w:rPr>
            </w:pPr>
            <w:r w:rsidRPr="00BB5DE9">
              <w:rPr>
                <w:lang w:val="it-IT"/>
              </w:rPr>
              <w:t>ECR</w:t>
            </w:r>
          </w:p>
        </w:tc>
        <w:tc>
          <w:tcPr>
            <w:tcW w:w="7371" w:type="dxa"/>
            <w:shd w:val="clear" w:color="auto" w:fill="FFFFFF"/>
          </w:tcPr>
          <w:p w:rsidR="00AE735B" w:rsidRPr="00BB5DE9" w:rsidP="003858C5" w14:paraId="4FD81E4C" w14:textId="77777777">
            <w:pPr>
              <w:pStyle w:val="RollCallTable"/>
              <w:rPr>
                <w:lang w:val="it-IT"/>
              </w:rPr>
            </w:pPr>
            <w:r w:rsidRPr="00BB5DE9">
              <w:rPr>
                <w:lang w:val="it-IT"/>
              </w:rPr>
              <w:t>Elena Donazzan, Chiara Gemma, Marlena Maląg, Francesco Torselli, Mariateresa Vivaldini</w:t>
            </w:r>
          </w:p>
        </w:tc>
      </w:tr>
      <w:tr w14:paraId="5BC3AE36" w14:textId="77777777" w:rsidTr="008920AC">
        <w:tblPrEx>
          <w:tblW w:w="0" w:type="auto"/>
          <w:tblInd w:w="145" w:type="dxa"/>
          <w:tblLayout w:type="fixed"/>
          <w:tblCellMar>
            <w:left w:w="145" w:type="dxa"/>
            <w:right w:w="145" w:type="dxa"/>
          </w:tblCellMar>
          <w:tblLook w:val="0000"/>
        </w:tblPrEx>
        <w:trPr>
          <w:cantSplit/>
        </w:trPr>
        <w:tc>
          <w:tcPr>
            <w:tcW w:w="1701" w:type="dxa"/>
            <w:shd w:val="clear" w:color="auto" w:fill="FFFFFF"/>
          </w:tcPr>
          <w:p w:rsidR="00AE735B" w:rsidRPr="00BB5DE9" w:rsidP="003858C5" w14:paraId="2F1A2A11" w14:textId="77777777">
            <w:pPr>
              <w:pStyle w:val="RollCallTable"/>
              <w:rPr>
                <w:lang w:val="it-IT"/>
              </w:rPr>
            </w:pPr>
            <w:r w:rsidRPr="00BB5DE9">
              <w:rPr>
                <w:lang w:val="it-IT"/>
              </w:rPr>
              <w:t>ESN</w:t>
            </w:r>
          </w:p>
        </w:tc>
        <w:tc>
          <w:tcPr>
            <w:tcW w:w="7371" w:type="dxa"/>
            <w:shd w:val="clear" w:color="auto" w:fill="FFFFFF"/>
          </w:tcPr>
          <w:p w:rsidR="00AE735B" w:rsidRPr="00BB5DE9" w:rsidP="003858C5" w14:paraId="19CCAADD" w14:textId="77777777">
            <w:pPr>
              <w:pStyle w:val="RollCallTable"/>
              <w:rPr>
                <w:lang w:val="it-IT"/>
              </w:rPr>
            </w:pPr>
            <w:r w:rsidRPr="00BB5DE9">
              <w:rPr>
                <w:lang w:val="it-IT"/>
              </w:rPr>
              <w:t>Petr Bystron, Petar Volgin</w:t>
            </w:r>
          </w:p>
        </w:tc>
      </w:tr>
      <w:tr w14:paraId="66630E22" w14:textId="77777777" w:rsidTr="008920AC">
        <w:tblPrEx>
          <w:tblW w:w="0" w:type="auto"/>
          <w:tblInd w:w="145" w:type="dxa"/>
          <w:tblLayout w:type="fixed"/>
          <w:tblCellMar>
            <w:left w:w="145" w:type="dxa"/>
            <w:right w:w="145" w:type="dxa"/>
          </w:tblCellMar>
          <w:tblLook w:val="0000"/>
        </w:tblPrEx>
        <w:trPr>
          <w:cantSplit/>
        </w:trPr>
        <w:tc>
          <w:tcPr>
            <w:tcW w:w="1701" w:type="dxa"/>
            <w:shd w:val="clear" w:color="auto" w:fill="FFFFFF"/>
          </w:tcPr>
          <w:p w:rsidR="00AE735B" w:rsidRPr="00BB5DE9" w:rsidP="003858C5" w14:paraId="7CFF23DB" w14:textId="77777777">
            <w:pPr>
              <w:pStyle w:val="RollCallTable"/>
              <w:rPr>
                <w:lang w:val="it-IT"/>
              </w:rPr>
            </w:pPr>
            <w:r w:rsidRPr="00BB5DE9">
              <w:rPr>
                <w:lang w:val="it-IT"/>
              </w:rPr>
              <w:t>PfE</w:t>
            </w:r>
          </w:p>
        </w:tc>
        <w:tc>
          <w:tcPr>
            <w:tcW w:w="7371" w:type="dxa"/>
            <w:shd w:val="clear" w:color="auto" w:fill="FFFFFF"/>
          </w:tcPr>
          <w:p w:rsidR="00AE735B" w:rsidRPr="00BB5DE9" w:rsidP="003858C5" w14:paraId="630F8B62" w14:textId="77777777">
            <w:pPr>
              <w:pStyle w:val="RollCallTable"/>
              <w:rPr>
                <w:lang w:val="it-IT"/>
              </w:rPr>
            </w:pPr>
            <w:r w:rsidRPr="00BB5DE9">
              <w:rPr>
                <w:lang w:val="it-IT"/>
              </w:rPr>
              <w:t>Margarita de la Pisa Carrión, Petra Steger</w:t>
            </w:r>
          </w:p>
        </w:tc>
      </w:tr>
    </w:tbl>
    <w:p w:rsidR="00AE735B" w:rsidRPr="00BB5DE9" w:rsidP="00147FBF" w14:paraId="01221EE6" w14:textId="77777777"/>
    <w:tbl>
      <w:tblPr>
        <w:tblW w:w="0" w:type="auto"/>
        <w:tblInd w:w="145" w:type="dxa"/>
        <w:tblBorders>
          <w:top w:val="double" w:sz="2" w:space="0" w:color="000000"/>
          <w:left w:val="double" w:sz="2" w:space="0" w:color="000000"/>
          <w:bottom w:val="double" w:sz="2" w:space="0" w:color="000000"/>
          <w:right w:val="double" w:sz="2" w:space="0" w:color="000000"/>
          <w:insideH w:val="single" w:sz="2" w:space="0" w:color="000000"/>
          <w:insideV w:val="single" w:sz="2" w:space="0" w:color="000000"/>
        </w:tblBorders>
        <w:tblLayout w:type="fixed"/>
        <w:tblCellMar>
          <w:left w:w="145" w:type="dxa"/>
          <w:right w:w="145" w:type="dxa"/>
        </w:tblCellMar>
        <w:tblLook w:val="0000"/>
      </w:tblPr>
      <w:tblGrid>
        <w:gridCol w:w="1701"/>
        <w:gridCol w:w="7371"/>
      </w:tblGrid>
      <w:tr w14:paraId="65F3A57F" w14:textId="77777777" w:rsidTr="008920AC">
        <w:tblPrEx>
          <w:tblW w:w="0" w:type="auto"/>
          <w:tblInd w:w="145" w:type="dxa"/>
          <w:tblBorders>
            <w:top w:val="double" w:sz="2" w:space="0" w:color="000000"/>
            <w:left w:val="double" w:sz="2" w:space="0" w:color="000000"/>
            <w:bottom w:val="double" w:sz="2" w:space="0" w:color="000000"/>
            <w:right w:val="double" w:sz="2" w:space="0" w:color="000000"/>
            <w:insideH w:val="single" w:sz="2" w:space="0" w:color="000000"/>
            <w:insideV w:val="single" w:sz="2" w:space="0" w:color="000000"/>
          </w:tblBorders>
          <w:tblLayout w:type="fixed"/>
          <w:tblCellMar>
            <w:left w:w="145" w:type="dxa"/>
            <w:right w:w="145" w:type="dxa"/>
          </w:tblCellMar>
          <w:tblLook w:val="0000"/>
        </w:tblPrEx>
        <w:trPr>
          <w:cantSplit/>
        </w:trPr>
        <w:tc>
          <w:tcPr>
            <w:tcW w:w="1701" w:type="dxa"/>
            <w:shd w:val="pct10" w:color="000000" w:fill="FFFFFF"/>
            <w:vAlign w:val="center"/>
          </w:tcPr>
          <w:p w:rsidR="00AE735B" w:rsidRPr="00BB5DE9" w:rsidP="003858C5" w14:paraId="15080A4A" w14:textId="77777777">
            <w:pPr>
              <w:pStyle w:val="RollCallVotes"/>
              <w:rPr>
                <w:lang w:val="it-IT"/>
              </w:rPr>
            </w:pPr>
            <w:r w:rsidRPr="00BB5DE9">
              <w:rPr>
                <w:lang w:val="it-IT"/>
              </w:rPr>
              <w:t>6</w:t>
            </w:r>
          </w:p>
        </w:tc>
        <w:tc>
          <w:tcPr>
            <w:tcW w:w="7371" w:type="dxa"/>
            <w:shd w:val="pct10" w:color="000000" w:fill="FFFFFF"/>
          </w:tcPr>
          <w:p w:rsidR="00AE735B" w:rsidRPr="00BB5DE9" w:rsidP="003858C5" w14:paraId="707F7D37" w14:textId="77777777">
            <w:pPr>
              <w:pStyle w:val="RollCallSymbols14pt"/>
              <w:rPr>
                <w:lang w:val="it-IT"/>
              </w:rPr>
            </w:pPr>
            <w:r w:rsidRPr="00BB5DE9">
              <w:rPr>
                <w:lang w:val="it-IT"/>
              </w:rPr>
              <w:t>0</w:t>
            </w:r>
          </w:p>
        </w:tc>
      </w:tr>
      <w:tr w14:paraId="497DC9CB" w14:textId="77777777" w:rsidTr="008920AC">
        <w:tblPrEx>
          <w:tblW w:w="0" w:type="auto"/>
          <w:tblInd w:w="145" w:type="dxa"/>
          <w:tblLayout w:type="fixed"/>
          <w:tblCellMar>
            <w:left w:w="145" w:type="dxa"/>
            <w:right w:w="145" w:type="dxa"/>
          </w:tblCellMar>
          <w:tblLook w:val="0000"/>
        </w:tblPrEx>
        <w:trPr>
          <w:cantSplit/>
        </w:trPr>
        <w:tc>
          <w:tcPr>
            <w:tcW w:w="1701" w:type="dxa"/>
            <w:shd w:val="clear" w:color="auto" w:fill="FFFFFF"/>
          </w:tcPr>
          <w:p w:rsidR="00AE735B" w:rsidRPr="00BB5DE9" w:rsidP="003858C5" w14:paraId="4F20DAC5" w14:textId="77777777">
            <w:pPr>
              <w:pStyle w:val="RollCallTable"/>
              <w:rPr>
                <w:lang w:val="it-IT"/>
              </w:rPr>
            </w:pPr>
            <w:r w:rsidRPr="00BB5DE9">
              <w:rPr>
                <w:lang w:val="it-IT"/>
              </w:rPr>
              <w:t>ECR</w:t>
            </w:r>
          </w:p>
        </w:tc>
        <w:tc>
          <w:tcPr>
            <w:tcW w:w="7371" w:type="dxa"/>
            <w:shd w:val="clear" w:color="auto" w:fill="FFFFFF"/>
          </w:tcPr>
          <w:p w:rsidR="00AE735B" w:rsidRPr="00BB5DE9" w:rsidP="003858C5" w14:paraId="3A75850B" w14:textId="77777777">
            <w:pPr>
              <w:pStyle w:val="RollCallTable"/>
              <w:rPr>
                <w:lang w:val="it-IT"/>
              </w:rPr>
            </w:pPr>
            <w:r w:rsidRPr="00BB5DE9">
              <w:rPr>
                <w:lang w:val="it-IT"/>
              </w:rPr>
              <w:t>Georgiana Teodorescu</w:t>
            </w:r>
          </w:p>
        </w:tc>
      </w:tr>
      <w:tr w14:paraId="03260CCC" w14:textId="77777777" w:rsidTr="008920AC">
        <w:tblPrEx>
          <w:tblW w:w="0" w:type="auto"/>
          <w:tblInd w:w="145" w:type="dxa"/>
          <w:tblLayout w:type="fixed"/>
          <w:tblCellMar>
            <w:left w:w="145" w:type="dxa"/>
            <w:right w:w="145" w:type="dxa"/>
          </w:tblCellMar>
          <w:tblLook w:val="0000"/>
        </w:tblPrEx>
        <w:trPr>
          <w:cantSplit/>
        </w:trPr>
        <w:tc>
          <w:tcPr>
            <w:tcW w:w="1701" w:type="dxa"/>
            <w:shd w:val="clear" w:color="auto" w:fill="FFFFFF"/>
          </w:tcPr>
          <w:p w:rsidR="00AE735B" w:rsidRPr="00BB5DE9" w:rsidP="003858C5" w14:paraId="79B33F91" w14:textId="77777777">
            <w:pPr>
              <w:pStyle w:val="RollCallTable"/>
              <w:rPr>
                <w:lang w:val="it-IT"/>
              </w:rPr>
            </w:pPr>
            <w:r w:rsidRPr="00BB5DE9">
              <w:rPr>
                <w:lang w:val="it-IT"/>
              </w:rPr>
              <w:t>PPE</w:t>
            </w:r>
          </w:p>
        </w:tc>
        <w:tc>
          <w:tcPr>
            <w:tcW w:w="7371" w:type="dxa"/>
            <w:shd w:val="clear" w:color="auto" w:fill="FFFFFF"/>
          </w:tcPr>
          <w:p w:rsidR="00AE735B" w:rsidRPr="00BB5DE9" w:rsidP="003858C5" w14:paraId="6C9AA12C" w14:textId="77777777">
            <w:pPr>
              <w:pStyle w:val="RollCallTable"/>
              <w:rPr>
                <w:lang w:val="it-IT"/>
              </w:rPr>
            </w:pPr>
            <w:r w:rsidRPr="00BB5DE9">
              <w:rPr>
                <w:lang w:val="it-IT"/>
              </w:rPr>
              <w:t>Henrik Dahl</w:t>
            </w:r>
          </w:p>
        </w:tc>
      </w:tr>
      <w:tr w14:paraId="59EC8FB8" w14:textId="77777777" w:rsidTr="008920AC">
        <w:tblPrEx>
          <w:tblW w:w="0" w:type="auto"/>
          <w:tblInd w:w="145" w:type="dxa"/>
          <w:tblLayout w:type="fixed"/>
          <w:tblCellMar>
            <w:left w:w="145" w:type="dxa"/>
            <w:right w:w="145" w:type="dxa"/>
          </w:tblCellMar>
          <w:tblLook w:val="0000"/>
        </w:tblPrEx>
        <w:trPr>
          <w:cantSplit/>
        </w:trPr>
        <w:tc>
          <w:tcPr>
            <w:tcW w:w="1701" w:type="dxa"/>
            <w:shd w:val="clear" w:color="auto" w:fill="FFFFFF"/>
          </w:tcPr>
          <w:p w:rsidR="00AE735B" w:rsidRPr="00BB5DE9" w:rsidP="003858C5" w14:paraId="65C5B2AB" w14:textId="77777777">
            <w:pPr>
              <w:pStyle w:val="RollCallTable"/>
              <w:rPr>
                <w:lang w:val="it-IT"/>
              </w:rPr>
            </w:pPr>
            <w:r w:rsidRPr="00BB5DE9">
              <w:rPr>
                <w:lang w:val="it-IT"/>
              </w:rPr>
              <w:t>PfE</w:t>
            </w:r>
          </w:p>
        </w:tc>
        <w:tc>
          <w:tcPr>
            <w:tcW w:w="7371" w:type="dxa"/>
            <w:shd w:val="clear" w:color="auto" w:fill="FFFFFF"/>
          </w:tcPr>
          <w:p w:rsidR="00AE735B" w:rsidRPr="00BB5DE9" w:rsidP="003858C5" w14:paraId="6C642BAD" w14:textId="77777777">
            <w:pPr>
              <w:pStyle w:val="RollCallTable"/>
              <w:rPr>
                <w:lang w:val="it-IT"/>
              </w:rPr>
            </w:pPr>
            <w:r w:rsidRPr="00BB5DE9">
              <w:rPr>
                <w:lang w:val="it-IT"/>
              </w:rPr>
              <w:t>Mélanie Disdier, Julien Leonardelli, Ernő Schaller-Baross, Séverine Werbrouck</w:t>
            </w:r>
          </w:p>
        </w:tc>
      </w:tr>
    </w:tbl>
    <w:p w:rsidR="00AE735B" w:rsidRPr="00BB5DE9" w:rsidP="00147FBF" w14:paraId="63527A0E" w14:textId="77777777">
      <w:pPr>
        <w:pStyle w:val="Normal12a"/>
        <w:rPr>
          <w:lang w:val="it-IT"/>
        </w:rPr>
      </w:pPr>
    </w:p>
    <w:p w:rsidR="00AE735B" w:rsidRPr="00BB5DE9" w:rsidP="00B735E3" w14:paraId="6E2160B9" w14:textId="77777777">
      <w:r w:rsidRPr="00BB5DE9">
        <w:t>Significato dei simboli utilizzati:</w:t>
      </w:r>
    </w:p>
    <w:p w:rsidR="00AE735B" w:rsidRPr="00BB5DE9" w:rsidP="003858C5" w14:paraId="118879CB" w14:textId="77777777">
      <w:pPr>
        <w:pStyle w:val="RollCallTabs"/>
        <w:rPr>
          <w:lang w:val="it-IT"/>
        </w:rPr>
      </w:pPr>
      <w:r w:rsidRPr="00BB5DE9">
        <w:rPr>
          <w:lang w:val="it-IT"/>
        </w:rPr>
        <w:t>+</w:t>
      </w:r>
      <w:r w:rsidRPr="00BB5DE9">
        <w:rPr>
          <w:lang w:val="it-IT"/>
        </w:rPr>
        <w:tab/>
        <w:t>:</w:t>
      </w:r>
      <w:r w:rsidRPr="00BB5DE9">
        <w:rPr>
          <w:lang w:val="it-IT"/>
        </w:rPr>
        <w:tab/>
        <w:t>favorevoli</w:t>
      </w:r>
    </w:p>
    <w:p w:rsidR="00AE735B" w:rsidRPr="00BB5DE9" w:rsidP="003858C5" w14:paraId="3BB51978" w14:textId="77777777">
      <w:pPr>
        <w:pStyle w:val="RollCallTabs"/>
        <w:rPr>
          <w:lang w:val="it-IT"/>
        </w:rPr>
      </w:pPr>
      <w:r w:rsidRPr="00BB5DE9">
        <w:rPr>
          <w:lang w:val="it-IT"/>
        </w:rPr>
        <w:t>-</w:t>
      </w:r>
      <w:r w:rsidRPr="00BB5DE9">
        <w:rPr>
          <w:lang w:val="it-IT"/>
        </w:rPr>
        <w:tab/>
        <w:t>:</w:t>
      </w:r>
      <w:r w:rsidRPr="00BB5DE9">
        <w:rPr>
          <w:lang w:val="it-IT"/>
        </w:rPr>
        <w:tab/>
        <w:t>contrari</w:t>
      </w:r>
    </w:p>
    <w:p w:rsidR="00AE735B" w:rsidRPr="00BB5DE9" w:rsidP="003858C5" w14:paraId="2D9ED754" w14:textId="77777777">
      <w:pPr>
        <w:pStyle w:val="RollCallTabs"/>
        <w:rPr>
          <w:lang w:val="it-IT"/>
        </w:rPr>
      </w:pPr>
      <w:r w:rsidRPr="00BB5DE9">
        <w:rPr>
          <w:lang w:val="it-IT"/>
        </w:rPr>
        <w:t>0</w:t>
      </w:r>
      <w:r w:rsidRPr="00BB5DE9">
        <w:rPr>
          <w:lang w:val="it-IT"/>
        </w:rPr>
        <w:tab/>
        <w:t>:</w:t>
      </w:r>
      <w:r w:rsidRPr="00BB5DE9">
        <w:rPr>
          <w:lang w:val="it-IT"/>
        </w:rPr>
        <w:tab/>
        <w:t>astenuti</w:t>
      </w:r>
    </w:p>
    <w:p w:rsidR="00AE735B" w:rsidRPr="00BB5DE9" w:rsidP="00207509" w14:paraId="41B776F9" w14:textId="77777777"/>
    <w:p w:rsidR="00AE735B" w:rsidRPr="00BB5DE9" w:rsidP="005E7EA4" w14:paraId="365C16E8" w14:textId="77777777"/>
    <w:p w:rsidR="00AE735B" w:rsidRPr="00BB5DE9" w:rsidP="00AE735B" w14:paraId="7C93B82C" w14:textId="77777777">
      <w:pPr>
        <w:rPr>
          <w:snapToGrid/>
          <w:lang w:eastAsia="en-GB"/>
        </w:rPr>
        <w:sectPr w:rsidSect="00AE735B">
          <w:footnotePr>
            <w:numRestart w:val="eachSect"/>
          </w:footnotePr>
          <w:endnotePr>
            <w:numFmt w:val="decimal"/>
          </w:endnotePr>
          <w:pgSz w:w="11906" w:h="16838" w:code="9"/>
          <w:pgMar w:top="1134" w:right="1418" w:bottom="1134" w:left="1418" w:header="1134" w:footer="567" w:gutter="0"/>
          <w:cols w:space="720"/>
          <w:noEndnote/>
          <w:docGrid w:linePitch="326"/>
        </w:sectPr>
      </w:pPr>
    </w:p>
    <w:p w:rsidR="00AE735B" w:rsidRPr="00BB5DE9" w:rsidP="00AE735B" w14:paraId="3C1B1D1E" w14:textId="77777777">
      <w:pPr>
        <w:pStyle w:val="Normal24a"/>
        <w:rPr>
          <w:lang w:val="it-IT"/>
        </w:rPr>
      </w:pPr>
      <w:r w:rsidRPr="00BB5DE9">
        <w:rPr>
          <w:rStyle w:val="HideTWBExt"/>
          <w:lang w:val="it-IT"/>
        </w:rPr>
        <w:t>&lt;Date&gt;</w:t>
      </w:r>
      <w:r w:rsidRPr="00BB5DE9">
        <w:rPr>
          <w:rStyle w:val="HideTWBInt"/>
          <w:lang w:val="it-IT"/>
        </w:rPr>
        <w:t>{01/09/2026}</w:t>
      </w:r>
      <w:r w:rsidRPr="00BB5DE9">
        <w:rPr>
          <w:lang w:val="it-IT"/>
        </w:rPr>
        <w:t>1.9.2026</w:t>
      </w:r>
      <w:r w:rsidRPr="00BB5DE9">
        <w:rPr>
          <w:rStyle w:val="HideTWBExt"/>
          <w:lang w:val="it-IT"/>
        </w:rPr>
        <w:t>&lt;/Date&gt;</w:t>
      </w:r>
    </w:p>
    <w:p w:rsidR="00AE735B" w:rsidRPr="00BB5DE9" w:rsidP="00AE735B" w14:paraId="58F746D6" w14:textId="2A541553">
      <w:pPr>
        <w:pStyle w:val="PageHeading"/>
      </w:pPr>
      <w:r w:rsidRPr="00BB5DE9">
        <w:rPr>
          <w:rStyle w:val="HideTWBExt"/>
          <w:b w:val="0"/>
        </w:rPr>
        <w:t>&lt;CommissionResp&gt;</w:t>
      </w:r>
      <w:bookmarkStart w:id="17" w:name="OpinionToc_5"/>
      <w:bookmarkStart w:id="18" w:name="_Toc243036422"/>
      <w:r w:rsidRPr="00BB5DE9">
        <w:t>PARERE DELLA COMMISSIONE PER L'AMBIENTE, IL CLIMA E LA SICUREZZA ALIMENTARE</w:t>
      </w:r>
      <w:bookmarkEnd w:id="17"/>
      <w:bookmarkEnd w:id="18"/>
      <w:r w:rsidRPr="00BB5DE9">
        <w:rPr>
          <w:rStyle w:val="HideTWBExt"/>
          <w:b w:val="0"/>
        </w:rPr>
        <w:t>&lt;/CommissionResp&gt;</w:t>
      </w:r>
    </w:p>
    <w:p w:rsidR="00AE735B" w:rsidRPr="00BB5DE9" w:rsidP="00AE735B" w14:paraId="21655EFA" w14:textId="77777777">
      <w:pPr>
        <w:pStyle w:val="Normal12a"/>
        <w:rPr>
          <w:lang w:val="it-IT"/>
        </w:rPr>
      </w:pPr>
      <w:r w:rsidRPr="00BB5DE9">
        <w:rPr>
          <w:rStyle w:val="HideTWBExt"/>
          <w:lang w:val="it-IT"/>
        </w:rPr>
        <w:t>&lt;CommissionInt&gt;</w:t>
      </w:r>
      <w:r w:rsidRPr="00BB5DE9">
        <w:rPr>
          <w:lang w:val="it-IT"/>
        </w:rPr>
        <w:t>destinato alla commissione per i bilanci</w:t>
      </w:r>
      <w:r w:rsidRPr="00BB5DE9">
        <w:rPr>
          <w:rStyle w:val="HideTWBExt"/>
          <w:lang w:val="it-IT"/>
        </w:rPr>
        <w:t>&lt;/CommissionInt&gt;</w:t>
      </w:r>
    </w:p>
    <w:p w:rsidR="00AE735B" w:rsidRPr="00BB5DE9" w:rsidP="00AE735B" w14:paraId="48F9717D" w14:textId="77777777">
      <w:r w:rsidRPr="00BB5DE9">
        <w:rPr>
          <w:rStyle w:val="HideTWBExt"/>
        </w:rPr>
        <w:t>&lt;Titre&gt;</w:t>
      </w:r>
      <w:r w:rsidRPr="00BB5DE9">
        <w:t xml:space="preserve">Bilancio generale dell'Unione europea per l'esercizio 2027 – tutte le sezioni </w:t>
      </w:r>
    </w:p>
    <w:p w:rsidR="00AE735B" w:rsidRPr="00BB5DE9" w:rsidP="00AE735B" w14:paraId="2483ABFE" w14:textId="77777777">
      <w:r w:rsidRPr="00BB5DE9">
        <w:rPr>
          <w:rStyle w:val="HideTWBExt"/>
        </w:rPr>
        <w:t>&lt;/Titre&gt;</w:t>
      </w:r>
    </w:p>
    <w:p w:rsidR="00AE735B" w:rsidRPr="00BB5DE9" w:rsidP="00AE735B" w14:paraId="6A69F21B" w14:textId="77777777">
      <w:pPr>
        <w:pStyle w:val="Normal12a"/>
        <w:rPr>
          <w:lang w:val="it-IT"/>
        </w:rPr>
      </w:pPr>
      <w:r w:rsidRPr="00BB5DE9">
        <w:rPr>
          <w:rStyle w:val="HideTWBExt"/>
          <w:lang w:val="it-IT"/>
        </w:rPr>
        <w:t>&lt;DocRef&gt;</w:t>
      </w:r>
      <w:r w:rsidRPr="00BB5DE9">
        <w:rPr>
          <w:lang w:val="it-IT"/>
        </w:rPr>
        <w:t>(2026/0196(BUD))</w:t>
      </w:r>
      <w:r w:rsidRPr="00BB5DE9">
        <w:rPr>
          <w:rStyle w:val="HideTWBExt"/>
          <w:lang w:val="it-IT"/>
        </w:rPr>
        <w:t>&lt;/DocRef&gt;</w:t>
      </w:r>
    </w:p>
    <w:p w:rsidR="00AE735B" w:rsidRPr="00BB5DE9" w:rsidP="00AE735B" w14:paraId="7D79F6E8" w14:textId="77777777">
      <w:pPr>
        <w:pStyle w:val="Normal24a"/>
        <w:rPr>
          <w:lang w:val="it-IT"/>
        </w:rPr>
      </w:pPr>
      <w:r w:rsidRPr="00BB5DE9">
        <w:rPr>
          <w:lang w:val="it-IT"/>
        </w:rPr>
        <w:t xml:space="preserve">Relatore per parere: </w:t>
      </w:r>
      <w:r w:rsidRPr="00BB5DE9">
        <w:rPr>
          <w:rStyle w:val="HideTWBExt"/>
          <w:lang w:val="it-IT"/>
        </w:rPr>
        <w:t>&lt;Depute&gt;</w:t>
      </w:r>
      <w:r w:rsidRPr="00BB5DE9">
        <w:rPr>
          <w:lang w:val="it-IT"/>
        </w:rPr>
        <w:t>Pierfrancesco Maran</w:t>
      </w:r>
      <w:r w:rsidRPr="00BB5DE9">
        <w:rPr>
          <w:rStyle w:val="HideTWBExt"/>
          <w:lang w:val="it-IT"/>
        </w:rPr>
        <w:t>&lt;/Depute&gt;</w:t>
      </w:r>
    </w:p>
    <w:p w:rsidR="00AE735B" w:rsidRPr="00BB5DE9" w:rsidP="00AE735B" w14:paraId="4B022136" w14:textId="77777777"/>
    <w:p w:rsidR="00AE735B" w:rsidRPr="00BB5DE9" w:rsidP="00BB2AC1" w14:paraId="2BC0E312" w14:textId="40AC08DA">
      <w:pPr>
        <w:widowControl/>
        <w:tabs>
          <w:tab w:val="center" w:pos="4677"/>
        </w:tabs>
      </w:pPr>
    </w:p>
    <w:p w:rsidR="00AE735B" w:rsidRPr="00BB5DE9" w:rsidP="003E06CF" w14:paraId="21D3E3D6" w14:textId="476D95FE">
      <w:pPr>
        <w:pStyle w:val="PageHeadingNotTOC"/>
      </w:pPr>
      <w:r w:rsidRPr="00BB5DE9">
        <w:t>PARERE</w:t>
      </w:r>
    </w:p>
    <w:p w:rsidR="00AE735B" w:rsidRPr="00BB5DE9" w:rsidP="00395977" w14:paraId="58D8485B" w14:textId="77777777">
      <w:pPr>
        <w:pStyle w:val="Normal12a"/>
        <w:rPr>
          <w:lang w:val="it-IT"/>
        </w:rPr>
      </w:pPr>
      <w:r w:rsidRPr="00BB5DE9">
        <w:rPr>
          <w:lang w:val="it-IT"/>
        </w:rPr>
        <w:t>La commissione per l'ambiente, il clima e la sicurezza alimentare invita la commissione per i bilanci, competente per il merito, a includere nella proposta di risoluzione che approverà quanto segue:</w:t>
      </w:r>
    </w:p>
    <w:p w:rsidR="00AE735B" w:rsidRPr="00BB5DE9" w:rsidP="00395977" w14:paraId="7C5CAD10" w14:textId="77777777">
      <w:pPr>
        <w:pStyle w:val="NormalHanging12a"/>
      </w:pPr>
      <w:r w:rsidRPr="00BB5DE9">
        <w:t>1.</w:t>
      </w:r>
      <w:r w:rsidRPr="00BB5DE9">
        <w:tab/>
        <w:t>sottolinea che il bilancio 2027 è l'ultimo bilancio annuale del QFP 2021-2027 e deve privilegiare e utilizzare al meglio nonché in modo trasparente le risorse al fine di conseguire gli obiettivi dell'Unione in materia di clima, ambiente, biodiversità, inquinamento zero e sistema alimentare sostenibile, salvaguardando nel contempo la competitività e l'innovazione nell'Unione;</w:t>
      </w:r>
    </w:p>
    <w:p w:rsidR="00AE735B" w:rsidRPr="00BB5DE9" w:rsidP="00395977" w14:paraId="0A682F22" w14:textId="77777777">
      <w:pPr>
        <w:pStyle w:val="NormalHanging12a"/>
      </w:pPr>
      <w:r w:rsidRPr="00BB5DE9">
        <w:t>2.</w:t>
      </w:r>
      <w:r w:rsidRPr="00BB5DE9">
        <w:tab/>
        <w:t>sottolinea che il progetto di bilancio 2027 dovrebbe prevedere i finanziamenti necessari per le priorità concordate dell'Unione per quanto riguarda gli obiettivi climatici e ambientali e la duplice transizione giusta, incoraggiando in tal modo la crescita economica, la competitività dell'Unione, la creazione di posti di lavoro, la transizione energetica, tenendo conto delle differenze nazionali e regionali nonché dello sviluppo e della stabilità ambientali, economici e sociali nell'Unione;</w:t>
      </w:r>
    </w:p>
    <w:p w:rsidR="00AE735B" w:rsidRPr="00BB5DE9" w:rsidP="00395977" w14:paraId="59E4E99E" w14:textId="77777777">
      <w:pPr>
        <w:pStyle w:val="NormalHanging12a"/>
      </w:pPr>
      <w:r w:rsidRPr="00BB5DE9">
        <w:t>3.</w:t>
      </w:r>
      <w:r w:rsidRPr="00BB5DE9">
        <w:tab/>
        <w:t>chiede che tali risorse diano priorità all'azione per il clima, alla mitigazione dei cambiamenti climatici, all'adattamento agli stessi e alla preparazione ai rischi connessi, al ripristino della natura, alla tutela della biodiversità, alla prevenzione e alla riduzione dell'inquinamento, alla circolarità, alla qualità dell'acqua e alla resilienza idrica, alla salute del suolo nonché alla sicurezza e alla sostenibilità alimentare; sottolinea l'importanza di garantire azioni mirate ed efficaci sotto il profilo dei costi che massimizzino l'impatto al fine di contribuire alla prosperità e alla resilienza dell'Unione;</w:t>
      </w:r>
    </w:p>
    <w:p w:rsidR="00AE735B" w:rsidRPr="00BB5DE9" w:rsidP="00395977" w14:paraId="3DE32A11" w14:textId="77777777">
      <w:pPr>
        <w:pStyle w:val="NormalHanging12a"/>
      </w:pPr>
      <w:r w:rsidRPr="00BB5DE9">
        <w:t>4.</w:t>
      </w:r>
      <w:r w:rsidRPr="00BB5DE9">
        <w:tab/>
        <w:t xml:space="preserve">ricorda gli accordi e gli impegni internazionali dell'Unione e il suo quadro giuridico in materia di clima e ambiente e sottolinea che il bilancio dell'UE deve rispecchiare tali impegni sostenendo l'accelerazione della transizione verde giusta, l'adattamento ai cambiamenti climatici e la mitigazione degli stessi, le energie rinnovabili, l'efficienza </w:t>
      </w:r>
      <w:r w:rsidRPr="00BB5DE9">
        <w:t>energetica, l'economia circolare, il ripristino della natura e la tutela della biodiversità, la prevenzione e la riduzione dell'inquinamento nonché l'accelerazione dell'eliminazione graduale dei combustibili fossili;</w:t>
      </w:r>
    </w:p>
    <w:p w:rsidR="00AE735B" w:rsidRPr="00BB5DE9" w:rsidP="00395977" w14:paraId="4ED19595" w14:textId="77777777">
      <w:pPr>
        <w:pStyle w:val="NormalHanging12a"/>
      </w:pPr>
      <w:r w:rsidRPr="00BB5DE9">
        <w:t>5.</w:t>
      </w:r>
      <w:r w:rsidRPr="00BB5DE9">
        <w:tab/>
        <w:t>sottolinea che l'impegno a destinare almeno il 30 % del QFP all'azione per il clima deve essere onorato e monitorato in modo trasparente; deplora che la spesa per la biodiversità rimanga al di sotto dell'ambizione del 10 % per il 2027 e invita la Commissione e gli Stati membri a riorientare gli impegni verso misure pertinenti per la biodiversità al fine di conseguire tale obiettivo; insiste sulla necessità di un impiego trasparente ed efficiente dei fondi per massimizzare l'impatto, riducendo nel contempo gli oneri amministrativi superflui a carico dei beneficiari;</w:t>
      </w:r>
    </w:p>
    <w:p w:rsidR="00AE735B" w:rsidRPr="00BB5DE9" w:rsidP="00395977" w14:paraId="596452F0" w14:textId="77777777">
      <w:pPr>
        <w:pStyle w:val="NormalHanging12a"/>
      </w:pPr>
      <w:r w:rsidRPr="00BB5DE9">
        <w:t>6.</w:t>
      </w:r>
      <w:r w:rsidRPr="00BB5DE9">
        <w:tab/>
        <w:t>rammenta che il Green Deal europeo contribuisce a rafforzare la competitività dell'Unione e a promuovere la transizione verso un'economia sostenibile e climaticamente neutra, attraverso iniziative chiave quali il patto per l'industria pulita; sottolinea l'importanza della coerenza di bilancio per conseguire gli obiettivi climatici dell'Unione e salvaguardare la competitività a lungo termine, in particolare attraverso il sostegno all'innovazione pulita e alla decarbonizzazione industriale, che comprende l'eliminazione graduale dei sussidi per i combustibili fossili e di altri sussidi nocivi per l'ambiente conformemente all'8º programma d'azione per l'ambiente;</w:t>
      </w:r>
    </w:p>
    <w:p w:rsidR="00AE735B" w:rsidRPr="00BB5DE9" w:rsidP="00395977" w14:paraId="78CEAAE8" w14:textId="77777777">
      <w:pPr>
        <w:pStyle w:val="NormalHanging12a"/>
      </w:pPr>
      <w:r w:rsidRPr="00BB5DE9">
        <w:t>7.</w:t>
      </w:r>
      <w:r w:rsidRPr="00BB5DE9">
        <w:tab/>
      </w:r>
      <w:bookmarkStart w:id="19" w:name="_Hlk232526430"/>
      <w:r w:rsidRPr="00BB5DE9">
        <w:t>osserva che il programma LIFE consegue risultati ambientali sul campo e sostiene le autorità locali e regionali, le organizzazioni della società civile e altri portatori di interessi, e, a fronte delle emergenze in materia di clima e biodiversità, chiede risorse aggiuntive per LIFE e, in particolare, per la componente biodiversità, sottolineando nel contempo l'importanza della continuità della comunicazione, della visibilità e della trasparenza dei progetti finanziati dall'Unione; chiede, in tale contesto, finanziamenti costanti per i progetti transfrontalieri di tutela della biodiversità, in particolare nelle regioni di alto valore biologico ma esposte alle pressioni derivanti dai cambiamenti climatici e dalle attività umane;</w:t>
      </w:r>
      <w:bookmarkEnd w:id="19"/>
    </w:p>
    <w:p w:rsidR="00AE735B" w:rsidRPr="00BB5DE9" w:rsidP="00395977" w14:paraId="2B7F91CD" w14:textId="77777777">
      <w:pPr>
        <w:pStyle w:val="NormalHanging12a"/>
      </w:pPr>
      <w:r w:rsidRPr="00BB5DE9">
        <w:t>8.</w:t>
      </w:r>
      <w:r w:rsidRPr="00BB5DE9">
        <w:tab/>
        <w:t>sottolinea la necessità di rafforzare gli impegni per la transizione verso un ambiente privo di sostanze tossiche, compresa la rapida eliminazione delle sostanze estremamente preoccupanti, comprese le sostanze per- e polifluoroalchiliche (PFAS), associate a effetti nocivi sulla salute umana e sull'ambiente, sulla base di prove scientifiche, consentendone l'uso qualora non esistano alternative sicure, e gli impegni per la prevenzione, il riutilizzo, la riparazione e il riciclaggio dei rifiuti nonché per misure di resilienza idrica, tra cui l'efficienza, la riduzione delle perdite, il riutilizzo e le soluzioni basate sulla natura, così come il rafforzamento, la corretta applicazione e l'armonizzazione dell'applicazione del principio "chi inquina paga"; ricorda, a tale proposito, l'importanza di applicare la responsabilità estesa del produttore, se del caso;</w:t>
      </w:r>
    </w:p>
    <w:p w:rsidR="00AE735B" w:rsidRPr="00BB5DE9" w:rsidP="00395977" w14:paraId="58092157" w14:textId="77777777">
      <w:pPr>
        <w:pStyle w:val="NormalHanging12a"/>
      </w:pPr>
      <w:r w:rsidRPr="00BB5DE9">
        <w:t>9.</w:t>
      </w:r>
      <w:r w:rsidRPr="00BB5DE9">
        <w:tab/>
        <w:t xml:space="preserve">sottolinea la necessità di intensificare gli sforzi per prevenire e ridurre l'inquinamento idrico che colpisce sia le acque superficiali, compresi i fiumi, sia le risorse idriche sotterranee e chiede investimenti adeguati per garantire la disponibilità a lungo termine di acqua pulita, sicura e a prezzi accessibili per tutti, in linea con gli obiettivi della strategia dell'UE sulla resilienza idrica e con l'attuazione della direttiva quadro sulle acque, migliorando nel contempo il monitoraggio della qualità dell'acqua, il controllo </w:t>
      </w:r>
      <w:r w:rsidRPr="00BB5DE9">
        <w:t>dell'inquinamento, la protezione degli ecosistemi e la gestione sostenibile delle risorse idriche; chiede un maggiore sostegno agli Stati membri per finanziare l'efficienza idrica, ridurre al minimo le perdite, massimizzare la raccolta e assicurare la disponibilità di acqua pulita per il fabbisogno dell'Unione, con particolare attenzione alle diverse esigenze degli Stati membri, segnatamente di quelli che si trovano ad affrontare una grave carenza idrica;</w:t>
      </w:r>
    </w:p>
    <w:p w:rsidR="00AE735B" w:rsidRPr="00BB5DE9" w:rsidP="00395977" w14:paraId="7150E576" w14:textId="77777777">
      <w:pPr>
        <w:pStyle w:val="NormalHanging12a"/>
      </w:pPr>
      <w:r w:rsidRPr="00BB5DE9">
        <w:t>10.</w:t>
      </w:r>
      <w:r w:rsidRPr="00BB5DE9">
        <w:tab/>
        <w:t>chiede un sostegno più forte e mirato agli sforzi per una transizione giusta delle regioni, delle famiglie e dei lavoratori più colpiti attraverso il Fondo per una transizione giusta, il Fondo sociale per il clima e gli investimenti di coesione pertinenti per il clima, affinché nessuna regione o comunità sia lasciata indietro nella transizione verso un'economia sostenibile e climaticamente neutra, salvaguardando nel contempo la competitività dell'economia dell'Unione;</w:t>
      </w:r>
    </w:p>
    <w:p w:rsidR="00AE735B" w:rsidRPr="00BB5DE9" w:rsidP="00395977" w14:paraId="477FDE6C" w14:textId="77777777">
      <w:pPr>
        <w:pStyle w:val="NormalHanging12a"/>
      </w:pPr>
      <w:r w:rsidRPr="00BB5DE9">
        <w:t>11.</w:t>
      </w:r>
      <w:r w:rsidRPr="00BB5DE9">
        <w:tab/>
        <w:t>sottolinea l'importanza di rafforzare il meccanismo di protezione civile dell'Unione e rescEU per meglio affrontare i crescenti effetti dei cambiamenti climatici, alla luce della maggiore frequenza e gravità di catastrofi ed eventi climatici quali inondazioni, ondate di calore, siccità e incendi boschivi, in particolare per le regioni d'Europa duramente colpite; rimarca la necessità di migliorare la prevenzione e la preparazione alle catastrofi, dando priorità a soluzioni sostenibili e a lungo termine, rafforzando nel contempo le capacità di risposta rapida, il coordinamento e la preparazione transfrontaliera; evidenzia che sono necessari maggiori investimenti nella prevenzione e nell'individuazione precoce delle catastrofi e sottolinea che ciò contribuisce a proteggere vite umane e risulta più efficiente degli interventi in risposta alle crisi;</w:t>
      </w:r>
    </w:p>
    <w:p w:rsidR="00AE735B" w:rsidRPr="00BB5DE9" w:rsidP="00395977" w14:paraId="0F84A722" w14:textId="77777777">
      <w:pPr>
        <w:pStyle w:val="NormalHanging12a"/>
      </w:pPr>
      <w:r w:rsidRPr="00BB5DE9">
        <w:t>12.</w:t>
      </w:r>
      <w:r w:rsidRPr="00BB5DE9">
        <w:tab/>
        <w:t>riconosce il ruolo fondamentale delle agenzie dell'Unione di competenza della commissione per l'ambiente, il clima e la sicurezza alimentare, segnatamente l'Agenzia europea dell'ambiente (AEA), l'Agenzia europea per le sostanze chimiche (ECHA) e l'Autorità europea per la sicurezza alimentare (EFSA) nell'elaborazione di politiche dell'Unione basate su dati scientifici; chiede un sostegno e risorse umane adeguati per i servizi della Commissione e le agenzie dell'Unione nei settori del clima, dell'ambiente e della biodiversità, affinché la legislazione adottata in materia di clima, ambiente, biodiversità, sostanze chimiche e sicurezza alimentare possa essere attuata e sostenuta da pareri scientifici indipendenti, e chiede in particolare di rafforzare l'EFSA, per smaltire l'attuale arretrato in materia di rinnovi, e l'AEA, anche per sostenere ulteriormente i lavori in materia di adattamento e resilienza ai cambiamenti climatici di fronte alla maggiore frequenza degli eventi climatici estremi; sottolinea la necessità che le agenzie dell'Unione, oltre alle competenze scientifiche, rafforzino ulteriormente le loro capacità di comunicazione pubblica e di lotta alla disinformazione in materia di cambiamenti climatici, salute e sicurezza alimentare, al fine di rafforzare la fiducia dei cittadini e la resilienza della società alla misinformazione;</w:t>
      </w:r>
    </w:p>
    <w:p w:rsidR="00AE735B" w:rsidRPr="00BB5DE9" w:rsidP="00395977" w14:paraId="6F0C8B48" w14:textId="77777777">
      <w:pPr>
        <w:pStyle w:val="NormalHanging12a"/>
      </w:pPr>
      <w:r w:rsidRPr="00BB5DE9">
        <w:t>13.</w:t>
      </w:r>
      <w:r w:rsidRPr="00BB5DE9">
        <w:tab/>
        <w:t>chiede la rapida attuazione di progetti pilota e azioni preparatorie relativi agli obiettivi in materia di clima, ambiente e biodiversità, nonché il proseguimento dei progetti pilota e delle azioni preparatorie già esistenti e ad alto impatto per i quali sia stato richiesto un rinnovo;</w:t>
      </w:r>
    </w:p>
    <w:p w:rsidR="00AE735B" w:rsidRPr="00BB5DE9" w:rsidP="00395977" w14:paraId="4F483162" w14:textId="77777777">
      <w:pPr>
        <w:pStyle w:val="NormalHanging12a"/>
      </w:pPr>
      <w:r w:rsidRPr="00BB5DE9">
        <w:t>14.</w:t>
      </w:r>
      <w:r w:rsidRPr="00BB5DE9">
        <w:tab/>
        <w:t xml:space="preserve">sottolinea la necessità di sviluppare ulteriormente e applicare strumenti di valutazione </w:t>
      </w:r>
      <w:r w:rsidRPr="00BB5DE9">
        <w:t>dell'impatto ambientale e sanitario nell'ambito del bilancio dell'Unione, garantendo così che la spesa per il 2027 contribuisca alla sostenibilità, alla prevenzione dell'inquinamento e alla resilienza ai cambiamenti climatici; chiede meccanismi rafforzati di monitoraggio e trasparenza per misurare l'efficacia ecologica dei finanziamenti dell'Unione.</w:t>
      </w:r>
    </w:p>
    <w:p w:rsidR="00AE735B" w:rsidRPr="00BB5DE9" w:rsidP="00395977" w14:paraId="1F9B498E" w14:textId="77777777">
      <w:pPr>
        <w:pStyle w:val="Normal12a"/>
        <w:rPr>
          <w:lang w:val="it-IT"/>
        </w:rPr>
        <w:sectPr w:rsidSect="00AE735B">
          <w:headerReference w:type="even" r:id="rId29"/>
          <w:headerReference w:type="default" r:id="rId30"/>
          <w:headerReference w:type="first" r:id="rId31"/>
          <w:footerReference w:type="first" r:id="rId32"/>
          <w:footnotePr>
            <w:numRestart w:val="eachSect"/>
          </w:footnotePr>
          <w:endnotePr>
            <w:numFmt w:val="decimal"/>
          </w:endnotePr>
          <w:pgSz w:w="11906" w:h="16838" w:code="9"/>
          <w:pgMar w:top="1134" w:right="1418" w:bottom="1134" w:left="1418" w:header="1134" w:footer="567" w:gutter="0"/>
          <w:cols w:space="720"/>
          <w:noEndnote/>
          <w:docGrid w:linePitch="326"/>
        </w:sectPr>
      </w:pPr>
    </w:p>
    <w:p w:rsidR="00AE735B" w:rsidRPr="00BB5DE9" w14:paraId="236194F8" w14:textId="77777777">
      <w:pPr>
        <w:widowControl/>
      </w:pPr>
    </w:p>
    <w:p w:rsidR="00AE735B" w:rsidRPr="00BB5DE9" w:rsidP="002B2C72" w14:paraId="719CB366" w14:textId="77777777">
      <w:pPr>
        <w:pStyle w:val="PageHeadingNotTOC"/>
      </w:pPr>
      <w:r w:rsidRPr="00BB5DE9">
        <w:t>ALLEGATO: DICHIARAZIONE DEI CONTRIBUTI</w:t>
      </w:r>
    </w:p>
    <w:p w:rsidR="00AE735B" w:rsidRPr="00BB5DE9" w:rsidP="00037518" w14:paraId="239B50EF" w14:textId="77777777">
      <w:pPr>
        <w:pStyle w:val="Normal24a"/>
        <w:rPr>
          <w:lang w:val="it-IT"/>
        </w:rPr>
      </w:pPr>
      <w:r w:rsidRPr="00BB5DE9">
        <w:rPr>
          <w:rStyle w:val="HideTWBExt"/>
          <w:lang w:val="it-IT"/>
        </w:rPr>
        <w:t>&lt;FootprintIntro&gt;</w:t>
      </w:r>
      <w:r w:rsidRPr="00BB5DE9">
        <w:rPr>
          <w:lang w:val="it-IT"/>
        </w:rPr>
        <w:t>Il presidente nella sua qualità di relatore per parere dichiara, sotto la sua esclusiva responsabilità, di non aver incluso nel suo parere alcun contributo di rappresentanti di interessi che rientrano nell'ambito di applicazione dell'accordo interistituzionale su un registro per la trasparenza obbligatorio</w:t>
      </w:r>
      <w:r>
        <w:rPr>
          <w:rStyle w:val="FootnoteReference"/>
          <w:lang w:val="it-IT"/>
        </w:rPr>
        <w:footnoteReference w:id="23"/>
      </w:r>
      <w:r w:rsidRPr="00BB5DE9">
        <w:rPr>
          <w:lang w:val="it-IT"/>
        </w:rPr>
        <w:t>, o di rappresentanti delle pubbliche autorità di paesi terzi, incluse le loro missioni diplomatiche e ambasciate, da enumerare nel presente allegato in virtù dell'allegato I, articolo 8, del regolamento.</w:t>
      </w:r>
      <w:r w:rsidRPr="00BB5DE9">
        <w:rPr>
          <w:rStyle w:val="HideTWBExt"/>
          <w:lang w:val="it-IT"/>
        </w:rPr>
        <w:t>&lt;/FootprintIntro&gt;</w:t>
      </w:r>
    </w:p>
    <w:p w:rsidR="00AE735B" w:rsidRPr="00BB5DE9" w:rsidP="00735F18" w14:paraId="187CA47D" w14:textId="77777777">
      <w:pPr>
        <w:pStyle w:val="NormalHanging12a"/>
      </w:pPr>
    </w:p>
    <w:p w:rsidR="00AE735B" w:rsidRPr="00BB5DE9" w:rsidP="00735F18" w14:paraId="00BF03B7" w14:textId="77777777">
      <w:pPr>
        <w:sectPr w:rsidSect="00AE735B">
          <w:footnotePr>
            <w:numRestart w:val="eachSect"/>
          </w:footnotePr>
          <w:endnotePr>
            <w:numFmt w:val="decimal"/>
          </w:endnotePr>
          <w:pgSz w:w="11906" w:h="16838" w:code="9"/>
          <w:pgMar w:top="1134" w:right="1418" w:bottom="1418" w:left="1418" w:header="1134" w:footer="567" w:gutter="0"/>
          <w:cols w:space="720"/>
          <w:noEndnote/>
          <w:docGrid w:linePitch="326"/>
        </w:sectPr>
      </w:pPr>
    </w:p>
    <w:p w:rsidR="00AE735B" w:rsidRPr="00BB5DE9" w:rsidP="00735F18" w14:paraId="3AFE2EB7" w14:textId="77777777">
      <w:pPr>
        <w:pStyle w:val="PageHeadingNotTOC"/>
      </w:pPr>
      <w:r w:rsidRPr="00BB5DE9">
        <w:t>INFORMAZIONI SULL’APPROVAZIONE</w:t>
      </w:r>
      <w:r w:rsidRPr="00BB5DE9">
        <w:br/>
        <w:t>DA PARTE DELLA COMMISSIONE COMPETENTE PER PARERE</w:t>
      </w:r>
    </w:p>
    <w:tbl>
      <w:tblPr>
        <w:tblW w:w="0" w:type="auto"/>
        <w:tblInd w:w="-10" w:type="dxa"/>
        <w:tblLayout w:type="fixed"/>
        <w:tblCellMar>
          <w:left w:w="0" w:type="dxa"/>
          <w:right w:w="0" w:type="dxa"/>
        </w:tblCellMar>
        <w:tblLook w:val="0000"/>
      </w:tblPr>
      <w:tblGrid>
        <w:gridCol w:w="3685"/>
        <w:gridCol w:w="1530"/>
        <w:gridCol w:w="1474"/>
        <w:gridCol w:w="1474"/>
        <w:gridCol w:w="1474"/>
      </w:tblGrid>
      <w:tr w14:paraId="57D25C74" w14:textId="77777777">
        <w:tblPrEx>
          <w:tblW w:w="0" w:type="auto"/>
          <w:tblInd w:w="-10" w:type="dxa"/>
          <w:tblLayout w:type="fixed"/>
          <w:tblCellMar>
            <w:left w:w="0" w:type="dxa"/>
            <w:right w:w="0" w:type="dxa"/>
          </w:tblCellMar>
          <w:tblLook w:val="0000"/>
        </w:tblPrEx>
        <w:tc>
          <w:tcPr>
            <w:tcW w:w="3685" w:type="dxa"/>
            <w:tcBorders>
              <w:top w:val="single" w:sz="8" w:space="0" w:color="000000"/>
              <w:left w:val="single" w:sz="8" w:space="0" w:color="000000"/>
              <w:bottom w:val="single" w:sz="8" w:space="0" w:color="000000"/>
              <w:right w:val="single" w:sz="8" w:space="0" w:color="000000"/>
            </w:tcBorders>
            <w:tcMar>
              <w:top w:w="79" w:type="dxa"/>
              <w:left w:w="79" w:type="dxa"/>
              <w:bottom w:w="79" w:type="dxa"/>
              <w:right w:w="79" w:type="dxa"/>
            </w:tcMar>
          </w:tcPr>
          <w:p w:rsidR="00AE735B" w:rsidRPr="00BB5DE9" w14:paraId="4452F4E7" w14:textId="77777777">
            <w:pPr>
              <w:autoSpaceDE w:val="0"/>
              <w:autoSpaceDN w:val="0"/>
              <w:adjustRightInd w:val="0"/>
              <w:rPr>
                <w:b/>
                <w:bCs/>
                <w:color w:val="000000"/>
                <w:sz w:val="20"/>
              </w:rPr>
            </w:pPr>
            <w:r w:rsidRPr="00BB5DE9">
              <w:rPr>
                <w:b/>
                <w:color w:val="000000"/>
                <w:sz w:val="20"/>
              </w:rPr>
              <w:t>Approvazione</w:t>
            </w:r>
          </w:p>
        </w:tc>
        <w:tc>
          <w:tcPr>
            <w:tcW w:w="1530" w:type="dxa"/>
            <w:tcBorders>
              <w:top w:val="single" w:sz="8" w:space="0" w:color="000000"/>
              <w:left w:val="nil"/>
              <w:bottom w:val="single" w:sz="8" w:space="0" w:color="000000"/>
              <w:right w:val="nil"/>
            </w:tcBorders>
            <w:tcMar>
              <w:top w:w="79" w:type="dxa"/>
              <w:left w:w="79" w:type="dxa"/>
              <w:bottom w:w="79" w:type="dxa"/>
              <w:right w:w="79" w:type="dxa"/>
            </w:tcMar>
          </w:tcPr>
          <w:p w:rsidR="00AE735B" w:rsidRPr="00BB5DE9" w14:paraId="3D8A1FBB" w14:textId="77777777">
            <w:pPr>
              <w:autoSpaceDE w:val="0"/>
              <w:autoSpaceDN w:val="0"/>
              <w:adjustRightInd w:val="0"/>
              <w:rPr>
                <w:color w:val="000000"/>
                <w:sz w:val="20"/>
              </w:rPr>
            </w:pPr>
            <w:r w:rsidRPr="00BB5DE9">
              <w:rPr>
                <w:color w:val="000000"/>
                <w:sz w:val="20"/>
              </w:rPr>
              <w:t>1.9.2026</w:t>
            </w:r>
          </w:p>
        </w:tc>
        <w:tc>
          <w:tcPr>
            <w:tcW w:w="1474" w:type="dxa"/>
            <w:tcBorders>
              <w:top w:val="single" w:sz="8" w:space="0" w:color="000000"/>
              <w:left w:val="nil"/>
              <w:bottom w:val="single" w:sz="8" w:space="0" w:color="000000"/>
              <w:right w:val="nil"/>
            </w:tcBorders>
            <w:tcMar>
              <w:top w:w="79" w:type="dxa"/>
              <w:left w:w="79" w:type="dxa"/>
              <w:bottom w:w="79" w:type="dxa"/>
              <w:right w:w="79" w:type="dxa"/>
            </w:tcMar>
          </w:tcPr>
          <w:p w:rsidR="00AE735B" w:rsidRPr="00BB5DE9" w14:paraId="76F00C4B" w14:textId="77777777">
            <w:pPr>
              <w:autoSpaceDE w:val="0"/>
              <w:autoSpaceDN w:val="0"/>
              <w:adjustRightInd w:val="0"/>
              <w:rPr>
                <w:rFonts w:ascii="sans-serif" w:hAnsi="sans-serif" w:cs="sans-serif"/>
                <w:color w:val="000000"/>
              </w:rPr>
            </w:pPr>
          </w:p>
        </w:tc>
        <w:tc>
          <w:tcPr>
            <w:tcW w:w="1474" w:type="dxa"/>
            <w:tcBorders>
              <w:top w:val="single" w:sz="8" w:space="0" w:color="000000"/>
              <w:left w:val="nil"/>
              <w:bottom w:val="single" w:sz="8" w:space="0" w:color="000000"/>
              <w:right w:val="nil"/>
            </w:tcBorders>
            <w:tcMar>
              <w:top w:w="79" w:type="dxa"/>
              <w:left w:w="79" w:type="dxa"/>
              <w:bottom w:w="79" w:type="dxa"/>
              <w:right w:w="79" w:type="dxa"/>
            </w:tcMar>
          </w:tcPr>
          <w:p w:rsidR="00AE735B" w:rsidRPr="00BB5DE9" w14:paraId="72147E66" w14:textId="77777777">
            <w:pPr>
              <w:autoSpaceDE w:val="0"/>
              <w:autoSpaceDN w:val="0"/>
              <w:adjustRightInd w:val="0"/>
              <w:rPr>
                <w:rFonts w:ascii="sans-serif" w:hAnsi="sans-serif" w:cs="sans-serif"/>
                <w:color w:val="000000"/>
              </w:rPr>
            </w:pPr>
          </w:p>
        </w:tc>
        <w:tc>
          <w:tcPr>
            <w:tcW w:w="1474" w:type="dxa"/>
            <w:tcBorders>
              <w:top w:val="single" w:sz="8" w:space="0" w:color="000000"/>
              <w:left w:val="nil"/>
              <w:bottom w:val="single" w:sz="8" w:space="0" w:color="000000"/>
              <w:right w:val="single" w:sz="8" w:space="0" w:color="000000"/>
            </w:tcBorders>
            <w:tcMar>
              <w:top w:w="79" w:type="dxa"/>
              <w:left w:w="79" w:type="dxa"/>
              <w:bottom w:w="79" w:type="dxa"/>
              <w:right w:w="79" w:type="dxa"/>
            </w:tcMar>
          </w:tcPr>
          <w:p w:rsidR="00AE735B" w:rsidRPr="00BB5DE9" w14:paraId="1741F14A" w14:textId="77777777">
            <w:pPr>
              <w:autoSpaceDE w:val="0"/>
              <w:autoSpaceDN w:val="0"/>
              <w:adjustRightInd w:val="0"/>
              <w:rPr>
                <w:rFonts w:ascii="sans-serif" w:hAnsi="sans-serif" w:cs="sans-serif"/>
                <w:color w:val="000000"/>
              </w:rPr>
            </w:pPr>
          </w:p>
        </w:tc>
      </w:tr>
      <w:tr w14:paraId="7B3F3350" w14:textId="77777777">
        <w:tblPrEx>
          <w:tblW w:w="0" w:type="auto"/>
          <w:tblInd w:w="-10" w:type="dxa"/>
          <w:tblLayout w:type="fixed"/>
          <w:tblCellMar>
            <w:left w:w="0" w:type="dxa"/>
            <w:right w:w="0" w:type="dxa"/>
          </w:tblCellMar>
          <w:tblLook w:val="0000"/>
        </w:tblPrEx>
        <w:tc>
          <w:tcPr>
            <w:tcW w:w="3685" w:type="dxa"/>
            <w:tcBorders>
              <w:top w:val="single" w:sz="8" w:space="0" w:color="000000"/>
              <w:left w:val="single" w:sz="8" w:space="0" w:color="000000"/>
              <w:bottom w:val="single" w:sz="8" w:space="0" w:color="000000"/>
              <w:right w:val="single" w:sz="8" w:space="0" w:color="000000"/>
            </w:tcBorders>
            <w:tcMar>
              <w:top w:w="79" w:type="dxa"/>
              <w:left w:w="79" w:type="dxa"/>
              <w:bottom w:w="79" w:type="dxa"/>
              <w:right w:w="79" w:type="dxa"/>
            </w:tcMar>
          </w:tcPr>
          <w:p w:rsidR="00AE735B" w:rsidRPr="00BB5DE9" w14:paraId="3C31AD4D" w14:textId="77777777">
            <w:pPr>
              <w:autoSpaceDE w:val="0"/>
              <w:autoSpaceDN w:val="0"/>
              <w:adjustRightInd w:val="0"/>
              <w:rPr>
                <w:b/>
                <w:bCs/>
                <w:color w:val="000000"/>
                <w:sz w:val="20"/>
              </w:rPr>
            </w:pPr>
            <w:r w:rsidRPr="00BB5DE9">
              <w:rPr>
                <w:b/>
                <w:color w:val="000000"/>
                <w:sz w:val="20"/>
              </w:rPr>
              <w:t>Esito della votazione finale</w:t>
            </w:r>
          </w:p>
        </w:tc>
        <w:tc>
          <w:tcPr>
            <w:tcW w:w="1530" w:type="dxa"/>
            <w:tcBorders>
              <w:top w:val="single" w:sz="8" w:space="0" w:color="000000"/>
              <w:left w:val="nil"/>
              <w:bottom w:val="single" w:sz="8" w:space="0" w:color="000000"/>
              <w:right w:val="nil"/>
            </w:tcBorders>
            <w:tcMar>
              <w:top w:w="79" w:type="dxa"/>
              <w:left w:w="79" w:type="dxa"/>
              <w:bottom w:w="79" w:type="dxa"/>
              <w:right w:w="79" w:type="dxa"/>
            </w:tcMar>
          </w:tcPr>
          <w:p w:rsidR="00AE735B" w:rsidRPr="00BB5DE9" w14:paraId="58D230AC" w14:textId="77777777">
            <w:pPr>
              <w:autoSpaceDE w:val="0"/>
              <w:autoSpaceDN w:val="0"/>
              <w:adjustRightInd w:val="0"/>
              <w:rPr>
                <w:color w:val="000000"/>
                <w:sz w:val="20"/>
              </w:rPr>
            </w:pPr>
            <w:r w:rsidRPr="00BB5DE9">
              <w:rPr>
                <w:color w:val="000000"/>
                <w:sz w:val="20"/>
              </w:rPr>
              <w:t>+:</w:t>
            </w:r>
          </w:p>
          <w:p w:rsidR="00AE735B" w:rsidRPr="00BB5DE9" w14:paraId="12A21E30" w14:textId="77777777">
            <w:pPr>
              <w:autoSpaceDE w:val="0"/>
              <w:autoSpaceDN w:val="0"/>
              <w:adjustRightInd w:val="0"/>
              <w:rPr>
                <w:color w:val="000000"/>
                <w:sz w:val="20"/>
              </w:rPr>
            </w:pPr>
            <w:r w:rsidRPr="00BB5DE9">
              <w:rPr>
                <w:color w:val="000000"/>
                <w:sz w:val="20"/>
              </w:rPr>
              <w:t>–:</w:t>
            </w:r>
          </w:p>
          <w:p w:rsidR="00AE735B" w:rsidRPr="00BB5DE9" w14:paraId="706CD9E5" w14:textId="77777777">
            <w:pPr>
              <w:autoSpaceDE w:val="0"/>
              <w:autoSpaceDN w:val="0"/>
              <w:adjustRightInd w:val="0"/>
              <w:rPr>
                <w:color w:val="000000"/>
                <w:sz w:val="20"/>
              </w:rPr>
            </w:pPr>
            <w:r w:rsidRPr="00BB5DE9">
              <w:rPr>
                <w:color w:val="000000"/>
                <w:sz w:val="20"/>
              </w:rPr>
              <w:t>0:</w:t>
            </w:r>
          </w:p>
        </w:tc>
        <w:tc>
          <w:tcPr>
            <w:tcW w:w="4422" w:type="dxa"/>
            <w:gridSpan w:val="3"/>
            <w:tcBorders>
              <w:top w:val="single" w:sz="8" w:space="0" w:color="000000"/>
              <w:left w:val="nil"/>
              <w:bottom w:val="single" w:sz="8" w:space="0" w:color="000000"/>
              <w:right w:val="single" w:sz="8" w:space="0" w:color="000000"/>
            </w:tcBorders>
            <w:tcMar>
              <w:top w:w="79" w:type="dxa"/>
              <w:left w:w="79" w:type="dxa"/>
              <w:bottom w:w="79" w:type="dxa"/>
              <w:right w:w="79" w:type="dxa"/>
            </w:tcMar>
          </w:tcPr>
          <w:p w:rsidR="00AE735B" w:rsidRPr="00BB5DE9" w14:paraId="1AF02AD1" w14:textId="77777777">
            <w:pPr>
              <w:autoSpaceDE w:val="0"/>
              <w:autoSpaceDN w:val="0"/>
              <w:adjustRightInd w:val="0"/>
              <w:rPr>
                <w:color w:val="000000"/>
                <w:sz w:val="20"/>
              </w:rPr>
            </w:pPr>
            <w:r w:rsidRPr="00BB5DE9">
              <w:rPr>
                <w:color w:val="000000"/>
                <w:sz w:val="20"/>
              </w:rPr>
              <w:t>48</w:t>
            </w:r>
          </w:p>
          <w:p w:rsidR="00AE735B" w:rsidRPr="00BB5DE9" w14:paraId="0AA75AE3" w14:textId="77777777">
            <w:pPr>
              <w:autoSpaceDE w:val="0"/>
              <w:autoSpaceDN w:val="0"/>
              <w:adjustRightInd w:val="0"/>
              <w:rPr>
                <w:color w:val="000000"/>
                <w:sz w:val="20"/>
              </w:rPr>
            </w:pPr>
            <w:r w:rsidRPr="00BB5DE9">
              <w:rPr>
                <w:color w:val="000000"/>
                <w:sz w:val="20"/>
              </w:rPr>
              <w:t>20</w:t>
            </w:r>
          </w:p>
          <w:p w:rsidR="00AE735B" w:rsidRPr="00BB5DE9" w14:paraId="51566A77" w14:textId="77777777">
            <w:pPr>
              <w:autoSpaceDE w:val="0"/>
              <w:autoSpaceDN w:val="0"/>
              <w:adjustRightInd w:val="0"/>
              <w:rPr>
                <w:color w:val="000000"/>
                <w:sz w:val="20"/>
              </w:rPr>
            </w:pPr>
            <w:r w:rsidRPr="00BB5DE9">
              <w:rPr>
                <w:color w:val="000000"/>
                <w:sz w:val="20"/>
              </w:rPr>
              <w:t>3</w:t>
            </w:r>
          </w:p>
        </w:tc>
      </w:tr>
    </w:tbl>
    <w:p w:rsidR="00AE735B" w:rsidRPr="00BB5DE9" w:rsidP="00395977" w14:paraId="42A08D55" w14:textId="77777777"/>
    <w:p w:rsidR="00AE735B" w:rsidRPr="00BB5DE9" w:rsidP="00735F18" w14:paraId="245AC6BB" w14:textId="77777777">
      <w:pPr>
        <w:sectPr w:rsidSect="00AE735B">
          <w:pgSz w:w="11894" w:h="15840"/>
          <w:pgMar w:top="1700" w:right="1417" w:bottom="1417" w:left="1417" w:header="720" w:footer="720" w:gutter="0"/>
          <w:cols w:space="720"/>
          <w:noEndnote/>
          <w:docGrid w:linePitch="326"/>
        </w:sectPr>
      </w:pPr>
    </w:p>
    <w:p w:rsidR="00AE735B" w:rsidRPr="00BB5DE9" w:rsidP="00395977" w14:paraId="4986A709" w14:textId="77777777">
      <w:pPr>
        <w:pStyle w:val="PageHeadingNotTOC"/>
      </w:pPr>
      <w:r w:rsidRPr="00BB5DE9">
        <w:t>VOTAZIONE FINALE PER APPELLO NOMINALE</w:t>
      </w:r>
      <w:r w:rsidRPr="00BB5DE9">
        <w:br/>
        <w:t>DA PARTE DELLA COMMISSIONE COMPETENTE PER PARERE</w:t>
      </w:r>
    </w:p>
    <w:tbl>
      <w:tblPr>
        <w:tblW w:w="0" w:type="auto"/>
        <w:tblInd w:w="145" w:type="dxa"/>
        <w:tblBorders>
          <w:top w:val="double" w:sz="2" w:space="0" w:color="000000"/>
          <w:left w:val="double" w:sz="2" w:space="0" w:color="000000"/>
          <w:bottom w:val="double" w:sz="2" w:space="0" w:color="000000"/>
          <w:right w:val="double" w:sz="2" w:space="0" w:color="000000"/>
          <w:insideH w:val="single" w:sz="2" w:space="0" w:color="000000"/>
          <w:insideV w:val="single" w:sz="2" w:space="0" w:color="000000"/>
        </w:tblBorders>
        <w:tblLayout w:type="fixed"/>
        <w:tblCellMar>
          <w:left w:w="145" w:type="dxa"/>
          <w:right w:w="145" w:type="dxa"/>
        </w:tblCellMar>
        <w:tblLook w:val="0000"/>
      </w:tblPr>
      <w:tblGrid>
        <w:gridCol w:w="1701"/>
        <w:gridCol w:w="7371"/>
      </w:tblGrid>
      <w:tr w14:paraId="4FA5F7A3" w14:textId="77777777" w:rsidTr="003342B7">
        <w:tblPrEx>
          <w:tblW w:w="0" w:type="auto"/>
          <w:tblInd w:w="145" w:type="dxa"/>
          <w:tblBorders>
            <w:top w:val="double" w:sz="2" w:space="0" w:color="000000"/>
            <w:left w:val="double" w:sz="2" w:space="0" w:color="000000"/>
            <w:bottom w:val="double" w:sz="2" w:space="0" w:color="000000"/>
            <w:right w:val="double" w:sz="2" w:space="0" w:color="000000"/>
            <w:insideH w:val="single" w:sz="2" w:space="0" w:color="000000"/>
            <w:insideV w:val="single" w:sz="2" w:space="0" w:color="000000"/>
          </w:tblBorders>
          <w:tblLayout w:type="fixed"/>
          <w:tblCellMar>
            <w:left w:w="145" w:type="dxa"/>
            <w:right w:w="145" w:type="dxa"/>
          </w:tblCellMar>
          <w:tblLook w:val="0000"/>
        </w:tblPrEx>
        <w:trPr>
          <w:cantSplit/>
        </w:trPr>
        <w:tc>
          <w:tcPr>
            <w:tcW w:w="1701" w:type="dxa"/>
            <w:shd w:val="pct10" w:color="000000" w:fill="FFFFFF"/>
            <w:vAlign w:val="center"/>
          </w:tcPr>
          <w:p w:rsidR="00AE735B" w:rsidRPr="00BB5DE9" w:rsidP="003342B7" w14:paraId="4DC2D976" w14:textId="77777777">
            <w:pPr>
              <w:pStyle w:val="RollCallVotes"/>
              <w:rPr>
                <w:lang w:val="it-IT"/>
              </w:rPr>
            </w:pPr>
            <w:r w:rsidRPr="00BB5DE9">
              <w:rPr>
                <w:lang w:val="it-IT"/>
              </w:rPr>
              <w:t>48</w:t>
            </w:r>
          </w:p>
        </w:tc>
        <w:tc>
          <w:tcPr>
            <w:tcW w:w="7371" w:type="dxa"/>
            <w:shd w:val="pct10" w:color="000000" w:fill="FFFFFF"/>
          </w:tcPr>
          <w:p w:rsidR="00AE735B" w:rsidRPr="00BB5DE9" w:rsidP="003342B7" w14:paraId="471D71DD" w14:textId="77777777">
            <w:pPr>
              <w:pStyle w:val="RollCallSymbols14pt"/>
              <w:rPr>
                <w:lang w:val="it-IT"/>
              </w:rPr>
            </w:pPr>
            <w:r w:rsidRPr="00BB5DE9">
              <w:rPr>
                <w:lang w:val="it-IT"/>
              </w:rPr>
              <w:t>+</w:t>
            </w:r>
          </w:p>
        </w:tc>
      </w:tr>
      <w:tr w14:paraId="0023F0BB" w14:textId="77777777" w:rsidTr="003342B7">
        <w:tblPrEx>
          <w:tblW w:w="0" w:type="auto"/>
          <w:tblInd w:w="145" w:type="dxa"/>
          <w:tblLayout w:type="fixed"/>
          <w:tblCellMar>
            <w:left w:w="145" w:type="dxa"/>
            <w:right w:w="145" w:type="dxa"/>
          </w:tblCellMar>
          <w:tblLook w:val="0000"/>
        </w:tblPrEx>
        <w:trPr>
          <w:cantSplit/>
        </w:trPr>
        <w:tc>
          <w:tcPr>
            <w:tcW w:w="1701" w:type="dxa"/>
            <w:shd w:val="clear" w:color="auto" w:fill="FFFFFF"/>
          </w:tcPr>
          <w:p w:rsidR="00AE735B" w:rsidRPr="00BB5DE9" w:rsidP="003342B7" w14:paraId="2D1A0594" w14:textId="77777777">
            <w:pPr>
              <w:pStyle w:val="RollCallTable"/>
              <w:rPr>
                <w:lang w:val="it-IT"/>
              </w:rPr>
            </w:pPr>
            <w:r w:rsidRPr="00BB5DE9">
              <w:rPr>
                <w:lang w:val="it-IT"/>
              </w:rPr>
              <w:t>PPE</w:t>
            </w:r>
          </w:p>
        </w:tc>
        <w:tc>
          <w:tcPr>
            <w:tcW w:w="7371" w:type="dxa"/>
            <w:shd w:val="clear" w:color="auto" w:fill="FFFFFF"/>
          </w:tcPr>
          <w:p w:rsidR="00AE735B" w:rsidRPr="00BB5DE9" w:rsidP="003342B7" w14:paraId="5A54BEAE" w14:textId="77777777">
            <w:pPr>
              <w:pStyle w:val="RollCallTable"/>
              <w:rPr>
                <w:lang w:val="it-IT"/>
              </w:rPr>
            </w:pPr>
            <w:r w:rsidRPr="00BB5DE9">
              <w:rPr>
                <w:lang w:val="it-IT"/>
              </w:rPr>
              <w:t>Daniel Buda, Raúl de la Hoz Quintano, Michalis Hadjipantela, Niels Flemming Hansen, Adam Jarubas, Radan Kanev, Stefan Köhler, Ewa Kopacz, Peter Liese, Elżbieta Katarzyna Łukacijewska, Letizia Moratti, Massimiliano Salini, Susana Solís Pérez, Ingeborg Ter Laak, Dimitris Tsiodras, Andrea Wechsler</w:t>
            </w:r>
          </w:p>
        </w:tc>
      </w:tr>
      <w:tr w14:paraId="763C7AF4" w14:textId="77777777" w:rsidTr="003342B7">
        <w:tblPrEx>
          <w:tblW w:w="0" w:type="auto"/>
          <w:tblInd w:w="145" w:type="dxa"/>
          <w:tblLayout w:type="fixed"/>
          <w:tblCellMar>
            <w:left w:w="145" w:type="dxa"/>
            <w:right w:w="145" w:type="dxa"/>
          </w:tblCellMar>
          <w:tblLook w:val="0000"/>
        </w:tblPrEx>
        <w:trPr>
          <w:cantSplit/>
        </w:trPr>
        <w:tc>
          <w:tcPr>
            <w:tcW w:w="1701" w:type="dxa"/>
            <w:shd w:val="clear" w:color="auto" w:fill="FFFFFF"/>
          </w:tcPr>
          <w:p w:rsidR="00AE735B" w:rsidRPr="00BB5DE9" w:rsidP="003342B7" w14:paraId="7DD6EF66" w14:textId="77777777">
            <w:pPr>
              <w:pStyle w:val="RollCallTable"/>
              <w:rPr>
                <w:lang w:val="it-IT"/>
              </w:rPr>
            </w:pPr>
            <w:r w:rsidRPr="00BB5DE9">
              <w:rPr>
                <w:lang w:val="it-IT"/>
              </w:rPr>
              <w:t>Renew</w:t>
            </w:r>
          </w:p>
        </w:tc>
        <w:tc>
          <w:tcPr>
            <w:tcW w:w="7371" w:type="dxa"/>
            <w:shd w:val="clear" w:color="auto" w:fill="FFFFFF"/>
          </w:tcPr>
          <w:p w:rsidR="00AE735B" w:rsidRPr="00BB5DE9" w:rsidP="003342B7" w14:paraId="39AB2879" w14:textId="77777777">
            <w:pPr>
              <w:pStyle w:val="RollCallTable"/>
              <w:rPr>
                <w:lang w:val="it-IT"/>
              </w:rPr>
            </w:pPr>
            <w:r w:rsidRPr="00BB5DE9">
              <w:rPr>
                <w:lang w:val="it-IT"/>
              </w:rPr>
              <w:t>Grégory Allione, Abir Al-Sahlani, Pascal Canfin, Gerben-Jan Gerbrandy, Martin Hojsík, Katri Kulmuni, Ana Vasconcelos</w:t>
            </w:r>
          </w:p>
        </w:tc>
      </w:tr>
      <w:tr w14:paraId="184A36A9" w14:textId="77777777" w:rsidTr="003342B7">
        <w:tblPrEx>
          <w:tblW w:w="0" w:type="auto"/>
          <w:tblInd w:w="145" w:type="dxa"/>
          <w:tblLayout w:type="fixed"/>
          <w:tblCellMar>
            <w:left w:w="145" w:type="dxa"/>
            <w:right w:w="145" w:type="dxa"/>
          </w:tblCellMar>
          <w:tblLook w:val="0000"/>
        </w:tblPrEx>
        <w:trPr>
          <w:cantSplit/>
        </w:trPr>
        <w:tc>
          <w:tcPr>
            <w:tcW w:w="1701" w:type="dxa"/>
            <w:shd w:val="clear" w:color="auto" w:fill="FFFFFF"/>
          </w:tcPr>
          <w:p w:rsidR="00AE735B" w:rsidRPr="00BB5DE9" w:rsidP="003342B7" w14:paraId="0945CA0C" w14:textId="77777777">
            <w:pPr>
              <w:pStyle w:val="RollCallTable"/>
              <w:rPr>
                <w:lang w:val="it-IT"/>
              </w:rPr>
            </w:pPr>
            <w:r w:rsidRPr="00BB5DE9">
              <w:rPr>
                <w:lang w:val="it-IT"/>
              </w:rPr>
              <w:t>S&amp;D</w:t>
            </w:r>
          </w:p>
        </w:tc>
        <w:tc>
          <w:tcPr>
            <w:tcW w:w="7371" w:type="dxa"/>
            <w:shd w:val="clear" w:color="auto" w:fill="FFFFFF"/>
          </w:tcPr>
          <w:p w:rsidR="00AE735B" w:rsidRPr="00BB5DE9" w:rsidP="003342B7" w14:paraId="5564D4F2" w14:textId="77777777">
            <w:pPr>
              <w:pStyle w:val="RollCallTable"/>
              <w:rPr>
                <w:lang w:val="it-IT"/>
              </w:rPr>
            </w:pPr>
            <w:r w:rsidRPr="00BB5DE9">
              <w:rPr>
                <w:lang w:val="it-IT"/>
              </w:rPr>
              <w:t>Vytenis Povilas Andriukaitis, Sakis Arnaoutoglou, Thomas Bajada, Delara Burkhardt, Mohammed Chahim, Christophe Clergeau, Annalisa Corrado, Heléne Fritzon, César Luena, Pierfrancesco Maran, Alessandra Moretti, Elena Sancho Murillo, Irene Tinagli, Kristian Vigenin</w:t>
            </w:r>
          </w:p>
        </w:tc>
      </w:tr>
      <w:tr w14:paraId="303D14F1" w14:textId="77777777" w:rsidTr="003342B7">
        <w:tblPrEx>
          <w:tblW w:w="0" w:type="auto"/>
          <w:tblInd w:w="145" w:type="dxa"/>
          <w:tblLayout w:type="fixed"/>
          <w:tblCellMar>
            <w:left w:w="145" w:type="dxa"/>
            <w:right w:w="145" w:type="dxa"/>
          </w:tblCellMar>
          <w:tblLook w:val="0000"/>
        </w:tblPrEx>
        <w:trPr>
          <w:cantSplit/>
        </w:trPr>
        <w:tc>
          <w:tcPr>
            <w:tcW w:w="1701" w:type="dxa"/>
            <w:shd w:val="clear" w:color="auto" w:fill="FFFFFF"/>
          </w:tcPr>
          <w:p w:rsidR="00AE735B" w:rsidRPr="00BB5DE9" w:rsidP="003342B7" w14:paraId="721FB6B3" w14:textId="77777777">
            <w:pPr>
              <w:pStyle w:val="RollCallTable"/>
              <w:rPr>
                <w:lang w:val="it-IT"/>
              </w:rPr>
            </w:pPr>
            <w:r w:rsidRPr="00BB5DE9">
              <w:rPr>
                <w:lang w:val="it-IT"/>
              </w:rPr>
              <w:t>The Left</w:t>
            </w:r>
          </w:p>
        </w:tc>
        <w:tc>
          <w:tcPr>
            <w:tcW w:w="7371" w:type="dxa"/>
            <w:shd w:val="clear" w:color="auto" w:fill="FFFFFF"/>
          </w:tcPr>
          <w:p w:rsidR="00AE735B" w:rsidRPr="00BB5DE9" w:rsidP="003342B7" w14:paraId="45B0F1E7" w14:textId="77777777">
            <w:pPr>
              <w:pStyle w:val="RollCallTable"/>
              <w:rPr>
                <w:lang w:val="it-IT"/>
              </w:rPr>
            </w:pPr>
            <w:r w:rsidRPr="00BB5DE9">
              <w:rPr>
                <w:lang w:val="it-IT"/>
              </w:rPr>
              <w:t>Lynn Boylan, Martin Günther, Anja Hazekamp, Valentina Palmisano</w:t>
            </w:r>
          </w:p>
        </w:tc>
      </w:tr>
      <w:tr w14:paraId="3F5F8F30" w14:textId="77777777" w:rsidTr="003342B7">
        <w:tblPrEx>
          <w:tblW w:w="0" w:type="auto"/>
          <w:tblInd w:w="145" w:type="dxa"/>
          <w:tblLayout w:type="fixed"/>
          <w:tblCellMar>
            <w:left w:w="145" w:type="dxa"/>
            <w:right w:w="145" w:type="dxa"/>
          </w:tblCellMar>
          <w:tblLook w:val="0000"/>
        </w:tblPrEx>
        <w:trPr>
          <w:cantSplit/>
        </w:trPr>
        <w:tc>
          <w:tcPr>
            <w:tcW w:w="1701" w:type="dxa"/>
            <w:shd w:val="clear" w:color="auto" w:fill="FFFFFF"/>
          </w:tcPr>
          <w:p w:rsidR="00AE735B" w:rsidRPr="00BB5DE9" w:rsidP="003342B7" w14:paraId="32593C37" w14:textId="77777777">
            <w:pPr>
              <w:pStyle w:val="RollCallTable"/>
              <w:rPr>
                <w:lang w:val="it-IT"/>
              </w:rPr>
            </w:pPr>
            <w:r w:rsidRPr="00BB5DE9">
              <w:rPr>
                <w:lang w:val="it-IT"/>
              </w:rPr>
              <w:t>Verts/ALE</w:t>
            </w:r>
          </w:p>
        </w:tc>
        <w:tc>
          <w:tcPr>
            <w:tcW w:w="7371" w:type="dxa"/>
            <w:shd w:val="clear" w:color="auto" w:fill="FFFFFF"/>
          </w:tcPr>
          <w:p w:rsidR="00AE735B" w:rsidRPr="00BB5DE9" w:rsidP="003342B7" w14:paraId="2467DB94" w14:textId="77777777">
            <w:pPr>
              <w:pStyle w:val="RollCallTable"/>
              <w:rPr>
                <w:lang w:val="it-IT"/>
              </w:rPr>
            </w:pPr>
            <w:r w:rsidRPr="00BB5DE9">
              <w:rPr>
                <w:lang w:val="it-IT"/>
              </w:rPr>
              <w:t>Cristina Guarda, Martin Häusling, Tilly Metz, Rasmus Nordqvist, Lena Schilling, Kai Tegethoff, Marie Toussaint</w:t>
            </w:r>
          </w:p>
        </w:tc>
      </w:tr>
    </w:tbl>
    <w:p w:rsidR="00AE735B" w:rsidRPr="00BB5DE9" w:rsidP="00395977" w14:paraId="5004F6C8" w14:textId="77777777"/>
    <w:tbl>
      <w:tblPr>
        <w:tblW w:w="0" w:type="auto"/>
        <w:tblInd w:w="145" w:type="dxa"/>
        <w:tblBorders>
          <w:top w:val="double" w:sz="2" w:space="0" w:color="000000"/>
          <w:left w:val="double" w:sz="2" w:space="0" w:color="000000"/>
          <w:bottom w:val="double" w:sz="2" w:space="0" w:color="000000"/>
          <w:right w:val="double" w:sz="2" w:space="0" w:color="000000"/>
          <w:insideH w:val="single" w:sz="2" w:space="0" w:color="000000"/>
          <w:insideV w:val="single" w:sz="2" w:space="0" w:color="000000"/>
        </w:tblBorders>
        <w:tblLayout w:type="fixed"/>
        <w:tblCellMar>
          <w:left w:w="145" w:type="dxa"/>
          <w:right w:w="145" w:type="dxa"/>
        </w:tblCellMar>
        <w:tblLook w:val="0000"/>
      </w:tblPr>
      <w:tblGrid>
        <w:gridCol w:w="1701"/>
        <w:gridCol w:w="7371"/>
      </w:tblGrid>
      <w:tr w14:paraId="6BA356B5" w14:textId="77777777" w:rsidTr="003342B7">
        <w:tblPrEx>
          <w:tblW w:w="0" w:type="auto"/>
          <w:tblInd w:w="145" w:type="dxa"/>
          <w:tblBorders>
            <w:top w:val="double" w:sz="2" w:space="0" w:color="000000"/>
            <w:left w:val="double" w:sz="2" w:space="0" w:color="000000"/>
            <w:bottom w:val="double" w:sz="2" w:space="0" w:color="000000"/>
            <w:right w:val="double" w:sz="2" w:space="0" w:color="000000"/>
            <w:insideH w:val="single" w:sz="2" w:space="0" w:color="000000"/>
            <w:insideV w:val="single" w:sz="2" w:space="0" w:color="000000"/>
          </w:tblBorders>
          <w:tblLayout w:type="fixed"/>
          <w:tblCellMar>
            <w:left w:w="145" w:type="dxa"/>
            <w:right w:w="145" w:type="dxa"/>
          </w:tblCellMar>
          <w:tblLook w:val="0000"/>
        </w:tblPrEx>
        <w:trPr>
          <w:cantSplit/>
        </w:trPr>
        <w:tc>
          <w:tcPr>
            <w:tcW w:w="1701" w:type="dxa"/>
            <w:shd w:val="pct10" w:color="000000" w:fill="FFFFFF"/>
            <w:vAlign w:val="center"/>
          </w:tcPr>
          <w:p w:rsidR="00AE735B" w:rsidRPr="00BB5DE9" w:rsidP="003342B7" w14:paraId="697C4865" w14:textId="77777777">
            <w:pPr>
              <w:pStyle w:val="RollCallVotes"/>
              <w:rPr>
                <w:lang w:val="it-IT"/>
              </w:rPr>
            </w:pPr>
            <w:r w:rsidRPr="00BB5DE9">
              <w:rPr>
                <w:lang w:val="it-IT"/>
              </w:rPr>
              <w:t>20</w:t>
            </w:r>
          </w:p>
        </w:tc>
        <w:tc>
          <w:tcPr>
            <w:tcW w:w="7371" w:type="dxa"/>
            <w:shd w:val="pct10" w:color="000000" w:fill="FFFFFF"/>
          </w:tcPr>
          <w:p w:rsidR="00AE735B" w:rsidRPr="00BB5DE9" w:rsidP="003342B7" w14:paraId="5FF2408D" w14:textId="77777777">
            <w:pPr>
              <w:pStyle w:val="RollCallSymbols14pt"/>
              <w:rPr>
                <w:lang w:val="it-IT"/>
              </w:rPr>
            </w:pPr>
            <w:r w:rsidRPr="00BB5DE9">
              <w:rPr>
                <w:lang w:val="it-IT"/>
              </w:rPr>
              <w:t>-</w:t>
            </w:r>
          </w:p>
        </w:tc>
      </w:tr>
      <w:tr w14:paraId="25B45DAE" w14:textId="77777777" w:rsidTr="003342B7">
        <w:tblPrEx>
          <w:tblW w:w="0" w:type="auto"/>
          <w:tblInd w:w="145" w:type="dxa"/>
          <w:tblLayout w:type="fixed"/>
          <w:tblCellMar>
            <w:left w:w="145" w:type="dxa"/>
            <w:right w:w="145" w:type="dxa"/>
          </w:tblCellMar>
          <w:tblLook w:val="0000"/>
        </w:tblPrEx>
        <w:trPr>
          <w:cantSplit/>
        </w:trPr>
        <w:tc>
          <w:tcPr>
            <w:tcW w:w="1701" w:type="dxa"/>
            <w:shd w:val="clear" w:color="auto" w:fill="FFFFFF"/>
          </w:tcPr>
          <w:p w:rsidR="00AE735B" w:rsidRPr="00BB5DE9" w:rsidP="003342B7" w14:paraId="744256C3" w14:textId="77777777">
            <w:pPr>
              <w:pStyle w:val="RollCallTable"/>
              <w:rPr>
                <w:lang w:val="it-IT"/>
              </w:rPr>
            </w:pPr>
            <w:r w:rsidRPr="00BB5DE9">
              <w:rPr>
                <w:lang w:val="it-IT"/>
              </w:rPr>
              <w:t>ECR</w:t>
            </w:r>
          </w:p>
        </w:tc>
        <w:tc>
          <w:tcPr>
            <w:tcW w:w="7371" w:type="dxa"/>
            <w:shd w:val="clear" w:color="auto" w:fill="FFFFFF"/>
          </w:tcPr>
          <w:p w:rsidR="00AE735B" w:rsidRPr="00BB5DE9" w:rsidP="003342B7" w14:paraId="30075E2B" w14:textId="77777777">
            <w:pPr>
              <w:pStyle w:val="RollCallTable"/>
              <w:rPr>
                <w:lang w:val="it-IT"/>
              </w:rPr>
            </w:pPr>
            <w:r w:rsidRPr="00BB5DE9">
              <w:rPr>
                <w:lang w:val="it-IT"/>
              </w:rPr>
              <w:t>Stefano Cavedagna, Emmanouil Fragkos, Nora Junco García, Nicola Procaccini, Antonella Sberna, Beatrice Timgren, Laurence Trochu, Aurelijus Veryga, Alexandr Vondra</w:t>
            </w:r>
          </w:p>
        </w:tc>
      </w:tr>
      <w:tr w14:paraId="30E6ED60" w14:textId="77777777" w:rsidTr="003342B7">
        <w:tblPrEx>
          <w:tblW w:w="0" w:type="auto"/>
          <w:tblInd w:w="145" w:type="dxa"/>
          <w:tblLayout w:type="fixed"/>
          <w:tblCellMar>
            <w:left w:w="145" w:type="dxa"/>
            <w:right w:w="145" w:type="dxa"/>
          </w:tblCellMar>
          <w:tblLook w:val="0000"/>
        </w:tblPrEx>
        <w:trPr>
          <w:cantSplit/>
        </w:trPr>
        <w:tc>
          <w:tcPr>
            <w:tcW w:w="1701" w:type="dxa"/>
            <w:shd w:val="clear" w:color="auto" w:fill="FFFFFF"/>
          </w:tcPr>
          <w:p w:rsidR="00AE735B" w:rsidRPr="00BB5DE9" w:rsidP="003342B7" w14:paraId="137AAFAF" w14:textId="77777777">
            <w:pPr>
              <w:pStyle w:val="RollCallTable"/>
              <w:rPr>
                <w:lang w:val="it-IT"/>
              </w:rPr>
            </w:pPr>
            <w:r w:rsidRPr="00BB5DE9">
              <w:rPr>
                <w:lang w:val="it-IT"/>
              </w:rPr>
              <w:t>ESN</w:t>
            </w:r>
          </w:p>
        </w:tc>
        <w:tc>
          <w:tcPr>
            <w:tcW w:w="7371" w:type="dxa"/>
            <w:shd w:val="clear" w:color="auto" w:fill="FFFFFF"/>
          </w:tcPr>
          <w:p w:rsidR="00AE735B" w:rsidRPr="00BB5DE9" w:rsidP="003342B7" w14:paraId="64B28D63" w14:textId="77777777">
            <w:pPr>
              <w:pStyle w:val="RollCallTable"/>
              <w:rPr>
                <w:lang w:val="it-IT"/>
              </w:rPr>
            </w:pPr>
            <w:r w:rsidRPr="00BB5DE9">
              <w:rPr>
                <w:lang w:val="it-IT"/>
              </w:rPr>
              <w:t>Ivan David, Marc Jongen, Volker Schnurrbusch</w:t>
            </w:r>
          </w:p>
        </w:tc>
      </w:tr>
      <w:tr w14:paraId="0389D3FF" w14:textId="77777777" w:rsidTr="003342B7">
        <w:tblPrEx>
          <w:tblW w:w="0" w:type="auto"/>
          <w:tblInd w:w="145" w:type="dxa"/>
          <w:tblLayout w:type="fixed"/>
          <w:tblCellMar>
            <w:left w:w="145" w:type="dxa"/>
            <w:right w:w="145" w:type="dxa"/>
          </w:tblCellMar>
          <w:tblLook w:val="0000"/>
        </w:tblPrEx>
        <w:trPr>
          <w:cantSplit/>
        </w:trPr>
        <w:tc>
          <w:tcPr>
            <w:tcW w:w="1701" w:type="dxa"/>
            <w:shd w:val="clear" w:color="auto" w:fill="FFFFFF"/>
          </w:tcPr>
          <w:p w:rsidR="00AE735B" w:rsidRPr="00BB5DE9" w:rsidP="003342B7" w14:paraId="262D509F" w14:textId="77777777">
            <w:pPr>
              <w:pStyle w:val="RollCallTable"/>
              <w:rPr>
                <w:lang w:val="it-IT"/>
              </w:rPr>
            </w:pPr>
            <w:r w:rsidRPr="00BB5DE9">
              <w:rPr>
                <w:lang w:val="it-IT"/>
              </w:rPr>
              <w:t>NI</w:t>
            </w:r>
          </w:p>
        </w:tc>
        <w:tc>
          <w:tcPr>
            <w:tcW w:w="7371" w:type="dxa"/>
            <w:shd w:val="clear" w:color="auto" w:fill="FFFFFF"/>
          </w:tcPr>
          <w:p w:rsidR="00AE735B" w:rsidRPr="00BB5DE9" w:rsidP="003342B7" w14:paraId="337AA7F3" w14:textId="77777777">
            <w:pPr>
              <w:pStyle w:val="RollCallTable"/>
              <w:rPr>
                <w:lang w:val="it-IT"/>
              </w:rPr>
            </w:pPr>
            <w:r w:rsidRPr="00BB5DE9">
              <w:rPr>
                <w:lang w:val="it-IT"/>
              </w:rPr>
              <w:t>Ondřej Dostál</w:t>
            </w:r>
          </w:p>
        </w:tc>
      </w:tr>
      <w:tr w14:paraId="7E7EEDC8" w14:textId="77777777" w:rsidTr="003342B7">
        <w:tblPrEx>
          <w:tblW w:w="0" w:type="auto"/>
          <w:tblInd w:w="145" w:type="dxa"/>
          <w:tblLayout w:type="fixed"/>
          <w:tblCellMar>
            <w:left w:w="145" w:type="dxa"/>
            <w:right w:w="145" w:type="dxa"/>
          </w:tblCellMar>
          <w:tblLook w:val="0000"/>
        </w:tblPrEx>
        <w:trPr>
          <w:cantSplit/>
        </w:trPr>
        <w:tc>
          <w:tcPr>
            <w:tcW w:w="1701" w:type="dxa"/>
            <w:shd w:val="clear" w:color="auto" w:fill="FFFFFF"/>
          </w:tcPr>
          <w:p w:rsidR="00AE735B" w:rsidRPr="00BB5DE9" w:rsidP="003342B7" w14:paraId="59969263" w14:textId="77777777">
            <w:pPr>
              <w:pStyle w:val="RollCallTable"/>
              <w:rPr>
                <w:lang w:val="it-IT"/>
              </w:rPr>
            </w:pPr>
            <w:r w:rsidRPr="00BB5DE9">
              <w:rPr>
                <w:lang w:val="it-IT"/>
              </w:rPr>
              <w:t>PfE</w:t>
            </w:r>
          </w:p>
        </w:tc>
        <w:tc>
          <w:tcPr>
            <w:tcW w:w="7371" w:type="dxa"/>
            <w:shd w:val="clear" w:color="auto" w:fill="FFFFFF"/>
          </w:tcPr>
          <w:p w:rsidR="00AE735B" w:rsidRPr="00BB5DE9" w:rsidP="003342B7" w14:paraId="007AB503" w14:textId="77777777">
            <w:pPr>
              <w:pStyle w:val="RollCallTable"/>
              <w:rPr>
                <w:lang w:val="it-IT"/>
              </w:rPr>
            </w:pPr>
            <w:r w:rsidRPr="00BB5DE9">
              <w:rPr>
                <w:lang w:val="it-IT"/>
              </w:rPr>
              <w:t>Mathilde Androuët, Barbara Bonte, Marie-Luce Brasier-Clain, Jorge Buxadé Villalba, Viktória Ferenc, Anne-Sophie Frigout, Jana Nagyová</w:t>
            </w:r>
          </w:p>
        </w:tc>
      </w:tr>
    </w:tbl>
    <w:p w:rsidR="00AE735B" w:rsidRPr="00BB5DE9" w:rsidP="00395977" w14:paraId="66750C9D" w14:textId="77777777"/>
    <w:tbl>
      <w:tblPr>
        <w:tblW w:w="0" w:type="auto"/>
        <w:tblInd w:w="145" w:type="dxa"/>
        <w:tblBorders>
          <w:top w:val="double" w:sz="2" w:space="0" w:color="000000"/>
          <w:left w:val="double" w:sz="2" w:space="0" w:color="000000"/>
          <w:bottom w:val="double" w:sz="2" w:space="0" w:color="000000"/>
          <w:right w:val="double" w:sz="2" w:space="0" w:color="000000"/>
          <w:insideH w:val="single" w:sz="2" w:space="0" w:color="000000"/>
          <w:insideV w:val="single" w:sz="2" w:space="0" w:color="000000"/>
        </w:tblBorders>
        <w:tblLayout w:type="fixed"/>
        <w:tblCellMar>
          <w:left w:w="145" w:type="dxa"/>
          <w:right w:w="145" w:type="dxa"/>
        </w:tblCellMar>
        <w:tblLook w:val="0000"/>
      </w:tblPr>
      <w:tblGrid>
        <w:gridCol w:w="1701"/>
        <w:gridCol w:w="7371"/>
      </w:tblGrid>
      <w:tr w14:paraId="3282A3C2" w14:textId="77777777" w:rsidTr="003342B7">
        <w:tblPrEx>
          <w:tblW w:w="0" w:type="auto"/>
          <w:tblInd w:w="145" w:type="dxa"/>
          <w:tblBorders>
            <w:top w:val="double" w:sz="2" w:space="0" w:color="000000"/>
            <w:left w:val="double" w:sz="2" w:space="0" w:color="000000"/>
            <w:bottom w:val="double" w:sz="2" w:space="0" w:color="000000"/>
            <w:right w:val="double" w:sz="2" w:space="0" w:color="000000"/>
            <w:insideH w:val="single" w:sz="2" w:space="0" w:color="000000"/>
            <w:insideV w:val="single" w:sz="2" w:space="0" w:color="000000"/>
          </w:tblBorders>
          <w:tblLayout w:type="fixed"/>
          <w:tblCellMar>
            <w:left w:w="145" w:type="dxa"/>
            <w:right w:w="145" w:type="dxa"/>
          </w:tblCellMar>
          <w:tblLook w:val="0000"/>
        </w:tblPrEx>
        <w:trPr>
          <w:cantSplit/>
        </w:trPr>
        <w:tc>
          <w:tcPr>
            <w:tcW w:w="1701" w:type="dxa"/>
            <w:shd w:val="pct10" w:color="000000" w:fill="FFFFFF"/>
            <w:vAlign w:val="center"/>
          </w:tcPr>
          <w:p w:rsidR="00AE735B" w:rsidRPr="00BB5DE9" w:rsidP="003342B7" w14:paraId="3371CB43" w14:textId="77777777">
            <w:pPr>
              <w:pStyle w:val="RollCallVotes"/>
              <w:rPr>
                <w:lang w:val="it-IT"/>
              </w:rPr>
            </w:pPr>
            <w:r w:rsidRPr="00BB5DE9">
              <w:rPr>
                <w:lang w:val="it-IT"/>
              </w:rPr>
              <w:t>3</w:t>
            </w:r>
          </w:p>
        </w:tc>
        <w:tc>
          <w:tcPr>
            <w:tcW w:w="7371" w:type="dxa"/>
            <w:shd w:val="pct10" w:color="000000" w:fill="FFFFFF"/>
          </w:tcPr>
          <w:p w:rsidR="00AE735B" w:rsidRPr="00BB5DE9" w:rsidP="003342B7" w14:paraId="2F8F9638" w14:textId="77777777">
            <w:pPr>
              <w:pStyle w:val="RollCallSymbols14pt"/>
              <w:rPr>
                <w:lang w:val="it-IT"/>
              </w:rPr>
            </w:pPr>
            <w:r w:rsidRPr="00BB5DE9">
              <w:rPr>
                <w:lang w:val="it-IT"/>
              </w:rPr>
              <w:t>0</w:t>
            </w:r>
          </w:p>
        </w:tc>
      </w:tr>
      <w:tr w14:paraId="114E7E6B" w14:textId="77777777" w:rsidTr="003342B7">
        <w:tblPrEx>
          <w:tblW w:w="0" w:type="auto"/>
          <w:tblInd w:w="145" w:type="dxa"/>
          <w:tblLayout w:type="fixed"/>
          <w:tblCellMar>
            <w:left w:w="145" w:type="dxa"/>
            <w:right w:w="145" w:type="dxa"/>
          </w:tblCellMar>
          <w:tblLook w:val="0000"/>
        </w:tblPrEx>
        <w:trPr>
          <w:cantSplit/>
        </w:trPr>
        <w:tc>
          <w:tcPr>
            <w:tcW w:w="1701" w:type="dxa"/>
            <w:shd w:val="clear" w:color="auto" w:fill="FFFFFF"/>
          </w:tcPr>
          <w:p w:rsidR="00AE735B" w:rsidRPr="00BB5DE9" w:rsidP="003342B7" w14:paraId="58D112E8" w14:textId="77777777">
            <w:pPr>
              <w:pStyle w:val="RollCallTable"/>
              <w:rPr>
                <w:lang w:val="it-IT"/>
              </w:rPr>
            </w:pPr>
            <w:r w:rsidRPr="00BB5DE9">
              <w:rPr>
                <w:lang w:val="it-IT"/>
              </w:rPr>
              <w:t>NI</w:t>
            </w:r>
          </w:p>
        </w:tc>
        <w:tc>
          <w:tcPr>
            <w:tcW w:w="7371" w:type="dxa"/>
            <w:shd w:val="clear" w:color="auto" w:fill="FFFFFF"/>
          </w:tcPr>
          <w:p w:rsidR="00AE735B" w:rsidRPr="00BB5DE9" w:rsidP="003342B7" w14:paraId="67CF286B" w14:textId="77777777">
            <w:pPr>
              <w:pStyle w:val="RollCallTable"/>
              <w:rPr>
                <w:lang w:val="it-IT"/>
              </w:rPr>
            </w:pPr>
            <w:r w:rsidRPr="00BB5DE9">
              <w:rPr>
                <w:lang w:val="it-IT"/>
              </w:rPr>
              <w:t>Fernand Kartheiser</w:t>
            </w:r>
          </w:p>
        </w:tc>
      </w:tr>
      <w:tr w14:paraId="4F7BE67B" w14:textId="77777777" w:rsidTr="003342B7">
        <w:tblPrEx>
          <w:tblW w:w="0" w:type="auto"/>
          <w:tblInd w:w="145" w:type="dxa"/>
          <w:tblLayout w:type="fixed"/>
          <w:tblCellMar>
            <w:left w:w="145" w:type="dxa"/>
            <w:right w:w="145" w:type="dxa"/>
          </w:tblCellMar>
          <w:tblLook w:val="0000"/>
        </w:tblPrEx>
        <w:trPr>
          <w:cantSplit/>
        </w:trPr>
        <w:tc>
          <w:tcPr>
            <w:tcW w:w="1701" w:type="dxa"/>
            <w:shd w:val="clear" w:color="auto" w:fill="FFFFFF"/>
          </w:tcPr>
          <w:p w:rsidR="00AE735B" w:rsidRPr="00BB5DE9" w:rsidP="003342B7" w14:paraId="0B5497C8" w14:textId="77777777">
            <w:pPr>
              <w:pStyle w:val="RollCallTable"/>
              <w:rPr>
                <w:lang w:val="it-IT"/>
              </w:rPr>
            </w:pPr>
            <w:r w:rsidRPr="00BB5DE9">
              <w:rPr>
                <w:lang w:val="it-IT"/>
              </w:rPr>
              <w:t>PPE</w:t>
            </w:r>
          </w:p>
        </w:tc>
        <w:tc>
          <w:tcPr>
            <w:tcW w:w="7371" w:type="dxa"/>
            <w:shd w:val="clear" w:color="auto" w:fill="FFFFFF"/>
          </w:tcPr>
          <w:p w:rsidR="00AE735B" w:rsidRPr="00BB5DE9" w:rsidP="003342B7" w14:paraId="474F7D04" w14:textId="77777777">
            <w:pPr>
              <w:pStyle w:val="RollCallTable"/>
              <w:rPr>
                <w:lang w:val="it-IT"/>
              </w:rPr>
            </w:pPr>
            <w:r w:rsidRPr="00BB5DE9">
              <w:rPr>
                <w:lang w:val="it-IT"/>
              </w:rPr>
              <w:t>Ioan-Rareş Bogdan, Zala Černilec Tomašič</w:t>
            </w:r>
          </w:p>
        </w:tc>
      </w:tr>
    </w:tbl>
    <w:p w:rsidR="00AE735B" w:rsidRPr="00BB5DE9" w:rsidP="00B735E3" w14:paraId="5F45E954" w14:textId="77777777"/>
    <w:p w:rsidR="00AE735B" w:rsidRPr="00BB5DE9" w:rsidP="00B735E3" w14:paraId="181523E5" w14:textId="77777777">
      <w:r w:rsidRPr="00BB5DE9">
        <w:t>Significato dei simboli utilizzati:</w:t>
      </w:r>
    </w:p>
    <w:p w:rsidR="00AE735B" w:rsidRPr="00BB5DE9" w:rsidP="003858C5" w14:paraId="7E0EBCA3" w14:textId="77777777">
      <w:pPr>
        <w:pStyle w:val="RollCallTabs"/>
        <w:rPr>
          <w:lang w:val="it-IT"/>
        </w:rPr>
      </w:pPr>
      <w:r w:rsidRPr="00BB5DE9">
        <w:rPr>
          <w:lang w:val="it-IT"/>
        </w:rPr>
        <w:t>+</w:t>
      </w:r>
      <w:r w:rsidRPr="00BB5DE9">
        <w:rPr>
          <w:lang w:val="it-IT"/>
        </w:rPr>
        <w:tab/>
        <w:t>:</w:t>
      </w:r>
      <w:r w:rsidRPr="00BB5DE9">
        <w:rPr>
          <w:lang w:val="it-IT"/>
        </w:rPr>
        <w:tab/>
        <w:t>favorevoli</w:t>
      </w:r>
    </w:p>
    <w:p w:rsidR="00AE735B" w:rsidRPr="00BB5DE9" w:rsidP="003858C5" w14:paraId="1667BF1D" w14:textId="77777777">
      <w:pPr>
        <w:pStyle w:val="RollCallTabs"/>
        <w:rPr>
          <w:lang w:val="it-IT"/>
        </w:rPr>
      </w:pPr>
      <w:r w:rsidRPr="00BB5DE9">
        <w:rPr>
          <w:lang w:val="it-IT"/>
        </w:rPr>
        <w:t>-</w:t>
      </w:r>
      <w:r w:rsidRPr="00BB5DE9">
        <w:rPr>
          <w:lang w:val="it-IT"/>
        </w:rPr>
        <w:tab/>
        <w:t>:</w:t>
      </w:r>
      <w:r w:rsidRPr="00BB5DE9">
        <w:rPr>
          <w:lang w:val="it-IT"/>
        </w:rPr>
        <w:tab/>
        <w:t>contrari</w:t>
      </w:r>
    </w:p>
    <w:p w:rsidR="00AE735B" w:rsidRPr="00BB5DE9" w:rsidP="003858C5" w14:paraId="251B85CB" w14:textId="77777777">
      <w:pPr>
        <w:pStyle w:val="RollCallTabs"/>
        <w:rPr>
          <w:lang w:val="it-IT"/>
        </w:rPr>
      </w:pPr>
      <w:r w:rsidRPr="00BB5DE9">
        <w:rPr>
          <w:lang w:val="it-IT"/>
        </w:rPr>
        <w:t>0</w:t>
      </w:r>
      <w:r w:rsidRPr="00BB5DE9">
        <w:rPr>
          <w:lang w:val="it-IT"/>
        </w:rPr>
        <w:tab/>
        <w:t>:</w:t>
      </w:r>
      <w:r w:rsidRPr="00BB5DE9">
        <w:rPr>
          <w:lang w:val="it-IT"/>
        </w:rPr>
        <w:tab/>
        <w:t>astenuti</w:t>
      </w:r>
    </w:p>
    <w:p w:rsidR="00AE735B" w:rsidRPr="00BB5DE9" w:rsidP="00207509" w14:paraId="2BE87073" w14:textId="77777777"/>
    <w:p w:rsidR="00AE735B" w:rsidRPr="00BB5DE9" w:rsidP="00735F18" w14:paraId="0F2EABFF" w14:textId="77777777"/>
    <w:p w:rsidR="00AE735B" w:rsidRPr="00BB5DE9" w:rsidP="00AE735B" w14:paraId="3F860925" w14:textId="77777777">
      <w:pPr>
        <w:rPr>
          <w:snapToGrid/>
          <w:lang w:eastAsia="en-GB"/>
        </w:rPr>
        <w:sectPr w:rsidSect="00AE735B">
          <w:footnotePr>
            <w:numRestart w:val="eachSect"/>
          </w:footnotePr>
          <w:endnotePr>
            <w:numFmt w:val="decimal"/>
          </w:endnotePr>
          <w:pgSz w:w="11906" w:h="16838" w:code="9"/>
          <w:pgMar w:top="1134" w:right="1418" w:bottom="1134" w:left="1418" w:header="1134" w:footer="567" w:gutter="0"/>
          <w:cols w:space="720"/>
          <w:noEndnote/>
          <w:docGrid w:linePitch="326"/>
        </w:sectPr>
      </w:pPr>
    </w:p>
    <w:p w:rsidR="00AE735B" w:rsidRPr="00BB5DE9" w:rsidP="00AE735B" w14:paraId="014AA2B5" w14:textId="77777777">
      <w:pPr>
        <w:pStyle w:val="Normal24a"/>
        <w:rPr>
          <w:lang w:val="it-IT"/>
        </w:rPr>
      </w:pPr>
      <w:r w:rsidRPr="00BB5DE9">
        <w:rPr>
          <w:rStyle w:val="HideTWBExt"/>
          <w:lang w:val="it-IT"/>
        </w:rPr>
        <w:t>&lt;Date&gt;</w:t>
      </w:r>
      <w:r w:rsidRPr="00BB5DE9">
        <w:rPr>
          <w:rStyle w:val="HideTWBInt"/>
          <w:lang w:val="it-IT"/>
        </w:rPr>
        <w:t>{07/09/2026}</w:t>
      </w:r>
      <w:r w:rsidRPr="00BB5DE9">
        <w:rPr>
          <w:lang w:val="it-IT"/>
        </w:rPr>
        <w:t>7.9.2026</w:t>
      </w:r>
      <w:r w:rsidRPr="00BB5DE9">
        <w:rPr>
          <w:rStyle w:val="HideTWBExt"/>
          <w:lang w:val="it-IT"/>
        </w:rPr>
        <w:t>&lt;/Date&gt;</w:t>
      </w:r>
    </w:p>
    <w:p w:rsidR="00AE735B" w:rsidRPr="00BB5DE9" w:rsidP="00AE735B" w14:paraId="5D12821B" w14:textId="4CFCF143">
      <w:pPr>
        <w:pStyle w:val="PageHeading"/>
      </w:pPr>
      <w:r w:rsidRPr="00BB5DE9">
        <w:rPr>
          <w:rStyle w:val="HideTWBExt"/>
          <w:b w:val="0"/>
        </w:rPr>
        <w:t>&lt;CommissionResp&gt;</w:t>
      </w:r>
      <w:bookmarkStart w:id="20" w:name="OpinionToc_6"/>
      <w:bookmarkStart w:id="21" w:name="_Toc243036423"/>
      <w:r w:rsidRPr="00BB5DE9">
        <w:t>PARERE DELLA COMMISSIONE PER LA SANITÀ PUBBLICA</w:t>
      </w:r>
      <w:bookmarkEnd w:id="20"/>
      <w:bookmarkEnd w:id="21"/>
      <w:r w:rsidRPr="00BB5DE9">
        <w:rPr>
          <w:rStyle w:val="HideTWBExt"/>
          <w:b w:val="0"/>
        </w:rPr>
        <w:t>&lt;/CommissionResp&gt;</w:t>
      </w:r>
    </w:p>
    <w:p w:rsidR="00AE735B" w:rsidRPr="00BB5DE9" w:rsidP="00AE735B" w14:paraId="2A162AB4" w14:textId="77777777">
      <w:pPr>
        <w:pStyle w:val="Normal12a"/>
        <w:rPr>
          <w:lang w:val="it-IT"/>
        </w:rPr>
      </w:pPr>
      <w:r w:rsidRPr="00BB5DE9">
        <w:rPr>
          <w:rStyle w:val="HideTWBExt"/>
          <w:lang w:val="it-IT"/>
        </w:rPr>
        <w:t>&lt;CommissionInt&gt;</w:t>
      </w:r>
      <w:r w:rsidRPr="00BB5DE9">
        <w:rPr>
          <w:lang w:val="it-IT"/>
        </w:rPr>
        <w:t>destinato alla commissione per i bilanci</w:t>
      </w:r>
      <w:r w:rsidRPr="00BB5DE9">
        <w:rPr>
          <w:rStyle w:val="HideTWBExt"/>
          <w:lang w:val="it-IT"/>
        </w:rPr>
        <w:t>&lt;/CommissionInt&gt;</w:t>
      </w:r>
    </w:p>
    <w:p w:rsidR="00AE735B" w:rsidRPr="00BB5DE9" w:rsidP="00AE735B" w14:paraId="2F70F1F1" w14:textId="77777777">
      <w:r w:rsidRPr="00BB5DE9">
        <w:rPr>
          <w:rStyle w:val="HideTWBExt"/>
        </w:rPr>
        <w:t>&lt;Titre&gt;</w:t>
      </w:r>
      <w:r w:rsidRPr="00BB5DE9">
        <w:t>Bilancio generale dell'Unione europea per l'esercizio 2027 – tutte le sezioni</w:t>
      </w:r>
      <w:r w:rsidRPr="00BB5DE9">
        <w:rPr>
          <w:rStyle w:val="HideTWBExt"/>
        </w:rPr>
        <w:t>&lt;/Titre&gt;</w:t>
      </w:r>
    </w:p>
    <w:p w:rsidR="00AE735B" w:rsidRPr="00BB5DE9" w:rsidP="00AE735B" w14:paraId="1AFE6705" w14:textId="77777777">
      <w:pPr>
        <w:pStyle w:val="Normal12a"/>
        <w:rPr>
          <w:lang w:val="it-IT"/>
        </w:rPr>
      </w:pPr>
      <w:r w:rsidRPr="00BB5DE9">
        <w:rPr>
          <w:rStyle w:val="HideTWBExt"/>
          <w:lang w:val="it-IT"/>
        </w:rPr>
        <w:t>&lt;DocRef&gt;</w:t>
      </w:r>
      <w:r w:rsidRPr="00BB5DE9">
        <w:rPr>
          <w:lang w:val="it-IT"/>
        </w:rPr>
        <w:t>(2026/0196(BUD))</w:t>
      </w:r>
      <w:r w:rsidRPr="00BB5DE9">
        <w:rPr>
          <w:rStyle w:val="HideTWBExt"/>
          <w:lang w:val="it-IT"/>
        </w:rPr>
        <w:t>&lt;/DocRef&gt;</w:t>
      </w:r>
    </w:p>
    <w:p w:rsidR="00AE735B" w:rsidRPr="00BB5DE9" w:rsidP="00AE735B" w14:paraId="2CC2F4B2" w14:textId="77777777">
      <w:pPr>
        <w:pStyle w:val="Normal24a"/>
        <w:rPr>
          <w:rStyle w:val="HideTWBExt"/>
          <w:lang w:val="it-IT"/>
        </w:rPr>
      </w:pPr>
      <w:r w:rsidRPr="00BB5DE9">
        <w:rPr>
          <w:lang w:val="it-IT"/>
        </w:rPr>
        <w:t xml:space="preserve">Relatore per parere: </w:t>
      </w:r>
      <w:r w:rsidRPr="00BB5DE9">
        <w:rPr>
          <w:rStyle w:val="HideTWBExt"/>
          <w:lang w:val="it-IT"/>
        </w:rPr>
        <w:t>&lt;Depute&gt;</w:t>
      </w:r>
      <w:r w:rsidRPr="00BB5DE9">
        <w:rPr>
          <w:lang w:val="it-IT"/>
        </w:rPr>
        <w:t>Michalis Hadjipantela</w:t>
      </w:r>
      <w:r w:rsidRPr="00BB5DE9">
        <w:rPr>
          <w:rStyle w:val="HideTWBExt"/>
          <w:lang w:val="it-IT"/>
        </w:rPr>
        <w:t>&lt;/Depute&gt;</w:t>
      </w:r>
    </w:p>
    <w:p w:rsidR="00AE735B" w:rsidRPr="00BB5DE9" w:rsidP="00AE735B" w14:paraId="4E322E40" w14:textId="77777777"/>
    <w:p w:rsidR="00AE735B" w:rsidRPr="00BB5DE9" w:rsidP="00AE735B" w14:paraId="76252211" w14:textId="77777777"/>
    <w:p w:rsidR="00AE735B" w:rsidRPr="00BB5DE9" w:rsidP="008419DC" w14:paraId="0998D7B2" w14:textId="41113FD4">
      <w:pPr>
        <w:widowControl/>
        <w:tabs>
          <w:tab w:val="center" w:pos="4677"/>
        </w:tabs>
      </w:pPr>
    </w:p>
    <w:p w:rsidR="00AE735B" w:rsidRPr="00BB5DE9" w:rsidP="008419DC" w14:paraId="47978255" w14:textId="59A1C611">
      <w:pPr>
        <w:pStyle w:val="PageHeadingNotTOC"/>
      </w:pPr>
      <w:r w:rsidRPr="00BB5DE9">
        <w:t>PARERE</w:t>
      </w:r>
    </w:p>
    <w:p w:rsidR="00AE735B" w:rsidRPr="00BB5DE9" w:rsidP="008419DC" w14:paraId="1A6FD956" w14:textId="77777777">
      <w:pPr>
        <w:pStyle w:val="Normal12a"/>
        <w:rPr>
          <w:lang w:val="it-IT"/>
        </w:rPr>
      </w:pPr>
      <w:r w:rsidRPr="00BB5DE9">
        <w:rPr>
          <w:lang w:val="it-IT"/>
        </w:rPr>
        <w:t>La commissione per la sanità pubblica invita la commissione per i bilanci, competente per il merito, a includere nella proposta di risoluzione che approverà quanto segue:</w:t>
      </w:r>
    </w:p>
    <w:p w:rsidR="00AE735B" w:rsidRPr="00BB5DE9" w:rsidP="008419DC" w14:paraId="4FF185A4" w14:textId="77777777">
      <w:pPr>
        <w:pStyle w:val="NormalHanging12a"/>
      </w:pPr>
      <w:r w:rsidRPr="00BB5DE9">
        <w:t>1.</w:t>
      </w:r>
      <w:r w:rsidRPr="00BB5DE9">
        <w:tab/>
        <w:t>invita la Commissione, gli Stati membri e le parti interessate a focalizzare il bilancio 2027 sulle questioni relative al valore aggiunto dell'UE nel settore della sanità pubblica, quali: sicurezza e preparazione sanitaria, prevenzione delle malattie trasmissibili e non trasmissibili, compresi cancro, malattie rare, salute mentale, salute della donna, salute sessuale e riproduttiva, nonché investimenti in materia di sanità digitale, medicinali critici, dispositivi medici, lotta alla resistenza agli antimicrobici, formazione del personale sanitario, innovazione e ricerca sulle malattie che tenga conto del genere sulla base dei risultati della valutazione intermedia del programma "UE per la salute", nel pieno rispetto delle competenze degli Stati membri in linea con l'articolo 168 dei trattati, evitando la frammentazione dei finanziamenti, garantendo un accesso equo all'assistenza sanitaria e riducendo le diseguaglianze sanitarie;</w:t>
      </w:r>
    </w:p>
    <w:p w:rsidR="00AE735B" w:rsidRPr="00BB5DE9" w:rsidP="008419DC" w14:paraId="7FA0D6C4" w14:textId="77777777">
      <w:pPr>
        <w:pStyle w:val="NormalHanging12a"/>
      </w:pPr>
      <w:r w:rsidRPr="00BB5DE9">
        <w:t>2.</w:t>
      </w:r>
      <w:r w:rsidRPr="00BB5DE9">
        <w:tab/>
        <w:t xml:space="preserve">chiede che, nell'ambito dei finanziamenti dell'Unione, la salute pubblica sia trattata come una priorità per l'autonomia strategica, la sicurezza, la coesione sociale e la competitività; sottolinea che gli investimenti dovrebbero migliorare l'accesso a un'assistenza sanitaria di elevata qualità, in particolare nelle regioni scarsamente servite o difficili da raggiungere, comprese le isole e le regioni rurali, montagnose, remote e ultraperiferiche, e sostenere strumenti digitali transfrontalieri interoperabili, compresi i sistemi di intelligenza artificiale, le infrastrutture di dati sanitari, in particolare attraverso l'attuazione dello spazio europeo di dati sanitari; sottolinea che il potenziamento dell'assistenza sanitaria transfrontaliera è essenziale per migliorare un'assistenza accessibile e a prezzi abbordabili e un'efficace mobilità transfrontaliera dei pazienti, in particolare per i pazienti sottoposti a trapianto e i pazienti affetti da malattie rare e patologie complesse, consentendo l'accesso a competenze specializzate, alla diagnosi e al trattamento quando tale assistenza non è disponibile a livello nazionale; </w:t>
      </w:r>
      <w:r w:rsidRPr="00BB5DE9">
        <w:t>ribadisce l'importanza della mobilità volontaria degli operatori sanitari, senza esacerbare le carenze di personale o gli squilibri territoriali negli Stati membri e nelle regioni di origine, nonché di meccanismi coordinati di risposta alle crisi e alle pandemie all'interno dell'UE e in collaborazione con i partner globali; chiede che i finanziamenti dell'UE per la salute riducano le disuguaglianze nell'accesso all'assistenza sanitaria, con particolare attenzione ai bambini, ai pazienti vulnerabili e alle regioni scarsamente servite, anche attraverso la prevenzione, la diagnosi precoce, lo screening e l'assistenza transfrontaliera;</w:t>
      </w:r>
    </w:p>
    <w:p w:rsidR="00AE735B" w:rsidRPr="00BB5DE9" w:rsidP="008419DC" w14:paraId="585C1683" w14:textId="77777777">
      <w:pPr>
        <w:pStyle w:val="NormalHanging12a"/>
      </w:pPr>
      <w:r w:rsidRPr="00BB5DE9">
        <w:t>3.</w:t>
      </w:r>
      <w:r w:rsidRPr="00BB5DE9">
        <w:tab/>
        <w:t>sottolinea che la spesa sanitaria esterna dovrebbe essere destinata alla preparazione, alla sorveglianza e alla resilienza dei sistemi sanitari dei paesi partner, compreso l'accesso ai trattamenti, ai medicinali e ai vaccini essenziali, in particolare laddove ciò contribuisca a prevenire le minacce transfrontaliere e sostenga le responsabilità dell'Unione in materia di sicurezza sanitaria e i suoi valori umanitari; chiede finanziamenti adeguati e prevedibili per l'impiego operativo di operatori sanitari e attrezzature mediche, nonché evacuazioni sanitarie e il trattamento all'interno del territorio dell'Unione di pazienti provenienti da zone di conflitto, in particolare attraverso le operazioni di evacuazione sanitaria del meccanismo di protezione civile dell'Unione, in coordinamento con i sistemi sanitari degli Stati membri e in complementarità con gli strumenti di aiuto umanitario e di politica di sviluppo dell'Unione;</w:t>
      </w:r>
    </w:p>
    <w:p w:rsidR="00AE735B" w:rsidRPr="00BB5DE9" w:rsidP="008419DC" w14:paraId="5FD87C6D" w14:textId="045F7D09">
      <w:pPr>
        <w:pStyle w:val="NormalHanging12a"/>
      </w:pPr>
      <w:r w:rsidRPr="00BB5DE9">
        <w:t>4.</w:t>
      </w:r>
      <w:r w:rsidRPr="00BB5DE9">
        <w:tab/>
        <w:t>osserva con preoccupazione che, nel progetto di bilancio, gli impegni totali per il programma "UE per la salute" passano da 687,9 milioni di EUR nel 2026 a 635,3 milioni di EUR nel 2027, il che rappresenta una riduzione di circa il 7,6 %, e che tale importo rimane al di sotto del livello necessario per soddisfare le crescenti esigenze di sanità pubblica, le pressioni demografiche e gli obiettivi fondamentali del programma; ricorda che la dotazione complessiva del programma è già stata ridotta di quasi 1 miliardo di EUR nel contesto della revisione del quadro finanziario pluriennale del 2024 e ritiene che il programma non possa subire ulteriori riduzioni senza compromettere il conseguimento dei suoi obiettivi ai sensi del regolamento (UE) 2021/522; invita le istituzioni dell'UE a concordare un aumento della dotazione per il programma "UE per la salute" nel progetto di bilancio, prestando particolare attenzione alla sicurezza sanitaria, alla prevenzione, all'accessibilità e all'innovazione nonché all'accesso equo all'assistenza sanitaria e a sistemi sanitari resilienti; sottolinea che il livello insufficiente dei finanziamenti per l'attuazione del regolamento sui medicinali critici e del pacchetto farmaceutico rischia di limitare l'efficacia di tali iniziative nell'affrontare le carenze, diversificare le catene di approvvigionamento e rafforzare l'autonomia strategica dell'Unione in materia di salute; chiede azioni specifiche e dotate di risorse adeguate nell'ambito del programma "UE per la salute" a sostegno dei medicinali e dei dispositivi medici critici, compreso il sostegno agli investimenti che rafforzano e diversificano la capacità di produzione nell'UE di medicinali critici, principi attivi farmaceutici e dispositivi medici essenziali, al fine di migliorare la sicurezza dell'approvvigionamento e ridurre le dipendenze strategiche, appalti collaborativi volontari rafforzati, misure di preparazione, comprese, se del caso, riserve strategiche di medicinali critici e attrezzature mediche essenziali, e una migliore trasparenza sulle catene di approvvigionamento e sui livelli delle scorte;</w:t>
      </w:r>
    </w:p>
    <w:p w:rsidR="00AE735B" w:rsidRPr="00BB5DE9" w:rsidP="008419DC" w14:paraId="0F2A3D77" w14:textId="77777777">
      <w:pPr>
        <w:pStyle w:val="NormalHanging12a"/>
      </w:pPr>
      <w:r w:rsidRPr="00BB5DE9">
        <w:t>5.</w:t>
      </w:r>
      <w:r w:rsidRPr="00BB5DE9">
        <w:tab/>
        <w:t xml:space="preserve">chiede un maggiore coordinamento tra il programma "UE per la salute", il FSE+, </w:t>
      </w:r>
      <w:r w:rsidRPr="00BB5DE9">
        <w:t>Erasmus+ e i finanziamenti per la coesione per affrontare le carenze di personale sanitario, sostenendo la formazione, il miglioramento delle competenze e il mantenimento in servizio degli operatori sanitari, con il coinvolgimento di università specializzate in medicina e farmacia, come pure degli ospedali universitari, anche nelle regioni scarsamente servite, in particolare nei settori dell'assistenza sanitaria di base e della salute mentale; sottolinea che tale coordinamento non dovrebbe comportare inutili oneri amministrativi; sottolinea il ruolo chiave del FSE+ nella promozione dell'equità sanitaria e nel contrasto alle disparità nell'accesso all'assistenza sanitaria e invita a rafforzare il sostegno del FSE+ agli Stati membri nell'affrontare le carenze di personale sanitario, anche attraverso misure volte a migliorare le condizioni di lavoro, la mobilità e il mantenimento in servizio degli operatori sanitari, in particolare negli Stati membri e nelle regioni caratterizzate da persistenti deflussi di forza lavoro, sostenendo nel contempo il rimpatrio volontario e rispettando pienamente la libertà di circolazione; ribadisce l'importanza di disporre di indicatori chiave di prestazione chiari e qualitativi con obiettivi misurabili e risultati basati sui pazienti stabiliti nei programmi di lavoro annuali, di garantire la trasparenza e di evitare duplicazioni tra i programmi dell'UE;</w:t>
      </w:r>
    </w:p>
    <w:p w:rsidR="00AE735B" w:rsidRPr="00BB5DE9" w:rsidP="008419DC" w14:paraId="6284A5DE" w14:textId="77777777">
      <w:pPr>
        <w:pStyle w:val="NormalHanging12a"/>
      </w:pPr>
      <w:r w:rsidRPr="00BB5DE9">
        <w:t>6.</w:t>
      </w:r>
      <w:r w:rsidRPr="00BB5DE9">
        <w:tab/>
        <w:t>invita a utilizzare in modo efficace i fondi della politica di coesione per colmare i divari territoriali nell'accesso alle cure e sostenere l'ammodernamento degli ospedali, delle strutture territoriali, delle reti di emergenza-urgenza e delle infrastrutture sanitarie e digitali nelle regioni meno sviluppate, rurali, montane, scarsamente servite e difficili da raggiungere; sottolinea che gli investimenti infrastrutturali dovrebbero essere accompagnati da una programmazione adeguata del personale, della prestazione dei servizi e della sostenibilità operativa, affinché le nuove strutture siano pienamente operative e producano benefici duraturi per i cittadini;</w:t>
      </w:r>
    </w:p>
    <w:p w:rsidR="00AE735B" w:rsidRPr="00BB5DE9" w:rsidP="008419DC" w14:paraId="15DC12DD" w14:textId="77777777">
      <w:pPr>
        <w:pStyle w:val="NormalHanging12a"/>
      </w:pPr>
      <w:r w:rsidRPr="00BB5DE9">
        <w:t>7.</w:t>
      </w:r>
      <w:r w:rsidRPr="00BB5DE9">
        <w:tab/>
        <w:t>ricorda che l'articolo 5 del regolamento (UE) 2021/522 riserva almeno il 20 % della dotazione totale del programma alla promozione della salute e alla prevenzione delle malattie; invita la Commissione a tener fede a tale impegno nel programma di lavoro annuale per il 2027 e nella sua attuazione; sottolinea che la prevenzione è una delle forme di spesa sanitaria più efficaci sotto il profilo dei costi, poiché limita la pressione a lungo termine sui bilanci pubblici;</w:t>
      </w:r>
    </w:p>
    <w:p w:rsidR="00AE735B" w:rsidRPr="00BB5DE9" w:rsidP="008419DC" w14:paraId="36CC5A43" w14:textId="77777777">
      <w:pPr>
        <w:pStyle w:val="NormalHanging12a"/>
      </w:pPr>
      <w:r w:rsidRPr="00BB5DE9">
        <w:t>8.</w:t>
      </w:r>
      <w:r w:rsidRPr="00BB5DE9">
        <w:tab/>
        <w:t>osserva che il 2027 è l'ultimo anno del programma "UE per la salute" come strumento autonomo; invita la Commissione a garantire che le azioni pluriennali avviate o in corso nell'ambito del programma, comprese le reti di riferimento europee, le azioni congiunte con gli Stati membri, lo sviluppo e gli appalti di contromisure mediche dell'HERA e la diffusione dello spazio europeo dei dati sanitari, continuino senza interruzioni o carenze di finanziamento nell'architettura finanziaria dopo il 2027;</w:t>
      </w:r>
    </w:p>
    <w:p w:rsidR="00AE735B" w:rsidRPr="00BB5DE9" w:rsidP="008419DC" w14:paraId="58AF9C19" w14:textId="77777777">
      <w:pPr>
        <w:pStyle w:val="NormalHanging12a"/>
      </w:pPr>
      <w:r w:rsidRPr="00BB5DE9">
        <w:t>9.</w:t>
      </w:r>
      <w:r w:rsidRPr="00BB5DE9">
        <w:tab/>
        <w:t xml:space="preserve">sottolinea l'importanza di garantire la partecipazione continua e l'accessibilità delle organizzazioni della società civile nel settore sanitario, comprese le organizzazioni dei pazienti, alle azioni dell'Unione in materia di salute, riconoscendo il loro ruolo essenziale nella definizione di politiche incentrate sul paziente, nel sostegno all'attuazione e nel miglioramento dell'accesso alle cure; insiste affinché la visibilità, la tracciabilità e la valutabilità della spesa sanitaria dell'Unione siano preservate nell'architettura futura; prende atto delle preoccupazioni derivanti dall'interruzione delle sovvenzioni di funzionamento per le organizzazioni della società civile del settore </w:t>
      </w:r>
      <w:r w:rsidRPr="00BB5DE9">
        <w:t>sanitario, comprese le organizzazioni dei pazienti, nell'ambito del programma di lavoro "UE per la salute" 2025, in particolare per quanto riguarda la continuità delle attività e il sostegno ai pazienti e alle comunità; sottolinea l'importanza di meccanismi di sostegno adeguati e trasparenti per tali organizzazioni; riconosce il loro contributo agli obiettivi dell'Unione in materia di salute; prende atto dei risultati della valutazione intermedia del programma "UE per la salute" per quanto riguarda il contributo delle organizzazioni della società civile all'attuazione del programma e chiede che il futuro sostegno, compresa l'eventuale reintroduzione di sovvenzioni di funzionamento nel programma di lavoro 2027, sia basato su criteri chiari di valore aggiunto europeo, trasparenza, neutralità, sana gestione finanziaria e impatto misurabile, e sia attuato conformemente al diritto dell'Unione e alle rispettive competenze degli Stati membri;</w:t>
      </w:r>
    </w:p>
    <w:p w:rsidR="00AE735B" w:rsidRPr="00BB5DE9" w:rsidP="008419DC" w14:paraId="64044A2A" w14:textId="77777777">
      <w:pPr>
        <w:pStyle w:val="NormalHanging12a"/>
      </w:pPr>
      <w:r w:rsidRPr="00BB5DE9">
        <w:t>10.</w:t>
      </w:r>
      <w:r w:rsidRPr="00BB5DE9">
        <w:tab/>
        <w:t>incoraggia la mobilitazione di risorse aggiuntive attraverso canali alternativi, quali InvestEU, STEP ed Europa digitale, a condizione che i risultati in materia di salute pubblica e l'accesso dei pazienti restino criteri centrali; sottolinea che tali strumenti dovrebbero essere utilizzati come priorità per rafforzare la competitività europea nel settore sanitario e promuovere la produzione di tecnologie sanitarie strategiche; sottolinea la necessità di una spesa per la sanità pubblica trasparente e orientata ai risultati, che presti particolare attenzione alla salute mentale e ai disturbi neurologici, alla sanità digitale e all'IA, alla resistenza agli antimicrobici, alle zoonosi e alle malattie non trasmissibili, come le malattie cardiovascolari, il diabete, in particolare nei bambini, l'obesità, le malattie renali croniche, le malattie epatiche, le malattie rare e il cancro, nonché all'assistenza sanitaria di base, alla promozione di stili di vita salutari, alla ricerca sull'eposoma e a investimenti costanti nel personale sanitario; sottolinea l'importanza di un approccio alla salute pubblica basato sull'intero arco della vita che sostenga i cittadini, comprese le persone con disturbi dello spettro autistico, tramite istituzioni adeguate di assistenza e sostegno lungo tutto l'arco della vita; sottolinea, in particolare, l'importanza di proteggere la salute mentale e il benessere digitale dei bambini e dei giovani, comprese le sfide relative all'uso eccessivo dello schermo, all'uso nocivo di sostanze e ai danni connessi al gioco d'azzardo;</w:t>
      </w:r>
    </w:p>
    <w:p w:rsidR="00AE735B" w:rsidRPr="00BB5DE9" w:rsidP="008419DC" w14:paraId="139E1A5B" w14:textId="77777777">
      <w:pPr>
        <w:pStyle w:val="NormalHanging12a"/>
      </w:pPr>
      <w:r w:rsidRPr="00BB5DE9">
        <w:t>11.</w:t>
      </w:r>
      <w:r w:rsidRPr="00BB5DE9">
        <w:tab/>
        <w:t xml:space="preserve">sottolinea che la lotta alla resistenza agli antimicrobici, in linea con l'approccio "One Health", richiede finanziamenti specifici per sostenere la ricerca di soluzioni innovative, anche in materia di nuovi antimicrobici, strumenti diagnostici e alternative agli antimicrobici, nonché solide misure di prevenzione e controllo delle infezioni; sottolinea la necessità di affrontare la prevenzione della resistenza agli antimicrobici attraverso investimenti in sistemi di sorveglianza interoperabili e condivisione dei dati, in particolare il trattamento delle infezioni associate all'assistenza sanitaria, sulla base delle reti di sorveglianza coordinate dall'ECDC, nonché la necessità di finanziamenti per rafforzare la sanità pubblica nazionale e regionale e i laboratori veterinari, la sorveglianza genomica delle zoonosi e delle infezioni di origine alimentare e lo scambio interoperabile di dati tra le autorità competenti per la salute umana, la medicina veterinaria, la sicurezza alimentare e l'ambiente; sottolinea che, per ridurre le disuguaglianze sanitarie in tutta l'Unione, è fondamentale investire in sistemi sanitari pubblici di alta qualità, comprese misure efficaci di prevenzione e controllo delle infezioni, un organico adeguato, attrezzature moderne, competenze cliniche e accessibilità per il personale sanitario e i pazienti; chiede finanziamenti per sostenere la prevenzione delle malattie, un approccio globale di promozione della salute e la lotta </w:t>
      </w:r>
      <w:r w:rsidRPr="00BB5DE9">
        <w:t>contro vari determinanti della salute, comprese misure a livello locale, come l'installazione di defibrillatori automatici esterni (DAE) nelle scuole e l'installazione di fontane igieniche di acqua potabile nelle scuole e negli spazi pubblici, finanziate attraverso una linea sanitaria dedicata o investimenti di coesione, se del caso;</w:t>
      </w:r>
    </w:p>
    <w:p w:rsidR="00AE735B" w:rsidRPr="00BB5DE9" w:rsidP="008419DC" w14:paraId="3365DA85" w14:textId="77777777">
      <w:pPr>
        <w:pStyle w:val="NormalHanging12a"/>
      </w:pPr>
      <w:r w:rsidRPr="00BB5DE9">
        <w:t>12.</w:t>
      </w:r>
      <w:r w:rsidRPr="00BB5DE9">
        <w:tab/>
        <w:t>chiede un sostegno di bilancio a favore di misure concrete che migliorino le condizioni di lavoro, lo sviluppo professionale e il mantenimento in servizio degli operatori sanitari, compresi la formazione, la riqualificazione, gli investimenti nelle competenze digitali e i programmi di rimpatrio, in particolare nelle zone scarsamente servite e difficili da raggiungere, nonché un migliore utilizzo dei fondi dell'UE a sostegno di un'assistenza moderna, digitalizzata e sul territorio promuovendo gli investimenti che rafforzano in modo tangibile la capacità operativa dei sistemi sanitari;</w:t>
      </w:r>
    </w:p>
    <w:p w:rsidR="00AE735B" w:rsidRPr="00BB5DE9" w:rsidP="008419DC" w14:paraId="657CE267" w14:textId="77777777">
      <w:pPr>
        <w:pStyle w:val="NormalHanging12a"/>
      </w:pPr>
      <w:r w:rsidRPr="00BB5DE9">
        <w:t>13.</w:t>
      </w:r>
      <w:r w:rsidRPr="00BB5DE9">
        <w:tab/>
        <w:t>chiede un sostegno mirato dell'Unione, nel pieno rispetto delle competenze degli Stati membri, per rafforzare l'assistenza accessibile sul territorio, compresa l'assistenza di base, la medicina rurale, le farmacie di prossimità, la telemedicina, i servizi di trasporto medico e dei pazienti di emergenza, l'assistenza a lungo termine, agli anziani, palliativa e alle persone con disabilità, nonché i servizi materni, pediatrici e neonatali, in particolare nelle zone scarsamente servite e difficili da raggiungere; sottolinea l'importanza della prevenzione, dello screening, della diagnosi precoce, dell'assistenza sanitaria e sociale integrata, del sostegno ai prestatori di assistenza informale e dell'accesso alle competenze transfrontaliere per i casi complessi;</w:t>
      </w:r>
    </w:p>
    <w:p w:rsidR="00AE735B" w:rsidRPr="00BB5DE9" w:rsidP="008419DC" w14:paraId="03066B34" w14:textId="77777777">
      <w:pPr>
        <w:pStyle w:val="NormalHanging12a"/>
      </w:pPr>
      <w:r w:rsidRPr="00BB5DE9">
        <w:t>14.</w:t>
      </w:r>
      <w:r w:rsidRPr="00BB5DE9">
        <w:tab/>
        <w:t>insiste sul fatto che la spesa sanitaria dell'UE nell'ambito del bilancio 2027 dovrebbe essere trasparente, orientata ai risultati e collegata a esiti misurabili e qualitativi, tra cui un migliore accesso all'assistenza, minori disparità territoriali, una prevenzione più forte e una migliore preparazione;</w:t>
      </w:r>
    </w:p>
    <w:p w:rsidR="00AE735B" w:rsidRPr="00BB5DE9" w:rsidP="008419DC" w14:paraId="284B5EF1" w14:textId="77777777">
      <w:pPr>
        <w:pStyle w:val="NormalHanging12a"/>
      </w:pPr>
      <w:r w:rsidRPr="00BB5DE9">
        <w:t>15.</w:t>
      </w:r>
      <w:r w:rsidRPr="00BB5DE9">
        <w:tab/>
        <w:t>chiede il rafforzamento, l'ampliamento e l'assegnazione di risorse adeguate alle reti di riferimento europee (ERN) per le malattie rare e complesse, compreso un sostegno costante alle loro infrastrutture digitali, alla consultazione transfrontaliera dei casi e all'integrazione nei sistemi sanitari nazionali; sottolinea la necessità di migliorare l'equità e la rapidità delle diagnosi, l'accesso a competenze specialistiche e la continuità dell'assistenza per i pazienti affetti da malattie rare in tutta l'Unione; sostiene, in tale contesto, l'istituzione, preceduta da una valutazione delle strutture esistenti e dei costi amministrativi, di una struttura dedicata dell'UE, come un'agenzia europea o un centro europeo per le malattie rare, al fine di riunire la ricerca, lo screening, i dati, i registri, le migliori pratiche e i percorsi terapeutici e di massimizzare il valore aggiunto del coordinamento a livello dell'UE nel settore delle malattie rare; sottolinea che, in particolare, i bambini affetti da malattie rare e complesse nonché da tumori pediatrici, richiedono una diagnosi tempestiva, percorsi di assistenza specializzati e un continuo accesso transfrontaliero alle competenze; sottolinea l'importanza di rafforzare la capacità dell'UE negli ambiti della ricerca, delle sperimentazioni cliniche, della produzione e dell'accesso equo ai trattamenti innovativi;</w:t>
      </w:r>
    </w:p>
    <w:p w:rsidR="00AE735B" w:rsidRPr="00BB5DE9" w:rsidP="008419DC" w14:paraId="6E860E1B" w14:textId="77777777">
      <w:pPr>
        <w:pStyle w:val="NormalHanging12a"/>
      </w:pPr>
      <w:r w:rsidRPr="00BB5DE9">
        <w:t>16.</w:t>
      </w:r>
      <w:r w:rsidRPr="00BB5DE9">
        <w:tab/>
        <w:t xml:space="preserve">invita la Commissione a includere nel programma di lavoro "UE per la salute" per il 2027 finanziamenti dedicati alle reti di esperti attuate nell'ambito della seconda azione congiunta sulle reti di esperti sul cancro (JANE-2) e alla rete europea di centri </w:t>
      </w:r>
      <w:r w:rsidRPr="00BB5DE9">
        <w:t>oncologici integrati attuata nell'ambito dell'azione congiunta EUnetCCC, al fine di salvaguardarne il coordinamento di base e le operazioni; sottolinea che un sostegno costante nel 2027 è essenziale per preservare l'ecosistema emergente delle reti oncologiche dell'UE sviluppate nell'ambito del piano europeo di lotta contro il cancro e per garantire la continuità in attesa dei futuri accordi di finanziamento dell'Unione in materia di salute; sottolinea l'importanza di integrare tali reti con i sistemi sanitari nazionali e regionali, nel pieno rispetto delle competenze degli Stati membri per l'organizzazione e l'erogazione dell'assistenza sanitaria;</w:t>
      </w:r>
    </w:p>
    <w:p w:rsidR="00AE735B" w:rsidRPr="00BB5DE9" w:rsidP="008419DC" w14:paraId="27D80863" w14:textId="77777777">
      <w:pPr>
        <w:pStyle w:val="NormalHanging12a"/>
      </w:pPr>
      <w:r w:rsidRPr="00BB5DE9">
        <w:t>17.</w:t>
      </w:r>
      <w:r w:rsidRPr="00BB5DE9">
        <w:tab/>
        <w:t>accoglie con favore gli aumenti proposti dei contributi dell'Unione al Centro europeo per la prevenzione e il controllo delle malattie (ECDC) e l'aumento complessivo del bilancio dell'Agenzia europea per i medicinali (EMA), sottolineando nel contempo che le risorse devono essere commisurate ai nuovi compiti derivanti dalla legislazione sulle gravi minacce per la salute a carattere transfrontaliero e dal pacchetto farmaceutico; chiede una revisione del personale e delle capacità dell'ECDC e dell'EMA alla luce dei loro mandati ampliati, al fine di evitare una carenza strutturale di risorse e di garantire che le agenzie possano fornire consulenza scientifica e coordinamento tempestivi e di elevata qualità;</w:t>
      </w:r>
    </w:p>
    <w:p w:rsidR="00AE735B" w:rsidRPr="00BB5DE9" w:rsidP="008419DC" w14:paraId="25C68B11" w14:textId="77777777">
      <w:pPr>
        <w:pStyle w:val="NormalHanging12a"/>
      </w:pPr>
      <w:r w:rsidRPr="00BB5DE9">
        <w:t>18.</w:t>
      </w:r>
      <w:r w:rsidRPr="00BB5DE9">
        <w:tab/>
        <w:t>chiede il ripristino degli impegni del programma "UE per la salute" almeno al livello del 2026, osservando che gli impegni diminuiscono da 661,3 milioni di EUR nel 2026 a 606 milioni di EUR nel 2027, il che rappresenta una riduzione di oltre l'8 %; sottolinea che gli impegni sono essenziali per la capacità dell'Unione di avviare e finanziare nuove azioni sanitarie nei prossimi anni, anche in materia di preparazione, prevenzione, accesso all'innovazione, medicinali critici, cancro, salute cardiovascolare, salute mentale, malattie rare e personale sanitario;</w:t>
      </w:r>
    </w:p>
    <w:p w:rsidR="00AE735B" w:rsidRPr="00BB5DE9" w:rsidP="008419DC" w14:paraId="4CD1E17E" w14:textId="77777777">
      <w:pPr>
        <w:pStyle w:val="NormalHanging12a"/>
      </w:pPr>
      <w:r w:rsidRPr="00BB5DE9">
        <w:t>19.</w:t>
      </w:r>
      <w:r w:rsidRPr="00BB5DE9">
        <w:tab/>
        <w:t>accoglie con favore il costante sostegno alle capacità del meccanismo unionale di protezione civile (UCPM) a livello sanitario, comprese le scorte mediche di rescEU, il che contribuisce alle capacità di evacuazione sanitaria e alle riserve di preparazione in ambito chimico, biologico, radiologico e nucleare (CBRN); sottolinea che le capacità dell'UCPM a livello sanitario dovrebbero essere adeguatamente finanziate al fine di garantire una rapida mobilitazione in caso di crisi; sottolinea l'importanza di uno stretto coordinamento tra l'UCPM, la DG HERA, il programma "UE per la salute" e le autorità nazionali di protezione civile e sanitarie al fine di evitare sovrapposizioni, rafforzare la preparazione, massimizzare le sinergie e garantire un uso efficiente delle risorse; chiede inoltre risorse adeguate per l'impegno internazionale dell'HERA, compresa la cooperazione efficace con istituzioni sanitarie globali, per lo sviluppo e l'equa diffusione di contromisure mediche e per sostenere i sistemi sanitari.</w:t>
      </w:r>
    </w:p>
    <w:p w:rsidR="00AE735B" w:rsidRPr="00BB5DE9" w:rsidP="008419DC" w14:paraId="2AC48234" w14:textId="77777777">
      <w:pPr>
        <w:widowControl/>
        <w:sectPr w:rsidSect="00AE735B">
          <w:headerReference w:type="even" r:id="rId33"/>
          <w:headerReference w:type="default" r:id="rId34"/>
          <w:headerReference w:type="first" r:id="rId35"/>
          <w:footerReference w:type="first" r:id="rId36"/>
          <w:footnotePr>
            <w:numRestart w:val="eachSect"/>
          </w:footnotePr>
          <w:endnotePr>
            <w:numFmt w:val="decimal"/>
          </w:endnotePr>
          <w:pgSz w:w="11906" w:h="16838" w:code="9"/>
          <w:pgMar w:top="1134" w:right="1418" w:bottom="1134" w:left="1418" w:header="1134" w:footer="567" w:gutter="0"/>
          <w:cols w:space="720"/>
          <w:noEndnote/>
          <w:docGrid w:linePitch="326"/>
        </w:sectPr>
      </w:pPr>
    </w:p>
    <w:p w:rsidR="00AE735B" w:rsidRPr="00BB5DE9" w:rsidP="008419DC" w14:paraId="4FC3E027" w14:textId="77777777">
      <w:pPr>
        <w:widowControl/>
      </w:pPr>
    </w:p>
    <w:p w:rsidR="00AE735B" w:rsidRPr="00BB5DE9" w:rsidP="008419DC" w14:paraId="287B1B26" w14:textId="77777777">
      <w:pPr>
        <w:pStyle w:val="PageHeadingNotTOC"/>
      </w:pPr>
      <w:r w:rsidRPr="00BB5DE9">
        <w:t>ALLEGATO: DICHIARAZIONE DEI CONTRIBUTI</w:t>
      </w:r>
    </w:p>
    <w:p w:rsidR="00AE735B" w:rsidRPr="00BB5DE9" w:rsidP="008419DC" w14:paraId="15CD58A0" w14:textId="77777777">
      <w:pPr>
        <w:pStyle w:val="Normal24a"/>
        <w:rPr>
          <w:lang w:val="it-IT"/>
        </w:rPr>
      </w:pPr>
      <w:r w:rsidRPr="00BB5DE9">
        <w:rPr>
          <w:rStyle w:val="HideTWBExt"/>
          <w:lang w:val="it-IT"/>
        </w:rPr>
        <w:t>&lt;FootprintIntro&gt;</w:t>
      </w:r>
      <w:r w:rsidRPr="00BB5DE9">
        <w:rPr>
          <w:lang w:val="it-IT"/>
        </w:rPr>
        <w:t>Il relatore per parere dichiara, sotto la sua esclusiva responsabilità, di non aver incluso nel suo parere alcun contributo di rappresentanti di interessi che rientrano nell'ambito di applicazione dell'accordo interistituzionale su un registro per la trasparenza obbligatorio</w:t>
      </w:r>
      <w:r>
        <w:rPr>
          <w:rStyle w:val="FootnoteReference"/>
          <w:lang w:val="it-IT"/>
        </w:rPr>
        <w:footnoteReference w:id="24"/>
      </w:r>
      <w:r w:rsidRPr="00BB5DE9">
        <w:rPr>
          <w:lang w:val="it-IT"/>
        </w:rPr>
        <w:t>, o di rappresentanti delle pubbliche autorità di paesi terzi, incluse le loro missioni diplomatiche e ambasciate, da enumerare nel presente allegato in virtù dell'allegato I, articolo 8, del regolamento.</w:t>
      </w:r>
      <w:r w:rsidRPr="00BB5DE9">
        <w:rPr>
          <w:rStyle w:val="HideTWBExt"/>
          <w:lang w:val="it-IT"/>
        </w:rPr>
        <w:t>&lt;/FootprintIntro&gt;</w:t>
      </w:r>
    </w:p>
    <w:p w:rsidR="00AE735B" w:rsidRPr="00BB5DE9" w:rsidP="008419DC" w14:paraId="01CDA11C" w14:textId="77777777">
      <w:pPr>
        <w:pStyle w:val="NormalHanging12a"/>
      </w:pPr>
    </w:p>
    <w:p w:rsidR="00AE735B" w:rsidRPr="00BB5DE9" w:rsidP="008419DC" w14:paraId="48AA5E60" w14:textId="77777777"/>
    <w:p w:rsidR="00AE735B" w:rsidRPr="00BB5DE9" w:rsidP="008419DC" w14:paraId="4AF3735A" w14:textId="77777777">
      <w:pPr>
        <w:sectPr w:rsidSect="00AE735B">
          <w:footnotePr>
            <w:numRestart w:val="eachSect"/>
          </w:footnotePr>
          <w:endnotePr>
            <w:numFmt w:val="decimal"/>
          </w:endnotePr>
          <w:pgSz w:w="11906" w:h="16838" w:code="9"/>
          <w:pgMar w:top="1134" w:right="1418" w:bottom="1418" w:left="1418" w:header="1134" w:footer="567" w:gutter="0"/>
          <w:cols w:space="720"/>
          <w:noEndnote/>
          <w:docGrid w:linePitch="326"/>
        </w:sectPr>
      </w:pPr>
    </w:p>
    <w:p w:rsidR="00AE735B" w:rsidRPr="00BB5DE9" w:rsidP="00331D14" w14:paraId="789D1271" w14:textId="77777777">
      <w:pPr>
        <w:pStyle w:val="PageHeadingNotTOC"/>
      </w:pPr>
      <w:r w:rsidRPr="00BB5DE9">
        <w:t>INFORMAZIONI SULL'APPROVAZIONE DA PARTE DELLA COMMISSIONE COMPETENTE PER PARERE</w:t>
      </w:r>
    </w:p>
    <w:tbl>
      <w:tblPr>
        <w:tblW w:w="0" w:type="auto"/>
        <w:tblInd w:w="-10" w:type="dxa"/>
        <w:tblLayout w:type="fixed"/>
        <w:tblCellMar>
          <w:left w:w="0" w:type="dxa"/>
          <w:right w:w="0" w:type="dxa"/>
        </w:tblCellMar>
        <w:tblLook w:val="0000"/>
      </w:tblPr>
      <w:tblGrid>
        <w:gridCol w:w="3685"/>
        <w:gridCol w:w="1530"/>
        <w:gridCol w:w="1474"/>
        <w:gridCol w:w="1474"/>
        <w:gridCol w:w="1474"/>
      </w:tblGrid>
      <w:tr w14:paraId="6126A648" w14:textId="77777777" w:rsidTr="00D27C1D">
        <w:tblPrEx>
          <w:tblW w:w="0" w:type="auto"/>
          <w:tblInd w:w="-10" w:type="dxa"/>
          <w:tblLayout w:type="fixed"/>
          <w:tblCellMar>
            <w:left w:w="0" w:type="dxa"/>
            <w:right w:w="0" w:type="dxa"/>
          </w:tblCellMar>
          <w:tblLook w:val="0000"/>
        </w:tblPrEx>
        <w:tc>
          <w:tcPr>
            <w:tcW w:w="3685" w:type="dxa"/>
            <w:tcBorders>
              <w:top w:val="single" w:sz="8" w:space="0" w:color="000000"/>
              <w:left w:val="single" w:sz="8" w:space="0" w:color="000000"/>
              <w:bottom w:val="single" w:sz="8" w:space="0" w:color="000000"/>
              <w:right w:val="single" w:sz="8" w:space="0" w:color="000000"/>
            </w:tcBorders>
            <w:tcMar>
              <w:top w:w="79" w:type="dxa"/>
              <w:left w:w="79" w:type="dxa"/>
              <w:bottom w:w="79" w:type="dxa"/>
              <w:right w:w="79" w:type="dxa"/>
            </w:tcMar>
          </w:tcPr>
          <w:p w:rsidR="00AE735B" w:rsidRPr="00BB5DE9" w:rsidP="00D27C1D" w14:paraId="3CD97595" w14:textId="77777777">
            <w:pPr>
              <w:autoSpaceDE w:val="0"/>
              <w:autoSpaceDN w:val="0"/>
              <w:adjustRightInd w:val="0"/>
              <w:rPr>
                <w:b/>
                <w:bCs/>
                <w:color w:val="000000"/>
                <w:sz w:val="20"/>
              </w:rPr>
            </w:pPr>
            <w:r w:rsidRPr="00BB5DE9">
              <w:rPr>
                <w:b/>
                <w:color w:val="000000"/>
                <w:sz w:val="20"/>
              </w:rPr>
              <w:t>Approvazione</w:t>
            </w:r>
          </w:p>
        </w:tc>
        <w:tc>
          <w:tcPr>
            <w:tcW w:w="1530" w:type="dxa"/>
            <w:tcBorders>
              <w:top w:val="single" w:sz="8" w:space="0" w:color="000000"/>
              <w:left w:val="nil"/>
              <w:bottom w:val="single" w:sz="8" w:space="0" w:color="000000"/>
              <w:right w:val="nil"/>
            </w:tcBorders>
            <w:tcMar>
              <w:top w:w="79" w:type="dxa"/>
              <w:left w:w="79" w:type="dxa"/>
              <w:bottom w:w="79" w:type="dxa"/>
              <w:right w:w="79" w:type="dxa"/>
            </w:tcMar>
          </w:tcPr>
          <w:p w:rsidR="00AE735B" w:rsidRPr="00BB5DE9" w:rsidP="00D27C1D" w14:paraId="7D80AAC5" w14:textId="77777777">
            <w:pPr>
              <w:autoSpaceDE w:val="0"/>
              <w:autoSpaceDN w:val="0"/>
              <w:adjustRightInd w:val="0"/>
              <w:rPr>
                <w:color w:val="000000"/>
                <w:sz w:val="20"/>
              </w:rPr>
            </w:pPr>
            <w:r w:rsidRPr="00BB5DE9">
              <w:rPr>
                <w:color w:val="000000"/>
                <w:sz w:val="20"/>
              </w:rPr>
              <w:t>7.9.2026</w:t>
            </w:r>
          </w:p>
        </w:tc>
        <w:tc>
          <w:tcPr>
            <w:tcW w:w="1474" w:type="dxa"/>
            <w:tcBorders>
              <w:top w:val="single" w:sz="8" w:space="0" w:color="000000"/>
              <w:left w:val="nil"/>
              <w:bottom w:val="single" w:sz="8" w:space="0" w:color="000000"/>
              <w:right w:val="nil"/>
            </w:tcBorders>
            <w:tcMar>
              <w:top w:w="79" w:type="dxa"/>
              <w:left w:w="79" w:type="dxa"/>
              <w:bottom w:w="79" w:type="dxa"/>
              <w:right w:w="79" w:type="dxa"/>
            </w:tcMar>
          </w:tcPr>
          <w:p w:rsidR="00AE735B" w:rsidRPr="00BB5DE9" w:rsidP="00D27C1D" w14:paraId="4C243902" w14:textId="77777777">
            <w:pPr>
              <w:autoSpaceDE w:val="0"/>
              <w:autoSpaceDN w:val="0"/>
              <w:adjustRightInd w:val="0"/>
              <w:rPr>
                <w:rFonts w:ascii="sans-serif" w:hAnsi="sans-serif" w:cs="sans-serif"/>
                <w:color w:val="000000"/>
              </w:rPr>
            </w:pPr>
          </w:p>
        </w:tc>
        <w:tc>
          <w:tcPr>
            <w:tcW w:w="1474" w:type="dxa"/>
            <w:tcBorders>
              <w:top w:val="single" w:sz="8" w:space="0" w:color="000000"/>
              <w:left w:val="nil"/>
              <w:bottom w:val="single" w:sz="8" w:space="0" w:color="000000"/>
              <w:right w:val="nil"/>
            </w:tcBorders>
            <w:tcMar>
              <w:top w:w="79" w:type="dxa"/>
              <w:left w:w="79" w:type="dxa"/>
              <w:bottom w:w="79" w:type="dxa"/>
              <w:right w:w="79" w:type="dxa"/>
            </w:tcMar>
          </w:tcPr>
          <w:p w:rsidR="00AE735B" w:rsidRPr="00BB5DE9" w:rsidP="00D27C1D" w14:paraId="24ABDBDE" w14:textId="77777777">
            <w:pPr>
              <w:autoSpaceDE w:val="0"/>
              <w:autoSpaceDN w:val="0"/>
              <w:adjustRightInd w:val="0"/>
              <w:rPr>
                <w:rFonts w:ascii="sans-serif" w:hAnsi="sans-serif" w:cs="sans-serif"/>
                <w:color w:val="000000"/>
              </w:rPr>
            </w:pPr>
          </w:p>
        </w:tc>
        <w:tc>
          <w:tcPr>
            <w:tcW w:w="1474" w:type="dxa"/>
            <w:tcBorders>
              <w:top w:val="single" w:sz="8" w:space="0" w:color="000000"/>
              <w:left w:val="nil"/>
              <w:bottom w:val="single" w:sz="8" w:space="0" w:color="000000"/>
              <w:right w:val="single" w:sz="8" w:space="0" w:color="000000"/>
            </w:tcBorders>
            <w:tcMar>
              <w:top w:w="79" w:type="dxa"/>
              <w:left w:w="79" w:type="dxa"/>
              <w:bottom w:w="79" w:type="dxa"/>
              <w:right w:w="79" w:type="dxa"/>
            </w:tcMar>
          </w:tcPr>
          <w:p w:rsidR="00AE735B" w:rsidRPr="00BB5DE9" w:rsidP="00D27C1D" w14:paraId="701E9AD4" w14:textId="77777777">
            <w:pPr>
              <w:autoSpaceDE w:val="0"/>
              <w:autoSpaceDN w:val="0"/>
              <w:adjustRightInd w:val="0"/>
              <w:rPr>
                <w:rFonts w:ascii="sans-serif" w:hAnsi="sans-serif" w:cs="sans-serif"/>
                <w:color w:val="000000"/>
              </w:rPr>
            </w:pPr>
          </w:p>
        </w:tc>
      </w:tr>
      <w:tr w14:paraId="63C67725" w14:textId="77777777" w:rsidTr="00D27C1D">
        <w:tblPrEx>
          <w:tblW w:w="0" w:type="auto"/>
          <w:tblInd w:w="-10" w:type="dxa"/>
          <w:tblLayout w:type="fixed"/>
          <w:tblCellMar>
            <w:left w:w="0" w:type="dxa"/>
            <w:right w:w="0" w:type="dxa"/>
          </w:tblCellMar>
          <w:tblLook w:val="0000"/>
        </w:tblPrEx>
        <w:tc>
          <w:tcPr>
            <w:tcW w:w="3685" w:type="dxa"/>
            <w:tcBorders>
              <w:top w:val="single" w:sz="8" w:space="0" w:color="000000"/>
              <w:left w:val="single" w:sz="8" w:space="0" w:color="000000"/>
              <w:bottom w:val="single" w:sz="8" w:space="0" w:color="000000"/>
              <w:right w:val="single" w:sz="8" w:space="0" w:color="000000"/>
            </w:tcBorders>
            <w:tcMar>
              <w:top w:w="79" w:type="dxa"/>
              <w:left w:w="79" w:type="dxa"/>
              <w:bottom w:w="79" w:type="dxa"/>
              <w:right w:w="79" w:type="dxa"/>
            </w:tcMar>
          </w:tcPr>
          <w:p w:rsidR="00AE735B" w:rsidRPr="00BB5DE9" w:rsidP="00D27C1D" w14:paraId="22C60E52" w14:textId="77777777">
            <w:pPr>
              <w:autoSpaceDE w:val="0"/>
              <w:autoSpaceDN w:val="0"/>
              <w:adjustRightInd w:val="0"/>
              <w:rPr>
                <w:b/>
                <w:bCs/>
                <w:color w:val="000000"/>
                <w:sz w:val="20"/>
              </w:rPr>
            </w:pPr>
            <w:r w:rsidRPr="00BB5DE9">
              <w:rPr>
                <w:b/>
                <w:color w:val="000000"/>
                <w:sz w:val="20"/>
              </w:rPr>
              <w:t>Esito della votazione finale</w:t>
            </w:r>
          </w:p>
        </w:tc>
        <w:tc>
          <w:tcPr>
            <w:tcW w:w="1530" w:type="dxa"/>
            <w:tcBorders>
              <w:top w:val="single" w:sz="8" w:space="0" w:color="000000"/>
              <w:left w:val="nil"/>
              <w:bottom w:val="single" w:sz="8" w:space="0" w:color="000000"/>
              <w:right w:val="nil"/>
            </w:tcBorders>
            <w:tcMar>
              <w:top w:w="79" w:type="dxa"/>
              <w:left w:w="79" w:type="dxa"/>
              <w:bottom w:w="79" w:type="dxa"/>
              <w:right w:w="79" w:type="dxa"/>
            </w:tcMar>
          </w:tcPr>
          <w:p w:rsidR="00AE735B" w:rsidRPr="00BB5DE9" w:rsidP="00D27C1D" w14:paraId="2320246D" w14:textId="77777777">
            <w:pPr>
              <w:autoSpaceDE w:val="0"/>
              <w:autoSpaceDN w:val="0"/>
              <w:adjustRightInd w:val="0"/>
              <w:rPr>
                <w:color w:val="000000"/>
                <w:sz w:val="20"/>
              </w:rPr>
            </w:pPr>
            <w:r w:rsidRPr="00BB5DE9">
              <w:rPr>
                <w:color w:val="000000"/>
                <w:sz w:val="20"/>
              </w:rPr>
              <w:t>+:</w:t>
            </w:r>
          </w:p>
          <w:p w:rsidR="00AE735B" w:rsidRPr="00BB5DE9" w:rsidP="00D27C1D" w14:paraId="23222BC3" w14:textId="77777777">
            <w:pPr>
              <w:autoSpaceDE w:val="0"/>
              <w:autoSpaceDN w:val="0"/>
              <w:adjustRightInd w:val="0"/>
              <w:rPr>
                <w:color w:val="000000"/>
                <w:sz w:val="20"/>
              </w:rPr>
            </w:pPr>
            <w:r w:rsidRPr="00BB5DE9">
              <w:rPr>
                <w:color w:val="000000"/>
                <w:sz w:val="20"/>
              </w:rPr>
              <w:t>–:</w:t>
            </w:r>
          </w:p>
          <w:p w:rsidR="00AE735B" w:rsidRPr="00BB5DE9" w:rsidP="00D27C1D" w14:paraId="70F59A39" w14:textId="77777777">
            <w:pPr>
              <w:autoSpaceDE w:val="0"/>
              <w:autoSpaceDN w:val="0"/>
              <w:adjustRightInd w:val="0"/>
              <w:rPr>
                <w:color w:val="000000"/>
                <w:sz w:val="20"/>
              </w:rPr>
            </w:pPr>
            <w:r w:rsidRPr="00BB5DE9">
              <w:rPr>
                <w:color w:val="000000"/>
                <w:sz w:val="20"/>
              </w:rPr>
              <w:t>0:</w:t>
            </w:r>
          </w:p>
        </w:tc>
        <w:tc>
          <w:tcPr>
            <w:tcW w:w="4422" w:type="dxa"/>
            <w:gridSpan w:val="3"/>
            <w:tcBorders>
              <w:top w:val="single" w:sz="8" w:space="0" w:color="000000"/>
              <w:left w:val="nil"/>
              <w:bottom w:val="single" w:sz="8" w:space="0" w:color="000000"/>
              <w:right w:val="single" w:sz="8" w:space="0" w:color="000000"/>
            </w:tcBorders>
            <w:tcMar>
              <w:top w:w="79" w:type="dxa"/>
              <w:left w:w="79" w:type="dxa"/>
              <w:bottom w:w="79" w:type="dxa"/>
              <w:right w:w="79" w:type="dxa"/>
            </w:tcMar>
          </w:tcPr>
          <w:p w:rsidR="00AE735B" w:rsidRPr="00BB5DE9" w:rsidP="00D27C1D" w14:paraId="192A7A5D" w14:textId="77777777">
            <w:pPr>
              <w:autoSpaceDE w:val="0"/>
              <w:autoSpaceDN w:val="0"/>
              <w:adjustRightInd w:val="0"/>
              <w:rPr>
                <w:color w:val="000000"/>
                <w:sz w:val="20"/>
              </w:rPr>
            </w:pPr>
            <w:r w:rsidRPr="00BB5DE9">
              <w:rPr>
                <w:color w:val="000000"/>
                <w:sz w:val="20"/>
              </w:rPr>
              <w:t>22</w:t>
            </w:r>
          </w:p>
          <w:p w:rsidR="00AE735B" w:rsidRPr="00BB5DE9" w:rsidP="00D27C1D" w14:paraId="0DA50CCB" w14:textId="77777777">
            <w:pPr>
              <w:autoSpaceDE w:val="0"/>
              <w:autoSpaceDN w:val="0"/>
              <w:adjustRightInd w:val="0"/>
              <w:rPr>
                <w:color w:val="000000"/>
                <w:sz w:val="20"/>
              </w:rPr>
            </w:pPr>
            <w:r w:rsidRPr="00BB5DE9">
              <w:rPr>
                <w:color w:val="000000"/>
                <w:sz w:val="20"/>
              </w:rPr>
              <w:t>3</w:t>
            </w:r>
          </w:p>
          <w:p w:rsidR="00AE735B" w:rsidRPr="00BB5DE9" w:rsidP="00D27C1D" w14:paraId="0FE87468" w14:textId="77777777">
            <w:pPr>
              <w:autoSpaceDE w:val="0"/>
              <w:autoSpaceDN w:val="0"/>
              <w:adjustRightInd w:val="0"/>
              <w:rPr>
                <w:color w:val="000000"/>
                <w:sz w:val="20"/>
              </w:rPr>
            </w:pPr>
            <w:r w:rsidRPr="00BB5DE9">
              <w:rPr>
                <w:color w:val="000000"/>
                <w:sz w:val="20"/>
              </w:rPr>
              <w:t>4</w:t>
            </w:r>
          </w:p>
        </w:tc>
      </w:tr>
    </w:tbl>
    <w:p w:rsidR="00AE735B" w:rsidRPr="00BB5DE9" w:rsidP="00C14F7B" w14:paraId="4FD5BD94" w14:textId="77777777"/>
    <w:p w:rsidR="00AE735B" w:rsidRPr="00BB5DE9" w:rsidP="008419DC" w14:paraId="55D6A943" w14:textId="77777777">
      <w:pPr>
        <w:sectPr w:rsidSect="00AE735B">
          <w:pgSz w:w="11894" w:h="15840"/>
          <w:pgMar w:top="1700" w:right="1417" w:bottom="1417" w:left="1417" w:header="720" w:footer="720" w:gutter="0"/>
          <w:cols w:space="720"/>
          <w:noEndnote/>
          <w:docGrid w:linePitch="326"/>
        </w:sectPr>
      </w:pPr>
    </w:p>
    <w:p w:rsidR="00AE735B" w:rsidRPr="00BB5DE9" w:rsidP="008419DC" w14:paraId="272848A8" w14:textId="77777777"/>
    <w:p w:rsidR="00AE735B" w:rsidRPr="00BB5DE9" w:rsidP="00C36610" w14:paraId="4F781C4A" w14:textId="77777777">
      <w:pPr>
        <w:pStyle w:val="PageHeadingNotTOC"/>
      </w:pPr>
      <w:r w:rsidRPr="00BB5DE9">
        <w:t>VOTAZIONE FINALE PER APPELLO NOMINALE</w:t>
      </w:r>
      <w:r w:rsidRPr="00BB5DE9">
        <w:br/>
        <w:t>DA PARTE DELLA COMMISSIONE COMPETENTE PER PARERE</w:t>
      </w:r>
    </w:p>
    <w:tbl>
      <w:tblPr>
        <w:tblW w:w="0" w:type="auto"/>
        <w:tblInd w:w="145" w:type="dxa"/>
        <w:tblBorders>
          <w:top w:val="double" w:sz="2" w:space="0" w:color="000000"/>
          <w:left w:val="double" w:sz="2" w:space="0" w:color="000000"/>
          <w:bottom w:val="double" w:sz="2" w:space="0" w:color="000000"/>
          <w:right w:val="double" w:sz="2" w:space="0" w:color="000000"/>
          <w:insideH w:val="single" w:sz="2" w:space="0" w:color="000000"/>
          <w:insideV w:val="single" w:sz="2" w:space="0" w:color="000000"/>
        </w:tblBorders>
        <w:tblLayout w:type="fixed"/>
        <w:tblCellMar>
          <w:left w:w="145" w:type="dxa"/>
          <w:right w:w="145" w:type="dxa"/>
        </w:tblCellMar>
        <w:tblLook w:val="0000"/>
      </w:tblPr>
      <w:tblGrid>
        <w:gridCol w:w="1701"/>
        <w:gridCol w:w="7371"/>
      </w:tblGrid>
      <w:tr w14:paraId="2C03ABAC" w14:textId="77777777" w:rsidTr="009B7ED6">
        <w:tblPrEx>
          <w:tblW w:w="0" w:type="auto"/>
          <w:tblInd w:w="145" w:type="dxa"/>
          <w:tblBorders>
            <w:top w:val="double" w:sz="2" w:space="0" w:color="000000"/>
            <w:left w:val="double" w:sz="2" w:space="0" w:color="000000"/>
            <w:bottom w:val="double" w:sz="2" w:space="0" w:color="000000"/>
            <w:right w:val="double" w:sz="2" w:space="0" w:color="000000"/>
            <w:insideH w:val="single" w:sz="2" w:space="0" w:color="000000"/>
            <w:insideV w:val="single" w:sz="2" w:space="0" w:color="000000"/>
          </w:tblBorders>
          <w:tblLayout w:type="fixed"/>
          <w:tblCellMar>
            <w:left w:w="145" w:type="dxa"/>
            <w:right w:w="145" w:type="dxa"/>
          </w:tblCellMar>
          <w:tblLook w:val="0000"/>
        </w:tblPrEx>
        <w:trPr>
          <w:cantSplit/>
        </w:trPr>
        <w:tc>
          <w:tcPr>
            <w:tcW w:w="1701" w:type="dxa"/>
            <w:shd w:val="pct10" w:color="000000" w:fill="FFFFFF"/>
            <w:vAlign w:val="center"/>
          </w:tcPr>
          <w:p w:rsidR="00AE735B" w:rsidRPr="00BB5DE9" w:rsidP="009B7ED6" w14:paraId="4DE212C1" w14:textId="77777777">
            <w:pPr>
              <w:pStyle w:val="RollCallVotes"/>
              <w:rPr>
                <w:lang w:val="it-IT"/>
              </w:rPr>
            </w:pPr>
            <w:r w:rsidRPr="00BB5DE9">
              <w:rPr>
                <w:lang w:val="it-IT"/>
              </w:rPr>
              <w:t>22</w:t>
            </w:r>
          </w:p>
        </w:tc>
        <w:tc>
          <w:tcPr>
            <w:tcW w:w="7371" w:type="dxa"/>
            <w:shd w:val="pct10" w:color="000000" w:fill="FFFFFF"/>
          </w:tcPr>
          <w:p w:rsidR="00AE735B" w:rsidRPr="00BB5DE9" w:rsidP="009B7ED6" w14:paraId="74F66814" w14:textId="77777777">
            <w:pPr>
              <w:pStyle w:val="RollCallSymbols14pt"/>
              <w:rPr>
                <w:lang w:val="it-IT"/>
              </w:rPr>
            </w:pPr>
            <w:r w:rsidRPr="00BB5DE9">
              <w:rPr>
                <w:lang w:val="it-IT"/>
              </w:rPr>
              <w:t>+</w:t>
            </w:r>
          </w:p>
        </w:tc>
      </w:tr>
      <w:tr w14:paraId="6665A5B7" w14:textId="77777777" w:rsidTr="009B7ED6">
        <w:tblPrEx>
          <w:tblW w:w="0" w:type="auto"/>
          <w:tblInd w:w="145" w:type="dxa"/>
          <w:tblLayout w:type="fixed"/>
          <w:tblCellMar>
            <w:left w:w="145" w:type="dxa"/>
            <w:right w:w="145" w:type="dxa"/>
          </w:tblCellMar>
          <w:tblLook w:val="0000"/>
        </w:tblPrEx>
        <w:trPr>
          <w:cantSplit/>
        </w:trPr>
        <w:tc>
          <w:tcPr>
            <w:tcW w:w="1701" w:type="dxa"/>
            <w:shd w:val="clear" w:color="auto" w:fill="FFFFFF"/>
          </w:tcPr>
          <w:p w:rsidR="00AE735B" w:rsidRPr="00BB5DE9" w:rsidP="009B7ED6" w14:paraId="23DDA83F" w14:textId="77777777">
            <w:pPr>
              <w:pStyle w:val="RollCallTable"/>
              <w:rPr>
                <w:lang w:val="it-IT"/>
              </w:rPr>
            </w:pPr>
            <w:r w:rsidRPr="00BB5DE9">
              <w:rPr>
                <w:lang w:val="it-IT"/>
              </w:rPr>
              <w:t>NI</w:t>
            </w:r>
          </w:p>
        </w:tc>
        <w:tc>
          <w:tcPr>
            <w:tcW w:w="7371" w:type="dxa"/>
            <w:shd w:val="clear" w:color="auto" w:fill="FFFFFF"/>
          </w:tcPr>
          <w:p w:rsidR="00AE735B" w:rsidRPr="00BB5DE9" w:rsidP="009B7ED6" w14:paraId="098C4CA9" w14:textId="77777777">
            <w:pPr>
              <w:pStyle w:val="RollCallTable"/>
              <w:rPr>
                <w:lang w:val="it-IT"/>
              </w:rPr>
            </w:pPr>
            <w:r w:rsidRPr="00BB5DE9">
              <w:rPr>
                <w:lang w:val="it-IT"/>
              </w:rPr>
              <w:t>Ondřej Dostál</w:t>
            </w:r>
          </w:p>
        </w:tc>
      </w:tr>
      <w:tr w14:paraId="6C8889A9" w14:textId="77777777" w:rsidTr="009B7ED6">
        <w:tblPrEx>
          <w:tblW w:w="0" w:type="auto"/>
          <w:tblInd w:w="145" w:type="dxa"/>
          <w:tblLayout w:type="fixed"/>
          <w:tblCellMar>
            <w:left w:w="145" w:type="dxa"/>
            <w:right w:w="145" w:type="dxa"/>
          </w:tblCellMar>
          <w:tblLook w:val="0000"/>
        </w:tblPrEx>
        <w:trPr>
          <w:cantSplit/>
        </w:trPr>
        <w:tc>
          <w:tcPr>
            <w:tcW w:w="1701" w:type="dxa"/>
            <w:shd w:val="clear" w:color="auto" w:fill="FFFFFF"/>
          </w:tcPr>
          <w:p w:rsidR="00AE735B" w:rsidRPr="00BB5DE9" w:rsidP="009B7ED6" w14:paraId="649351C4" w14:textId="77777777">
            <w:pPr>
              <w:pStyle w:val="RollCallTable"/>
              <w:rPr>
                <w:lang w:val="it-IT"/>
              </w:rPr>
            </w:pPr>
            <w:r w:rsidRPr="00BB5DE9">
              <w:rPr>
                <w:lang w:val="it-IT"/>
              </w:rPr>
              <w:t>PPE</w:t>
            </w:r>
          </w:p>
        </w:tc>
        <w:tc>
          <w:tcPr>
            <w:tcW w:w="7371" w:type="dxa"/>
            <w:shd w:val="clear" w:color="auto" w:fill="FFFFFF"/>
          </w:tcPr>
          <w:p w:rsidR="00AE735B" w:rsidRPr="00BB5DE9" w:rsidP="009B7ED6" w14:paraId="02B4C8D0" w14:textId="77777777">
            <w:pPr>
              <w:pStyle w:val="RollCallTable"/>
              <w:rPr>
                <w:lang w:val="it-IT"/>
              </w:rPr>
            </w:pPr>
            <w:r w:rsidRPr="00BB5DE9">
              <w:rPr>
                <w:lang w:val="it-IT"/>
              </w:rPr>
              <w:t>Bartosz Arłukowicz, Caterina Chinnici, Marie-Sophie Christ, Adam Jarubas, András Tivadar Kulja, Peter Liese, Fernando Navarrete Rojas, Elena Nevado del Campo, Oliver Schenk, Ingeborg Ter Laak</w:t>
            </w:r>
          </w:p>
        </w:tc>
      </w:tr>
      <w:tr w14:paraId="5A771E30" w14:textId="77777777" w:rsidTr="009B7ED6">
        <w:tblPrEx>
          <w:tblW w:w="0" w:type="auto"/>
          <w:tblInd w:w="145" w:type="dxa"/>
          <w:tblLayout w:type="fixed"/>
          <w:tblCellMar>
            <w:left w:w="145" w:type="dxa"/>
            <w:right w:w="145" w:type="dxa"/>
          </w:tblCellMar>
          <w:tblLook w:val="0000"/>
        </w:tblPrEx>
        <w:trPr>
          <w:cantSplit/>
        </w:trPr>
        <w:tc>
          <w:tcPr>
            <w:tcW w:w="1701" w:type="dxa"/>
            <w:shd w:val="clear" w:color="auto" w:fill="FFFFFF"/>
          </w:tcPr>
          <w:p w:rsidR="00AE735B" w:rsidRPr="00BB5DE9" w:rsidP="009B7ED6" w14:paraId="4D15F7C8" w14:textId="77777777">
            <w:pPr>
              <w:pStyle w:val="RollCallTable"/>
              <w:rPr>
                <w:lang w:val="it-IT"/>
              </w:rPr>
            </w:pPr>
            <w:r w:rsidRPr="00BB5DE9">
              <w:rPr>
                <w:lang w:val="it-IT"/>
              </w:rPr>
              <w:t>Renew</w:t>
            </w:r>
          </w:p>
        </w:tc>
        <w:tc>
          <w:tcPr>
            <w:tcW w:w="7371" w:type="dxa"/>
            <w:shd w:val="clear" w:color="auto" w:fill="FFFFFF"/>
          </w:tcPr>
          <w:p w:rsidR="00AE735B" w:rsidRPr="00BB5DE9" w:rsidP="009B7ED6" w14:paraId="5ECF86E6" w14:textId="77777777">
            <w:pPr>
              <w:pStyle w:val="RollCallTable"/>
              <w:rPr>
                <w:lang w:val="it-IT"/>
              </w:rPr>
            </w:pPr>
            <w:r w:rsidRPr="00BB5DE9">
              <w:rPr>
                <w:lang w:val="it-IT"/>
              </w:rPr>
              <w:t>Stine Bosse, Vlad Vasile-Voiculescu</w:t>
            </w:r>
          </w:p>
        </w:tc>
      </w:tr>
      <w:tr w14:paraId="19CAE3EA" w14:textId="77777777" w:rsidTr="009B7ED6">
        <w:tblPrEx>
          <w:tblW w:w="0" w:type="auto"/>
          <w:tblInd w:w="145" w:type="dxa"/>
          <w:tblLayout w:type="fixed"/>
          <w:tblCellMar>
            <w:left w:w="145" w:type="dxa"/>
            <w:right w:w="145" w:type="dxa"/>
          </w:tblCellMar>
          <w:tblLook w:val="0000"/>
        </w:tblPrEx>
        <w:trPr>
          <w:cantSplit/>
        </w:trPr>
        <w:tc>
          <w:tcPr>
            <w:tcW w:w="1701" w:type="dxa"/>
            <w:shd w:val="clear" w:color="auto" w:fill="FFFFFF"/>
          </w:tcPr>
          <w:p w:rsidR="00AE735B" w:rsidRPr="00BB5DE9" w:rsidP="009B7ED6" w14:paraId="26CE0236" w14:textId="77777777">
            <w:pPr>
              <w:pStyle w:val="RollCallTable"/>
              <w:rPr>
                <w:lang w:val="it-IT"/>
              </w:rPr>
            </w:pPr>
            <w:r w:rsidRPr="00BB5DE9">
              <w:rPr>
                <w:lang w:val="it-IT"/>
              </w:rPr>
              <w:t>S&amp;D</w:t>
            </w:r>
          </w:p>
        </w:tc>
        <w:tc>
          <w:tcPr>
            <w:tcW w:w="7371" w:type="dxa"/>
            <w:shd w:val="clear" w:color="auto" w:fill="FFFFFF"/>
          </w:tcPr>
          <w:p w:rsidR="00AE735B" w:rsidRPr="00BB5DE9" w:rsidP="009B7ED6" w14:paraId="4837A53D" w14:textId="77777777">
            <w:pPr>
              <w:pStyle w:val="RollCallTable"/>
              <w:rPr>
                <w:lang w:val="it-IT"/>
              </w:rPr>
            </w:pPr>
            <w:r w:rsidRPr="00BB5DE9">
              <w:rPr>
                <w:lang w:val="it-IT"/>
              </w:rPr>
              <w:t>Vytenis Povilas Andriukaitis, Maria Guzenina, Alessandra Moretti, Victor Negrescu, Günther Sidl, Marta Temido, Tiemo Wölken</w:t>
            </w:r>
          </w:p>
        </w:tc>
      </w:tr>
      <w:tr w14:paraId="76BD8896" w14:textId="77777777" w:rsidTr="009B7ED6">
        <w:tblPrEx>
          <w:tblW w:w="0" w:type="auto"/>
          <w:tblInd w:w="145" w:type="dxa"/>
          <w:tblLayout w:type="fixed"/>
          <w:tblCellMar>
            <w:left w:w="145" w:type="dxa"/>
            <w:right w:w="145" w:type="dxa"/>
          </w:tblCellMar>
          <w:tblLook w:val="0000"/>
        </w:tblPrEx>
        <w:trPr>
          <w:cantSplit/>
        </w:trPr>
        <w:tc>
          <w:tcPr>
            <w:tcW w:w="1701" w:type="dxa"/>
            <w:shd w:val="clear" w:color="auto" w:fill="FFFFFF"/>
          </w:tcPr>
          <w:p w:rsidR="00AE735B" w:rsidRPr="00BB5DE9" w:rsidP="009B7ED6" w14:paraId="179637D1" w14:textId="77777777">
            <w:pPr>
              <w:pStyle w:val="RollCallTable"/>
              <w:rPr>
                <w:lang w:val="it-IT"/>
              </w:rPr>
            </w:pPr>
            <w:r w:rsidRPr="00BB5DE9">
              <w:rPr>
                <w:lang w:val="it-IT"/>
              </w:rPr>
              <w:t>Verts/ALE</w:t>
            </w:r>
          </w:p>
        </w:tc>
        <w:tc>
          <w:tcPr>
            <w:tcW w:w="7371" w:type="dxa"/>
            <w:shd w:val="clear" w:color="auto" w:fill="FFFFFF"/>
          </w:tcPr>
          <w:p w:rsidR="00AE735B" w:rsidRPr="00BB5DE9" w:rsidP="009B7ED6" w14:paraId="78E7FC0D" w14:textId="77777777">
            <w:pPr>
              <w:pStyle w:val="RollCallTable"/>
              <w:rPr>
                <w:lang w:val="it-IT"/>
              </w:rPr>
            </w:pPr>
            <w:r w:rsidRPr="00BB5DE9">
              <w:rPr>
                <w:lang w:val="it-IT"/>
              </w:rPr>
              <w:t>Tilly Metz, Majdouline Sbai</w:t>
            </w:r>
          </w:p>
        </w:tc>
      </w:tr>
    </w:tbl>
    <w:p w:rsidR="00AE735B" w:rsidRPr="00BB5DE9" w:rsidP="00C14F7B" w14:paraId="602DEB16" w14:textId="77777777"/>
    <w:tbl>
      <w:tblPr>
        <w:tblW w:w="0" w:type="auto"/>
        <w:tblInd w:w="145" w:type="dxa"/>
        <w:tblBorders>
          <w:top w:val="double" w:sz="2" w:space="0" w:color="000000"/>
          <w:left w:val="double" w:sz="2" w:space="0" w:color="000000"/>
          <w:bottom w:val="double" w:sz="2" w:space="0" w:color="000000"/>
          <w:right w:val="double" w:sz="2" w:space="0" w:color="000000"/>
          <w:insideH w:val="single" w:sz="2" w:space="0" w:color="000000"/>
          <w:insideV w:val="single" w:sz="2" w:space="0" w:color="000000"/>
        </w:tblBorders>
        <w:tblLayout w:type="fixed"/>
        <w:tblCellMar>
          <w:left w:w="145" w:type="dxa"/>
          <w:right w:w="145" w:type="dxa"/>
        </w:tblCellMar>
        <w:tblLook w:val="0000"/>
      </w:tblPr>
      <w:tblGrid>
        <w:gridCol w:w="1701"/>
        <w:gridCol w:w="7371"/>
      </w:tblGrid>
      <w:tr w14:paraId="208D39AE" w14:textId="77777777" w:rsidTr="009B7ED6">
        <w:tblPrEx>
          <w:tblW w:w="0" w:type="auto"/>
          <w:tblInd w:w="145" w:type="dxa"/>
          <w:tblBorders>
            <w:top w:val="double" w:sz="2" w:space="0" w:color="000000"/>
            <w:left w:val="double" w:sz="2" w:space="0" w:color="000000"/>
            <w:bottom w:val="double" w:sz="2" w:space="0" w:color="000000"/>
            <w:right w:val="double" w:sz="2" w:space="0" w:color="000000"/>
            <w:insideH w:val="single" w:sz="2" w:space="0" w:color="000000"/>
            <w:insideV w:val="single" w:sz="2" w:space="0" w:color="000000"/>
          </w:tblBorders>
          <w:tblLayout w:type="fixed"/>
          <w:tblCellMar>
            <w:left w:w="145" w:type="dxa"/>
            <w:right w:w="145" w:type="dxa"/>
          </w:tblCellMar>
          <w:tblLook w:val="0000"/>
        </w:tblPrEx>
        <w:trPr>
          <w:cantSplit/>
        </w:trPr>
        <w:tc>
          <w:tcPr>
            <w:tcW w:w="1701" w:type="dxa"/>
            <w:shd w:val="pct10" w:color="000000" w:fill="FFFFFF"/>
            <w:vAlign w:val="center"/>
          </w:tcPr>
          <w:p w:rsidR="00AE735B" w:rsidRPr="00BB5DE9" w:rsidP="009B7ED6" w14:paraId="5CA089ED" w14:textId="77777777">
            <w:pPr>
              <w:pStyle w:val="RollCallVotes"/>
              <w:rPr>
                <w:lang w:val="it-IT"/>
              </w:rPr>
            </w:pPr>
            <w:r w:rsidRPr="00BB5DE9">
              <w:rPr>
                <w:lang w:val="it-IT"/>
              </w:rPr>
              <w:t>3</w:t>
            </w:r>
          </w:p>
        </w:tc>
        <w:tc>
          <w:tcPr>
            <w:tcW w:w="7371" w:type="dxa"/>
            <w:shd w:val="pct10" w:color="000000" w:fill="FFFFFF"/>
          </w:tcPr>
          <w:p w:rsidR="00AE735B" w:rsidRPr="00BB5DE9" w:rsidP="009B7ED6" w14:paraId="15D82842" w14:textId="77777777">
            <w:pPr>
              <w:pStyle w:val="RollCallSymbols14pt"/>
              <w:rPr>
                <w:lang w:val="it-IT"/>
              </w:rPr>
            </w:pPr>
            <w:r w:rsidRPr="00BB5DE9">
              <w:rPr>
                <w:lang w:val="it-IT"/>
              </w:rPr>
              <w:t>-</w:t>
            </w:r>
          </w:p>
        </w:tc>
      </w:tr>
      <w:tr w14:paraId="18731FD6" w14:textId="77777777" w:rsidTr="009B7ED6">
        <w:tblPrEx>
          <w:tblW w:w="0" w:type="auto"/>
          <w:tblInd w:w="145" w:type="dxa"/>
          <w:tblLayout w:type="fixed"/>
          <w:tblCellMar>
            <w:left w:w="145" w:type="dxa"/>
            <w:right w:w="145" w:type="dxa"/>
          </w:tblCellMar>
          <w:tblLook w:val="0000"/>
        </w:tblPrEx>
        <w:trPr>
          <w:cantSplit/>
        </w:trPr>
        <w:tc>
          <w:tcPr>
            <w:tcW w:w="1701" w:type="dxa"/>
            <w:shd w:val="clear" w:color="auto" w:fill="FFFFFF"/>
          </w:tcPr>
          <w:p w:rsidR="00AE735B" w:rsidRPr="00BB5DE9" w:rsidP="009B7ED6" w14:paraId="64EA898C" w14:textId="77777777">
            <w:pPr>
              <w:pStyle w:val="RollCallTable"/>
              <w:rPr>
                <w:lang w:val="it-IT"/>
              </w:rPr>
            </w:pPr>
            <w:r w:rsidRPr="00BB5DE9">
              <w:rPr>
                <w:lang w:val="it-IT"/>
              </w:rPr>
              <w:t>ESN</w:t>
            </w:r>
          </w:p>
        </w:tc>
        <w:tc>
          <w:tcPr>
            <w:tcW w:w="7371" w:type="dxa"/>
            <w:shd w:val="clear" w:color="auto" w:fill="FFFFFF"/>
          </w:tcPr>
          <w:p w:rsidR="00AE735B" w:rsidRPr="00BB5DE9" w:rsidP="009B7ED6" w14:paraId="14ABA8B0" w14:textId="77777777">
            <w:pPr>
              <w:pStyle w:val="RollCallTable"/>
              <w:rPr>
                <w:lang w:val="it-IT"/>
              </w:rPr>
            </w:pPr>
            <w:r w:rsidRPr="00BB5DE9">
              <w:rPr>
                <w:lang w:val="it-IT"/>
              </w:rPr>
              <w:t>Christine Anderson</w:t>
            </w:r>
          </w:p>
        </w:tc>
      </w:tr>
      <w:tr w14:paraId="10CC10A3" w14:textId="77777777" w:rsidTr="009B7ED6">
        <w:tblPrEx>
          <w:tblW w:w="0" w:type="auto"/>
          <w:tblInd w:w="145" w:type="dxa"/>
          <w:tblLayout w:type="fixed"/>
          <w:tblCellMar>
            <w:left w:w="145" w:type="dxa"/>
            <w:right w:w="145" w:type="dxa"/>
          </w:tblCellMar>
          <w:tblLook w:val="0000"/>
        </w:tblPrEx>
        <w:trPr>
          <w:cantSplit/>
        </w:trPr>
        <w:tc>
          <w:tcPr>
            <w:tcW w:w="1701" w:type="dxa"/>
            <w:shd w:val="clear" w:color="auto" w:fill="FFFFFF"/>
          </w:tcPr>
          <w:p w:rsidR="00AE735B" w:rsidRPr="00BB5DE9" w:rsidP="009B7ED6" w14:paraId="13991B8D" w14:textId="77777777">
            <w:pPr>
              <w:pStyle w:val="RollCallTable"/>
              <w:rPr>
                <w:lang w:val="it-IT"/>
              </w:rPr>
            </w:pPr>
            <w:r w:rsidRPr="00BB5DE9">
              <w:rPr>
                <w:lang w:val="it-IT"/>
              </w:rPr>
              <w:t>PfE</w:t>
            </w:r>
          </w:p>
        </w:tc>
        <w:tc>
          <w:tcPr>
            <w:tcW w:w="7371" w:type="dxa"/>
            <w:shd w:val="clear" w:color="auto" w:fill="FFFFFF"/>
          </w:tcPr>
          <w:p w:rsidR="00AE735B" w:rsidRPr="00BB5DE9" w:rsidP="009B7ED6" w14:paraId="73C2BCA6" w14:textId="77777777">
            <w:pPr>
              <w:pStyle w:val="RollCallTable"/>
              <w:rPr>
                <w:lang w:val="it-IT"/>
              </w:rPr>
            </w:pPr>
            <w:r w:rsidRPr="00BB5DE9">
              <w:rPr>
                <w:lang w:val="it-IT"/>
              </w:rPr>
              <w:t>Elisabeth Dieringer, Margarita de la Pisa Carrión</w:t>
            </w:r>
          </w:p>
        </w:tc>
      </w:tr>
    </w:tbl>
    <w:p w:rsidR="00AE735B" w:rsidRPr="00BB5DE9" w:rsidP="00C14F7B" w14:paraId="7FA6F914" w14:textId="77777777"/>
    <w:tbl>
      <w:tblPr>
        <w:tblW w:w="0" w:type="auto"/>
        <w:tblInd w:w="145" w:type="dxa"/>
        <w:tblBorders>
          <w:top w:val="double" w:sz="2" w:space="0" w:color="000000"/>
          <w:left w:val="double" w:sz="2" w:space="0" w:color="000000"/>
          <w:bottom w:val="double" w:sz="2" w:space="0" w:color="000000"/>
          <w:right w:val="double" w:sz="2" w:space="0" w:color="000000"/>
          <w:insideH w:val="single" w:sz="2" w:space="0" w:color="000000"/>
          <w:insideV w:val="single" w:sz="2" w:space="0" w:color="000000"/>
        </w:tblBorders>
        <w:tblLayout w:type="fixed"/>
        <w:tblCellMar>
          <w:left w:w="145" w:type="dxa"/>
          <w:right w:w="145" w:type="dxa"/>
        </w:tblCellMar>
        <w:tblLook w:val="0000"/>
      </w:tblPr>
      <w:tblGrid>
        <w:gridCol w:w="1701"/>
        <w:gridCol w:w="7371"/>
      </w:tblGrid>
      <w:tr w14:paraId="5FC60D82" w14:textId="77777777" w:rsidTr="009B7ED6">
        <w:tblPrEx>
          <w:tblW w:w="0" w:type="auto"/>
          <w:tblInd w:w="145" w:type="dxa"/>
          <w:tblBorders>
            <w:top w:val="double" w:sz="2" w:space="0" w:color="000000"/>
            <w:left w:val="double" w:sz="2" w:space="0" w:color="000000"/>
            <w:bottom w:val="double" w:sz="2" w:space="0" w:color="000000"/>
            <w:right w:val="double" w:sz="2" w:space="0" w:color="000000"/>
            <w:insideH w:val="single" w:sz="2" w:space="0" w:color="000000"/>
            <w:insideV w:val="single" w:sz="2" w:space="0" w:color="000000"/>
          </w:tblBorders>
          <w:tblLayout w:type="fixed"/>
          <w:tblCellMar>
            <w:left w:w="145" w:type="dxa"/>
            <w:right w:w="145" w:type="dxa"/>
          </w:tblCellMar>
          <w:tblLook w:val="0000"/>
        </w:tblPrEx>
        <w:trPr>
          <w:cantSplit/>
        </w:trPr>
        <w:tc>
          <w:tcPr>
            <w:tcW w:w="1701" w:type="dxa"/>
            <w:shd w:val="pct10" w:color="000000" w:fill="FFFFFF"/>
            <w:vAlign w:val="center"/>
          </w:tcPr>
          <w:p w:rsidR="00AE735B" w:rsidRPr="00BB5DE9" w:rsidP="009B7ED6" w14:paraId="43AE797D" w14:textId="77777777">
            <w:pPr>
              <w:pStyle w:val="RollCallVotes"/>
              <w:rPr>
                <w:lang w:val="it-IT"/>
              </w:rPr>
            </w:pPr>
            <w:r w:rsidRPr="00BB5DE9">
              <w:rPr>
                <w:lang w:val="it-IT"/>
              </w:rPr>
              <w:t>4</w:t>
            </w:r>
          </w:p>
        </w:tc>
        <w:tc>
          <w:tcPr>
            <w:tcW w:w="7371" w:type="dxa"/>
            <w:shd w:val="pct10" w:color="000000" w:fill="FFFFFF"/>
          </w:tcPr>
          <w:p w:rsidR="00AE735B" w:rsidRPr="00BB5DE9" w:rsidP="009B7ED6" w14:paraId="177788C1" w14:textId="77777777">
            <w:pPr>
              <w:pStyle w:val="RollCallSymbols14pt"/>
              <w:rPr>
                <w:lang w:val="it-IT"/>
              </w:rPr>
            </w:pPr>
            <w:r w:rsidRPr="00BB5DE9">
              <w:rPr>
                <w:lang w:val="it-IT"/>
              </w:rPr>
              <w:t>0</w:t>
            </w:r>
          </w:p>
        </w:tc>
      </w:tr>
      <w:tr w14:paraId="44FB1991" w14:textId="77777777" w:rsidTr="009B7ED6">
        <w:tblPrEx>
          <w:tblW w:w="0" w:type="auto"/>
          <w:tblInd w:w="145" w:type="dxa"/>
          <w:tblLayout w:type="fixed"/>
          <w:tblCellMar>
            <w:left w:w="145" w:type="dxa"/>
            <w:right w:w="145" w:type="dxa"/>
          </w:tblCellMar>
          <w:tblLook w:val="0000"/>
        </w:tblPrEx>
        <w:trPr>
          <w:cantSplit/>
        </w:trPr>
        <w:tc>
          <w:tcPr>
            <w:tcW w:w="1701" w:type="dxa"/>
            <w:shd w:val="clear" w:color="auto" w:fill="FFFFFF"/>
          </w:tcPr>
          <w:p w:rsidR="00AE735B" w:rsidRPr="00BB5DE9" w:rsidP="009B7ED6" w14:paraId="4C01134F" w14:textId="77777777">
            <w:pPr>
              <w:pStyle w:val="RollCallTable"/>
              <w:rPr>
                <w:lang w:val="it-IT"/>
              </w:rPr>
            </w:pPr>
            <w:r w:rsidRPr="00BB5DE9">
              <w:rPr>
                <w:lang w:val="it-IT"/>
              </w:rPr>
              <w:t>ECR</w:t>
            </w:r>
          </w:p>
        </w:tc>
        <w:tc>
          <w:tcPr>
            <w:tcW w:w="7371" w:type="dxa"/>
            <w:shd w:val="clear" w:color="auto" w:fill="FFFFFF"/>
          </w:tcPr>
          <w:p w:rsidR="00AE735B" w:rsidRPr="00BB5DE9" w:rsidP="009B7ED6" w14:paraId="604EAACB" w14:textId="77777777">
            <w:pPr>
              <w:pStyle w:val="RollCallTable"/>
              <w:rPr>
                <w:lang w:val="it-IT"/>
              </w:rPr>
            </w:pPr>
            <w:r w:rsidRPr="00BB5DE9">
              <w:rPr>
                <w:lang w:val="it-IT"/>
              </w:rPr>
              <w:t>Emmanouil Fragkos</w:t>
            </w:r>
          </w:p>
        </w:tc>
      </w:tr>
      <w:tr w14:paraId="2D2EC245" w14:textId="77777777" w:rsidTr="009B7ED6">
        <w:tblPrEx>
          <w:tblW w:w="0" w:type="auto"/>
          <w:tblInd w:w="145" w:type="dxa"/>
          <w:tblLayout w:type="fixed"/>
          <w:tblCellMar>
            <w:left w:w="145" w:type="dxa"/>
            <w:right w:w="145" w:type="dxa"/>
          </w:tblCellMar>
          <w:tblLook w:val="0000"/>
        </w:tblPrEx>
        <w:trPr>
          <w:cantSplit/>
        </w:trPr>
        <w:tc>
          <w:tcPr>
            <w:tcW w:w="1701" w:type="dxa"/>
            <w:shd w:val="clear" w:color="auto" w:fill="FFFFFF"/>
          </w:tcPr>
          <w:p w:rsidR="00AE735B" w:rsidRPr="00BB5DE9" w:rsidP="009B7ED6" w14:paraId="7010B820" w14:textId="77777777">
            <w:pPr>
              <w:pStyle w:val="RollCallTable"/>
              <w:rPr>
                <w:lang w:val="it-IT"/>
              </w:rPr>
            </w:pPr>
            <w:r w:rsidRPr="00BB5DE9">
              <w:rPr>
                <w:lang w:val="it-IT"/>
              </w:rPr>
              <w:t>PfE</w:t>
            </w:r>
          </w:p>
        </w:tc>
        <w:tc>
          <w:tcPr>
            <w:tcW w:w="7371" w:type="dxa"/>
            <w:shd w:val="clear" w:color="auto" w:fill="FFFFFF"/>
          </w:tcPr>
          <w:p w:rsidR="00AE735B" w:rsidRPr="00BB5DE9" w:rsidP="009B7ED6" w14:paraId="4C748568" w14:textId="77777777">
            <w:pPr>
              <w:pStyle w:val="RollCallTable"/>
              <w:rPr>
                <w:lang w:val="it-IT"/>
              </w:rPr>
            </w:pPr>
            <w:r w:rsidRPr="00BB5DE9">
              <w:rPr>
                <w:lang w:val="it-IT"/>
              </w:rPr>
              <w:t>Marie-Luce Brasier-Clain, Valérie Deloge, Jana Nagyová</w:t>
            </w:r>
          </w:p>
        </w:tc>
      </w:tr>
    </w:tbl>
    <w:p w:rsidR="00AE735B" w:rsidRPr="00BB5DE9" w:rsidP="00147FBF" w14:paraId="75DFA296" w14:textId="77777777">
      <w:pPr>
        <w:pStyle w:val="Normal12a"/>
        <w:rPr>
          <w:lang w:val="it-IT"/>
        </w:rPr>
      </w:pPr>
    </w:p>
    <w:p w:rsidR="00AE735B" w:rsidRPr="00BB5DE9" w:rsidP="00B735E3" w14:paraId="1F6D4650" w14:textId="77777777">
      <w:r w:rsidRPr="00BB5DE9">
        <w:t>Significato dei simboli utilizzati:</w:t>
      </w:r>
    </w:p>
    <w:p w:rsidR="00AE735B" w:rsidRPr="00BB5DE9" w:rsidP="003858C5" w14:paraId="3E2F1B3E" w14:textId="77777777">
      <w:pPr>
        <w:pStyle w:val="RollCallTabs"/>
        <w:rPr>
          <w:lang w:val="it-IT"/>
        </w:rPr>
      </w:pPr>
      <w:r w:rsidRPr="00BB5DE9">
        <w:rPr>
          <w:lang w:val="it-IT"/>
        </w:rPr>
        <w:t>+</w:t>
      </w:r>
      <w:r w:rsidRPr="00BB5DE9">
        <w:rPr>
          <w:lang w:val="it-IT"/>
        </w:rPr>
        <w:tab/>
        <w:t>:</w:t>
      </w:r>
      <w:r w:rsidRPr="00BB5DE9">
        <w:rPr>
          <w:lang w:val="it-IT"/>
        </w:rPr>
        <w:tab/>
        <w:t>favorevoli</w:t>
      </w:r>
    </w:p>
    <w:p w:rsidR="00AE735B" w:rsidRPr="00BB5DE9" w:rsidP="003858C5" w14:paraId="3034EB7F" w14:textId="77777777">
      <w:pPr>
        <w:pStyle w:val="RollCallTabs"/>
        <w:rPr>
          <w:lang w:val="it-IT"/>
        </w:rPr>
      </w:pPr>
      <w:r w:rsidRPr="00BB5DE9">
        <w:rPr>
          <w:lang w:val="it-IT"/>
        </w:rPr>
        <w:t>-</w:t>
      </w:r>
      <w:r w:rsidRPr="00BB5DE9">
        <w:rPr>
          <w:lang w:val="it-IT"/>
        </w:rPr>
        <w:tab/>
        <w:t>:</w:t>
      </w:r>
      <w:r w:rsidRPr="00BB5DE9">
        <w:rPr>
          <w:lang w:val="it-IT"/>
        </w:rPr>
        <w:tab/>
        <w:t>contrari</w:t>
      </w:r>
    </w:p>
    <w:p w:rsidR="00AE735B" w:rsidRPr="00BB5DE9" w:rsidP="003858C5" w14:paraId="793B3608" w14:textId="77777777">
      <w:pPr>
        <w:pStyle w:val="RollCallTabs"/>
        <w:rPr>
          <w:lang w:val="it-IT"/>
        </w:rPr>
      </w:pPr>
      <w:r w:rsidRPr="00BB5DE9">
        <w:rPr>
          <w:lang w:val="it-IT"/>
        </w:rPr>
        <w:t>0</w:t>
      </w:r>
      <w:r w:rsidRPr="00BB5DE9">
        <w:rPr>
          <w:lang w:val="it-IT"/>
        </w:rPr>
        <w:tab/>
        <w:t>:</w:t>
      </w:r>
      <w:r w:rsidRPr="00BB5DE9">
        <w:rPr>
          <w:lang w:val="it-IT"/>
        </w:rPr>
        <w:tab/>
        <w:t>astenuti</w:t>
      </w:r>
    </w:p>
    <w:p w:rsidR="00AE735B" w:rsidRPr="00BB5DE9" w:rsidP="00207509" w14:paraId="6F94DB5F" w14:textId="77777777"/>
    <w:p w:rsidR="00AE735B" w:rsidRPr="00BB5DE9" w:rsidP="008419DC" w14:paraId="3CB0BF20" w14:textId="77777777">
      <w:pPr>
        <w:pStyle w:val="CoverReference"/>
      </w:pPr>
    </w:p>
    <w:p w:rsidR="00AE735B" w:rsidRPr="00BB5DE9" w:rsidP="00AE735B" w14:paraId="2805BA19" w14:textId="77777777">
      <w:pPr>
        <w:rPr>
          <w:snapToGrid/>
          <w:lang w:eastAsia="en-GB"/>
        </w:rPr>
        <w:sectPr w:rsidSect="00AE735B">
          <w:footnotePr>
            <w:numRestart w:val="eachSect"/>
          </w:footnotePr>
          <w:endnotePr>
            <w:numFmt w:val="decimal"/>
          </w:endnotePr>
          <w:pgSz w:w="11906" w:h="16838" w:code="9"/>
          <w:pgMar w:top="1134" w:right="1418" w:bottom="1134" w:left="1418" w:header="1134" w:footer="567" w:gutter="0"/>
          <w:cols w:space="720"/>
          <w:noEndnote/>
          <w:docGrid w:linePitch="326"/>
        </w:sectPr>
      </w:pPr>
    </w:p>
    <w:p w:rsidR="00AE735B" w:rsidRPr="00BB5DE9" w:rsidP="00AE735B" w14:paraId="3A8ABA7A" w14:textId="77777777">
      <w:pPr>
        <w:pStyle w:val="Normal24a"/>
        <w:rPr>
          <w:lang w:val="it-IT"/>
        </w:rPr>
      </w:pPr>
      <w:r w:rsidRPr="00BB5DE9">
        <w:rPr>
          <w:rStyle w:val="HideTWBExt"/>
          <w:lang w:val="it-IT"/>
        </w:rPr>
        <w:t>&lt;Date&gt;</w:t>
      </w:r>
      <w:r w:rsidRPr="00BB5DE9">
        <w:rPr>
          <w:rStyle w:val="HideTWBInt"/>
          <w:lang w:val="it-IT"/>
        </w:rPr>
        <w:t>{16/07/2026}</w:t>
      </w:r>
      <w:r w:rsidRPr="00BB5DE9">
        <w:rPr>
          <w:lang w:val="it-IT"/>
        </w:rPr>
        <w:t>16.7.2026</w:t>
      </w:r>
      <w:r w:rsidRPr="00BB5DE9">
        <w:rPr>
          <w:rStyle w:val="HideTWBExt"/>
          <w:lang w:val="it-IT"/>
        </w:rPr>
        <w:t>&lt;/Date&gt;</w:t>
      </w:r>
    </w:p>
    <w:p w:rsidR="00AE735B" w:rsidRPr="00BB5DE9" w:rsidP="00AE735B" w14:paraId="38E965E4" w14:textId="521A89A5">
      <w:pPr>
        <w:pStyle w:val="PageHeading"/>
      </w:pPr>
      <w:r w:rsidRPr="00BB5DE9">
        <w:rPr>
          <w:rStyle w:val="HideTWBExt"/>
          <w:b w:val="0"/>
        </w:rPr>
        <w:t>&lt;CommissionResp&gt;</w:t>
      </w:r>
      <w:bookmarkStart w:id="22" w:name="OpinionToc_7"/>
      <w:bookmarkStart w:id="23" w:name="_Toc243036424"/>
      <w:r w:rsidRPr="00BB5DE9">
        <w:t>PARERE DELLA COMMISSIONE PER IL MERCATO INTERNO E LA PROTEZIONE DEI CONSUMATORI</w:t>
      </w:r>
      <w:bookmarkEnd w:id="22"/>
      <w:bookmarkEnd w:id="23"/>
      <w:r w:rsidRPr="00BB5DE9">
        <w:rPr>
          <w:rStyle w:val="HideTWBExt"/>
          <w:b w:val="0"/>
        </w:rPr>
        <w:t>&lt;/CommissionResp&gt;</w:t>
      </w:r>
    </w:p>
    <w:p w:rsidR="00AE735B" w:rsidRPr="00BB5DE9" w:rsidP="00AE735B" w14:paraId="6CF6B4C4" w14:textId="77777777">
      <w:pPr>
        <w:pStyle w:val="Normal12a"/>
        <w:rPr>
          <w:lang w:val="it-IT"/>
        </w:rPr>
      </w:pPr>
      <w:r w:rsidRPr="00BB5DE9">
        <w:rPr>
          <w:rStyle w:val="HideTWBExt"/>
          <w:lang w:val="it-IT"/>
        </w:rPr>
        <w:t>&lt;CommissionInt&gt;</w:t>
      </w:r>
      <w:r w:rsidRPr="00BB5DE9">
        <w:rPr>
          <w:lang w:val="it-IT"/>
        </w:rPr>
        <w:t>destinato alla commissione per i bilanci</w:t>
      </w:r>
      <w:r w:rsidRPr="00BB5DE9">
        <w:rPr>
          <w:rStyle w:val="HideTWBExt"/>
          <w:lang w:val="it-IT"/>
        </w:rPr>
        <w:t>&lt;/CommissionInt&gt;</w:t>
      </w:r>
    </w:p>
    <w:p w:rsidR="00AE735B" w:rsidRPr="00BB5DE9" w:rsidP="00AE735B" w14:paraId="4F81B458" w14:textId="77777777">
      <w:r w:rsidRPr="00BB5DE9">
        <w:rPr>
          <w:rStyle w:val="HideTWBExt"/>
        </w:rPr>
        <w:t>&lt;Titre&gt;</w:t>
      </w:r>
      <w:r w:rsidRPr="00BB5DE9">
        <w:t>sugli orientamenti per il bilancio 2027 – tutte le sezioni</w:t>
      </w:r>
      <w:r w:rsidRPr="00BB5DE9">
        <w:rPr>
          <w:rStyle w:val="HideTWBExt"/>
        </w:rPr>
        <w:t>&lt;/Titre&gt;</w:t>
      </w:r>
    </w:p>
    <w:p w:rsidR="00AE735B" w:rsidRPr="00BB5DE9" w:rsidP="00AE735B" w14:paraId="3DF07899" w14:textId="77777777">
      <w:pPr>
        <w:pStyle w:val="Normal12a"/>
        <w:rPr>
          <w:lang w:val="it-IT"/>
        </w:rPr>
      </w:pPr>
      <w:r w:rsidRPr="00BB5DE9">
        <w:rPr>
          <w:rStyle w:val="HideTWBExt"/>
          <w:lang w:val="it-IT"/>
        </w:rPr>
        <w:t>&lt;DocRef&gt;</w:t>
      </w:r>
      <w:r w:rsidRPr="00BB5DE9">
        <w:rPr>
          <w:lang w:val="it-IT"/>
        </w:rPr>
        <w:t>(2026/0196(BUD))</w:t>
      </w:r>
      <w:r w:rsidRPr="00BB5DE9">
        <w:rPr>
          <w:rStyle w:val="HideTWBExt"/>
          <w:lang w:val="it-IT"/>
        </w:rPr>
        <w:t>&lt;/DocRef&gt;</w:t>
      </w:r>
    </w:p>
    <w:p w:rsidR="00AE735B" w:rsidRPr="00BB5DE9" w:rsidP="00AE735B" w14:paraId="4D4F5D3F" w14:textId="77777777">
      <w:pPr>
        <w:pStyle w:val="Normal24a"/>
        <w:rPr>
          <w:lang w:val="it-IT"/>
        </w:rPr>
      </w:pPr>
      <w:r w:rsidRPr="00BB5DE9">
        <w:rPr>
          <w:lang w:val="it-IT"/>
        </w:rPr>
        <w:t xml:space="preserve">Relatore per parere: </w:t>
      </w:r>
      <w:r w:rsidRPr="00BB5DE9">
        <w:rPr>
          <w:rStyle w:val="HideTWBExt"/>
          <w:lang w:val="it-IT"/>
        </w:rPr>
        <w:t>&lt;Depute&gt;</w:t>
      </w:r>
      <w:r w:rsidRPr="00BB5DE9">
        <w:rPr>
          <w:lang w:val="it-IT"/>
        </w:rPr>
        <w:t>Piotr Müller</w:t>
      </w:r>
      <w:r w:rsidRPr="00BB5DE9">
        <w:rPr>
          <w:rStyle w:val="HideTWBExt"/>
          <w:lang w:val="it-IT"/>
        </w:rPr>
        <w:t>&lt;/Depute&gt;</w:t>
      </w:r>
    </w:p>
    <w:p w:rsidR="00AE735B" w:rsidRPr="00BB5DE9" w:rsidP="00AE735B" w14:paraId="78B927A7" w14:textId="77777777"/>
    <w:p w:rsidR="00AE735B" w:rsidRPr="00BB5DE9" w:rsidP="00BB2AC1" w14:paraId="723335D7" w14:textId="01A79ACE">
      <w:pPr>
        <w:widowControl/>
        <w:tabs>
          <w:tab w:val="center" w:pos="4677"/>
        </w:tabs>
      </w:pPr>
    </w:p>
    <w:p w:rsidR="00AE735B" w:rsidRPr="00BB5DE9" w:rsidP="003E06CF" w14:paraId="31A562D5" w14:textId="7FE4D379">
      <w:pPr>
        <w:pStyle w:val="PageHeadingNotTOC"/>
      </w:pPr>
      <w:r w:rsidRPr="00BB5DE9">
        <w:t>PARERE</w:t>
      </w:r>
    </w:p>
    <w:p w:rsidR="00AE735B" w:rsidRPr="00BB5DE9" w:rsidP="003E06CF" w14:paraId="30CD443F" w14:textId="77777777">
      <w:pPr>
        <w:pStyle w:val="Normal12a"/>
        <w:rPr>
          <w:lang w:val="it-IT"/>
        </w:rPr>
      </w:pPr>
      <w:r w:rsidRPr="00BB5DE9">
        <w:rPr>
          <w:lang w:val="it-IT"/>
        </w:rPr>
        <w:t>La commissione per il mercato interno e la protezione dei consumatori invita la commissione per i bilanci, competente per il merito, a includere nella proposta di risoluzione che approverà quanto segue:</w:t>
      </w:r>
    </w:p>
    <w:p w:rsidR="00AE735B" w:rsidRPr="00BB5DE9" w:rsidP="001159A8" w14:paraId="4DBFE793" w14:textId="5E4C7A3D">
      <w:pPr>
        <w:pStyle w:val="NormalHanging12a"/>
        <w:jc w:val="both"/>
      </w:pPr>
      <w:r w:rsidRPr="00BB5DE9">
        <w:t>1.</w:t>
      </w:r>
      <w:r w:rsidRPr="00BB5DE9">
        <w:tab/>
        <w:t xml:space="preserve">ricorda che il bilancio dell'Unione per il 2027 sarà il bilancio definitivo nell'ambito del quadro finanziario pluriennale (QFP) 2021-2027 e, in quanto bilancio ponte per il prossimo QFP 2028-2034, deve continuare a realizzare le priorità e le sfide attuali e future, anche per quanto riguarda il mercato unico dell'UE; chiede pertanto che il bilancio dell'Unione per il 2027 contribuisca a migliorare la competitività, la sostenibilità e a rafforzare il funzionamento del mercato unico, sostenendo la transizione verso un'economia digitale, sostenibile e competitiva, nello stesso tempo promuovendo e tutelando nel contempo gli interessi dei consumatori europei garantendo un elevato livello di protezione, in particolare alla luce delle nuove sfide poste dall'ambiente digitale; chiede l'eliminazione delle barriere che ne ostacolano il funzionamento, in particolare i "terribili 10" individuati dalla Commissione europea; sottolinea la necessità di ridurre gli oneri amministrativi ingiustificati per le imprese, in particolare le PMI, le piccole imprese a media capitalizzazione, le start-up e le scale-up, e di garantire un'attuazione armonizzata della legislazione vigente; sottolinea che un mercato unico attraente per le PMI, le piccole imprese a media capitalizzazione, le start-up e le scale-up fornisce un ecosistema ideale per attrarre e trattenere i talenti, creare posti di lavoro di qualità e promuovere lo sviluppo delle competenze richieste dal mercato del lavoro; evidenzia la necessità di rafforzare e migliorare la resilienza del mercato unico, così come la sua accessibilità per le imprese, al fine di incrementare i flussi commerciali dell'UE, garantire catene di approvvigionamento e catene del valore, contribuendo in tal modo alla crescita economica; sottolinea che il mercato unico rappresenta un fattore essenziale per il conseguimento di un'economia globalmente competitiva, circolare ed efficiente sotto il profilo energetico e delle risorse; accoglie con favore, a tale proposito, il lavoro svolto finora in materia di economia circolare, incentrato sull'eliminazione degli ostacoli al mercato, sulla garanzia dei diritti dei consumatori e sulla promozione di modelli </w:t>
      </w:r>
      <w:r w:rsidRPr="00BB5DE9">
        <w:t xml:space="preserve">imprenditoriali sostenibili; </w:t>
      </w:r>
    </w:p>
    <w:p w:rsidR="00AE735B" w:rsidRPr="00BB5DE9" w:rsidP="001159A8" w14:paraId="5623BF34" w14:textId="77777777">
      <w:pPr>
        <w:pStyle w:val="NormalHanging12a"/>
        <w:jc w:val="both"/>
      </w:pPr>
      <w:r w:rsidRPr="00BB5DE9">
        <w:t>2.</w:t>
      </w:r>
      <w:r w:rsidRPr="00BB5DE9">
        <w:tab/>
        <w:t xml:space="preserve">chiede che il bilancio dell'Unione per il 2027 sostenga i poli di ricerca e innovazione nel settore industriale e rafforzi le misure volte a facilitare lo sviluppo delle start-up e delle PMI; </w:t>
      </w:r>
    </w:p>
    <w:p w:rsidR="00AE735B" w:rsidRPr="00BB5DE9" w:rsidP="001159A8" w14:paraId="346B0EB3" w14:textId="77777777">
      <w:pPr>
        <w:pStyle w:val="NormalHanging12a"/>
        <w:jc w:val="both"/>
      </w:pPr>
      <w:r w:rsidRPr="00BB5DE9">
        <w:t>3.</w:t>
      </w:r>
      <w:r w:rsidRPr="00BB5DE9">
        <w:tab/>
        <w:t xml:space="preserve">sottolinea che le molteplici sfide che l'Europa si trova ad affrontare richiedono maggiori investimenti e un maggiore coordinamento a livello europeo; chiede un bilancio dell'Unione per il 2027 che rifletta la natura urgente di tali sfide, garantisca il futuro dell'autonomia strategica dell'Europa e sostenga l'obiettivo della transizione digitale; sottolinea l'importanza di rafforzare una base industriale europea solida e competitiva, in particolare nei settori strategici, quale prerequisito per rafforzare la resilienza, la sicurezza economica e la sovranità dell'Unione e ridurre la dipendenza da catene di approvvigionamento problematiche dei paesi terzi e l'influenza geopolitica esterna; sottolinea inoltre che ciò risulta ancora più urgente alla luce dell'attuale invasione russa dell'Ucraina, della complessa situazione in Medio Oriente – che potrebbe causare perturbazioni nell’economia globale e nei flussi commerciali – nonché degli attacchi ibridi contro gli Stati membri e delle interferenze straniere, tra le altre cose, che evidenziano la necessità che il mercato unico diventi più sostenibile, resiliente e pronto a rispondere alle emergenze, anche garantendo la sicurezza delle catene di approvvigionamento e un accesso affidabile alle materie prime critiche; invita la Commissione europea a garantire sufficienti stanziamenti di bilancio che attenuino gli effetti di tale sfide, tra cui in particolare gli impatti della guerra in Ucraina sull'UE, i suoi cittadini e gli Stati membri, in particolare quelli che condividono un confine con l'Ucraina; </w:t>
      </w:r>
    </w:p>
    <w:p w:rsidR="00AE735B" w:rsidRPr="00BB5DE9" w:rsidP="001159A8" w14:paraId="0A1FB695" w14:textId="77777777">
      <w:pPr>
        <w:pStyle w:val="NormalHanging12a"/>
        <w:jc w:val="both"/>
      </w:pPr>
      <w:r w:rsidRPr="00BB5DE9">
        <w:t>4.</w:t>
      </w:r>
      <w:r w:rsidRPr="00BB5DE9">
        <w:tab/>
        <w:t xml:space="preserve">sottolinea le sfide senza precedenti in materia di sicurezza che l'Unione si trova ad affrontare a seguito dell'invasione russa dell'Ucraina ed evidenzia l'aumento dei rischi per la sicurezza nell'attuale situazione geopolitica, in particolare per gli Stati membri situati vicino a zone di conflitto; invita la Commissione a garantire che il bilancio dell'Unione dia priorità agli investimenti a favore dello sviluppo dell'economia europea, in particolare nel settore della sicurezza e della difesa, promuovendo l'innovazione, stimolando la produttività della base industriale e tecnologica di difesa europea, supportando le microimprese e le PMI europee e rafforzando gli investimenti in tali settori; sottolinea la necessità di costruire un autentico mercato europeo della difesa al fine di rafforzare la sovranità europea, la prontezza alla difesa, l'autonomia strategica e catene di approvvigionamento resilienti; sostiene opportunità eque per le imprese di tutte le dimensioni, comprese le PMI; invita la Commissione a presentare, entro la fine del 2026, una revisione globale della direttiva sugli appalti pubblici nel settore della difesa e della direttiva sui trasferimenti nel settore della difesa; </w:t>
      </w:r>
    </w:p>
    <w:p w:rsidR="00AE735B" w:rsidRPr="00BB5DE9" w:rsidP="001159A8" w14:paraId="7DAC2587" w14:textId="77777777">
      <w:pPr>
        <w:pStyle w:val="NormalHanging12a"/>
        <w:jc w:val="both"/>
        <w:rPr>
          <w:b/>
          <w:bCs/>
          <w:i/>
          <w:iCs/>
        </w:rPr>
      </w:pPr>
      <w:r w:rsidRPr="00BB5DE9">
        <w:t>5.</w:t>
      </w:r>
      <w:r w:rsidRPr="00BB5DE9">
        <w:tab/>
        <w:t xml:space="preserve">ricorda la necessità di rafforzare la resilienza, l'autonomia strategica e la competitività dell'economia dell'UE attraverso politiche economiche ambiziose dell'UE che possano contribuire in modo significativo al conseguimento degli obiettivi di crescita digitale ed economica dell'UE, mantenendo condizioni di parità e la certezza del diritto nel mercato unico e riducendo in modo significativo i requisiti normativi e amministrativi per sfruttare appieno il potenziale del commercio transfrontaliero; prende atto della pubblicazione del regolamento sull'accelerazione industriale e ne sottolinea il potenziale per rafforzare la </w:t>
      </w:r>
      <w:r w:rsidRPr="00BB5DE9">
        <w:t xml:space="preserve">competitività dei settori e delle tecnologie strategici, contribuendo nel contempo alla resilienza, all'autonomia strategica, alla sovranità energetica e all'accessibilità economica dell'energia dell'Unione; sottolinea la necessità di rafforzare la task force per l'applicazione delle norme sul mercato unico fornendo risorse aggiuntive e un chiaro mandato per affrontare i "terribili dieci" ostacoli, sistematizzare i dialoghi pre-infrazione e affrontare rapidamente le violazioni in settori critici; chiede un vero e proprio Fondo per la competitività che definisca le condizioni macroeconomiche necessarie per accrescere gli investimenti nei settori chiave che lo necessitano; sottolinea che il nuovo Fondo per la competitività dovrebbe contribuire ulteriormente a rafforzare il mercato unico e la sua resilienza, sostenendo nel contempo la resilienza delle start-up e delle PMI e supportando una maggiore coerenza, efficacia e accessibilità degli strumenti di finanziamento dell'Unione; </w:t>
      </w:r>
    </w:p>
    <w:p w:rsidR="00AE735B" w:rsidRPr="00BB5DE9" w:rsidP="001159A8" w14:paraId="50289D1C" w14:textId="77777777">
      <w:pPr>
        <w:pStyle w:val="NormalHanging12a"/>
        <w:jc w:val="both"/>
      </w:pPr>
      <w:r w:rsidRPr="00BB5DE9">
        <w:t>6.</w:t>
      </w:r>
      <w:r w:rsidRPr="00BB5DE9">
        <w:tab/>
        <w:t>ricorda le conclusioni della relazione Draghi, in cui viene sottolineato che il 30 % delle imprese "unicorno" europee cercano finanziamenti e possibilità di crescita al di fuori dell'Europa; invita la Commissione a garantire che il bilancio dell'Unione per il 2027 dia priorità agli investimenti nell'innovazione, promuovendo misure che rendano il mercato unico più accessibile per i cittadini, gli imprenditori, le imprese, in particolare le PMI, e le start-up innovative dell'UE; sottolinea l'importanza di garantire un livello adeguato di finanziamenti per sostenere gli sforzi della Commissione europea volti a promuovere l'innovazione e rafforzare lo sviluppo e la leadership dell'intelligenza artificiale in un mercato dinamico, rafforzando in tal modo la competitività e la sovranità tecnologica europea; sottolinea che qualsiasi semplificazione delle norme e delle procedure di bilancio è essenziale per incoraggiare le imprese, in particolare le PMI, a sfruttare appieno i benefici associati al mercato unico e deve andare di pari passo con la garanzia di una corretta gestione dei fondi dell'UE e della piena tutela del bilancio e degli interessi finanziari dell'UE;</w:t>
      </w:r>
    </w:p>
    <w:p w:rsidR="00AE735B" w:rsidRPr="00BB5DE9" w:rsidP="001159A8" w14:paraId="412018C2" w14:textId="77777777">
      <w:pPr>
        <w:pStyle w:val="NormalHanging12a"/>
        <w:jc w:val="both"/>
        <w:rPr>
          <w:b/>
          <w:bCs/>
          <w:i/>
          <w:iCs/>
        </w:rPr>
      </w:pPr>
      <w:r w:rsidRPr="00BB5DE9">
        <w:t>7.</w:t>
      </w:r>
      <w:r w:rsidRPr="00BB5DE9">
        <w:tab/>
        <w:t>sottolinea la necessità che il bilancio 2027 sostenga le imprese, i lavoratori e i consumatori ad adeguarsi alle norme ambientali e climatiche, in particolare contribuendo ad alleggerire i costi amministrativi e di conformità e garantendo che la transizione rimanga economicamente accessibile, contribuendo nel contempo alla competitività globale delle industrie europee e promuovendo la crescita sostenibile in tutta l'Unione;</w:t>
      </w:r>
      <w:r w:rsidRPr="00BB5DE9">
        <w:rPr>
          <w:b/>
          <w:i/>
        </w:rPr>
        <w:t xml:space="preserve"> </w:t>
      </w:r>
    </w:p>
    <w:p w:rsidR="00AE735B" w:rsidRPr="00BB5DE9" w:rsidP="001159A8" w14:paraId="07629F4D" w14:textId="77777777">
      <w:pPr>
        <w:pStyle w:val="NormalHanging12a"/>
        <w:jc w:val="both"/>
        <w:rPr>
          <w:i/>
          <w:iCs/>
        </w:rPr>
      </w:pPr>
      <w:r w:rsidRPr="00BB5DE9">
        <w:t>8.</w:t>
      </w:r>
      <w:r w:rsidRPr="00BB5DE9">
        <w:tab/>
        <w:t xml:space="preserve">sottolinea l'urgente necessità di stanziare maggiori risorse di bilancio per rafforzare l'unione doganale, così come l'applicazione della legislazione in materia di sicurezza, e aumentare la resilienza e l'efficacia delle autorità doganali e di vigilanza del mercato; sottolinea che tali risorse sono essenziali per effettuare controlli più sistematici sui prodotti e per rispondere efficacemente al crescente afflusso di prodotti non conformi, non sicuri e illegali importati attraverso piattaforme di commercio elettronico di paesi terzi, con particolare riferimento ai singoli pacchi importati direttamente dai consumatori attraverso le piattaforme di commercio elettronico; sottolinea la necessità di una migliore cooperazione tra le autorità doganali, di una maggiore diffusione degli strumenti informatici e di finanziamenti per le capacità comuni europee, come gli impianti di prova dei prodotti e i controlli doganali approfonditi dei pacchi importati, al fine di valutare la conformità alle norme dell'Unione, proteggere i consumatori e garantire condizioni di parità per le imprese europee, nonché attraverso azioni coordinate da parte delle autorità nazionali, come le indagini a tappeto; chiede ulteriori investimenti per gli strumenti </w:t>
      </w:r>
      <w:r w:rsidRPr="00BB5DE9">
        <w:t>digitali al fine di migliorare l'efficienza e il coordinamento delle autorità doganali in tutta l'Unione; sottolinea che un sistema doganale e di vigilanza del mercato adeguatamente finanziato, solido ed efficiente è essenziale per salvaguardare la resilienza economica e la competitività dell'UE, facilitare il commercio transfrontaliero legittimo, evitare le distorsioni del mercato, combattere le attività illecite ed eliminare la concorrenza sleale; accoglie con favore il fatto che il bilancio proposto per il 2027 stanzi i finanziamenti per la nuova Autorità doganale dell'Unione europea e invita la Commissione a dare priorità al rapido insediamento dell'agenzia nella sua sede; sottolinea la necessità di stanziare risorse adeguate per dotare tutti i posti di frontiera doganali di attrezzature di controllo adeguate;</w:t>
      </w:r>
    </w:p>
    <w:p w:rsidR="00AE735B" w:rsidRPr="00BB5DE9" w:rsidP="001159A8" w14:paraId="6D85F1C3" w14:textId="77777777">
      <w:pPr>
        <w:pStyle w:val="NormalHanging12a"/>
        <w:jc w:val="both"/>
      </w:pPr>
      <w:r w:rsidRPr="00BB5DE9">
        <w:t>9.</w:t>
      </w:r>
      <w:r w:rsidRPr="00BB5DE9">
        <w:tab/>
        <w:t>invita la Commissione a garantire che il bilancio dell'Unione per il 2027 fornisca risorse adeguate per l'efficace applicazione delle norme del mercato unico e la protezione dei consumatori, comprese le norme in materia di sicurezza dei prodotti di consumo; ricorda le crescenti sfide poste dal commercio online transfrontaliero e sottolinea la necessità di rafforzare la cooperazione tra le autorità di contrasto dell'Unione e nazionali; sottolinea che un'applicazione efficace e coerente delle norme in materia di digitale, mercato unico e consumatori è essenziale per garantire una concorrenza leale, proteggere i consumatori europei, promuovere la fiducia tra imprese e consumatori ed evitare distorsioni del mercato; evidenzia inoltre l'importanza di rafforzare l'applicazione dei diritti dei consumatori a livello nazionale e dell'UE, di coordinare le misure di applicazione dell'UE e degli Stati membri a beneficio di una maggiore efficienza e di migliorare la consapevolezza che i consumatori hanno dei propri diritti; invita la Commissione, in tal senso, a garantire maggiori finanziamenti per sostenere un elevato livello di protezione dei consumatori europei, compresi i consumatori più vulnerabili, sia online che offline;</w:t>
      </w:r>
    </w:p>
    <w:p w:rsidR="00AE735B" w:rsidRPr="00BB5DE9" w:rsidP="001159A8" w14:paraId="4698A6CC" w14:textId="77777777">
      <w:pPr>
        <w:pStyle w:val="NormalHanging12a"/>
        <w:jc w:val="both"/>
        <w:rPr>
          <w:szCs w:val="24"/>
        </w:rPr>
      </w:pPr>
      <w:r w:rsidRPr="00BB5DE9">
        <w:t>10.</w:t>
      </w:r>
      <w:r w:rsidRPr="00BB5DE9">
        <w:tab/>
        <w:t>ribadisce la sua richiesta di finanziamenti e personale sufficienti per garantire l'applicazione efficace, adeguata e tempestiva del corpus normativo dell'Unione nel settore digitale e delle pertinenti norme in materia di protezione dei consumatori; sottolinea che la capacità di applicazione deve affrontare l'attuale squilibrio di risorse tra le autorità competenti e i grandi attori digitali e rispondere ai rischi tecnologici e di mercato in rapida evoluzione; sottolinea che un'applicazione corretta e armonizzata è essenziale per garantire indagini adeguate e tempestive al fine di assicurare la certezza del diritto, mercati digitali equi e competitivi, la protezione dei consumatori e l'autonomia tecnologica dell'Unione;</w:t>
      </w:r>
    </w:p>
    <w:p w:rsidR="00AE735B" w:rsidRPr="00BB5DE9" w:rsidP="001159A8" w14:paraId="6943BBBF" w14:textId="77777777">
      <w:pPr>
        <w:pStyle w:val="NormalHanging12a"/>
        <w:jc w:val="both"/>
      </w:pPr>
      <w:r w:rsidRPr="00BB5DE9">
        <w:t>11.</w:t>
      </w:r>
      <w:r w:rsidRPr="00BB5DE9">
        <w:tab/>
        <w:t>chiede un ufficio europeo per l'IA dotato di risorse adeguate per garantire l'attuazione e l'applicazione efficaci del diritto dell'UE e sostenere la conformità in tutta l'Unione; avverte che la sua capacità deve stare al passo con modelli di IA sempre più capaci e con gli ulteriori compiti di vigilanza a livello dell'Unione conferiti dal diritto dell'UE; sottolinea che il livello dei finanziamenti iscritti a bilancio nel 2027 dovrebbe consentire un aumento sostanziale della capacità operativa e tecnica dell'Ufficio, sostenendo nel contempo la ricerca e lo sviluppo di soluzioni basate sull'IA e di approcci innovativi che rafforzino la sovranità tecnologica e l'autonomia strategica dell'UE;</w:t>
      </w:r>
    </w:p>
    <w:p w:rsidR="00AE735B" w:rsidRPr="00BB5DE9" w:rsidP="001159A8" w14:paraId="66866DD8" w14:textId="77777777">
      <w:pPr>
        <w:pStyle w:val="NormalHanging12a"/>
        <w:jc w:val="both"/>
      </w:pPr>
      <w:r w:rsidRPr="00BB5DE9">
        <w:t>12.</w:t>
      </w:r>
      <w:r w:rsidRPr="00BB5DE9">
        <w:tab/>
        <w:t xml:space="preserve">ricorda che, secondo la relazione sul mercato unico del 2026, solo il 20,6% delle procedure amministrative pertinenti per il mercato unico dell'UE è interamente online per gli utenti transfrontalieri, il che compromette la capacità dei cittadini, degli imprenditori </w:t>
      </w:r>
      <w:r w:rsidRPr="00BB5DE9">
        <w:t>e delle imprese di beneficiare appieno del mercato unico; invita la Commissione, in tal senso, a dare priorità alla digitalizzazione delle procedure del mercato unico nel bilancio 2027, anche intensificando il sostegno alla trasformazione digitale del settore pubblico, con particolare attenzione alle procedure amministrative che incidono sulle imprese e sui consumatori, consentendo un accesso senza soluzione di continuità ai servizi pubblici digitali e migliorando la consapevolezza tra i cittadini;</w:t>
      </w:r>
    </w:p>
    <w:p w:rsidR="00AE735B" w:rsidRPr="00BB5DE9" w:rsidP="001159A8" w14:paraId="4E30E10B" w14:textId="77777777">
      <w:pPr>
        <w:pStyle w:val="NormalHanging12a"/>
        <w:jc w:val="both"/>
      </w:pPr>
      <w:r w:rsidRPr="00BB5DE9">
        <w:t>13.</w:t>
      </w:r>
      <w:r w:rsidRPr="00BB5DE9">
        <w:tab/>
        <w:t xml:space="preserve">sottolinea che la semplificazione e la competitività dovrebbero sostenere la certezza del diritto, preservando nel contempo l'efficacia del diritto dell'Unione e la sua attuazione; sottolinea inoltre l'importanza di combattere le ingerenze straniere, garantire la protezione dei consumatori, affrontare i rischi posti dai modelli oscuri, dalla progettazione che crea dipendenza e dagli algoritmi distorti, in particolare per i minori e i giovani, e salvaguardare la trasparenza, la responsabilità e l'integrità della sfera pubblica digitale; </w:t>
      </w:r>
    </w:p>
    <w:p w:rsidR="00AE735B" w:rsidRPr="00BB5DE9" w:rsidP="001159A8" w14:paraId="44363A36" w14:textId="77777777">
      <w:pPr>
        <w:pStyle w:val="NormalHanging12a"/>
        <w:jc w:val="both"/>
        <w:rPr>
          <w:iCs/>
        </w:rPr>
        <w:sectPr w:rsidSect="00AE735B">
          <w:headerReference w:type="even" r:id="rId37"/>
          <w:headerReference w:type="default" r:id="rId38"/>
          <w:headerReference w:type="first" r:id="rId39"/>
          <w:footerReference w:type="first" r:id="rId40"/>
          <w:footnotePr>
            <w:numRestart w:val="eachSect"/>
          </w:footnotePr>
          <w:endnotePr>
            <w:numFmt w:val="decimal"/>
          </w:endnotePr>
          <w:pgSz w:w="11906" w:h="16838" w:code="9"/>
          <w:pgMar w:top="1134" w:right="1418" w:bottom="1134" w:left="1418" w:header="1134" w:footer="567" w:gutter="0"/>
          <w:cols w:space="720"/>
          <w:noEndnote/>
          <w:docGrid w:linePitch="326"/>
        </w:sectPr>
      </w:pPr>
      <w:r w:rsidRPr="00BB5DE9">
        <w:t>14.</w:t>
      </w:r>
      <w:r w:rsidRPr="00BB5DE9">
        <w:tab/>
        <w:t>sottolinea la necessità che il programma per il mercato unico finanzi adeguatamente il rafforzamento delle capacità in materia di appalti pubblici, in particolare sostenendo le amministrazioni aggiudicatrici nella realizzazione degli appalti pubblici, progettando gare d'appalto più accessibili, riducendo gli oneri amministrativi e promuovendo gli interessi dei consumatori e garantendo un elevato livello di protezione dei consumatori e di sicurezza dei prodotti; evidenzia che autorità responsabili degli appalti meglio qualificate e dotate di maggiori risorse sono essenziali per garantire che gli appalti pubblici servano l'interesse pubblico attraverso l'uso diligente del denaro dei contribuenti, facilitando l'accesso delle PMI, semplificando e allineando le procedure alle migliori pratiche e realizzando investimenti più efficaci, incisivi e a lungo termine;</w:t>
      </w:r>
    </w:p>
    <w:p w:rsidR="00AE735B" w:rsidRPr="00BB5DE9" w:rsidP="002B2C72" w14:paraId="6F6413F0" w14:textId="77777777">
      <w:pPr>
        <w:pStyle w:val="PageHeadingNotTOC"/>
      </w:pPr>
      <w:r w:rsidRPr="00BB5DE9">
        <w:t>ALLEGATO: DICHIARAZIONE DEI CONTRIBUTI</w:t>
      </w:r>
    </w:p>
    <w:p w:rsidR="00AE735B" w:rsidRPr="00BB5DE9" w:rsidP="00037518" w14:paraId="6D5DD4B9" w14:textId="77777777">
      <w:pPr>
        <w:pStyle w:val="Normal24a"/>
        <w:rPr>
          <w:lang w:val="it-IT"/>
        </w:rPr>
      </w:pPr>
      <w:r w:rsidRPr="00BB5DE9">
        <w:rPr>
          <w:rStyle w:val="HideTWBExt"/>
          <w:lang w:val="it-IT"/>
        </w:rPr>
        <w:t>&lt;FootprintIntro&gt;</w:t>
      </w:r>
      <w:r w:rsidRPr="00BB5DE9">
        <w:rPr>
          <w:lang w:val="it-IT"/>
        </w:rPr>
        <w:t>Conformemente all'allegato I, articolo 8, del regolamento, il relatore per parere dichiara di aver incluso nel suo parere contributi su questioni attinenti all'oggetto del fascicolo che ha ricevuto, ai fini dell'elaborazione del parere, fino alla sua approvazione in commissione, dai rappresentanti di interessi che rientrano nell'ambito di applicazione dell'accordo interistituzionale su un registro per la trasparenza obbligatorio</w:t>
      </w:r>
      <w:r>
        <w:rPr>
          <w:rStyle w:val="FootnoteReference"/>
          <w:lang w:val="it-IT"/>
        </w:rPr>
        <w:footnoteReference w:id="25"/>
      </w:r>
      <w:r w:rsidRPr="00BB5DE9">
        <w:rPr>
          <w:lang w:val="it-IT"/>
        </w:rPr>
        <w:t>, o dai rappresentanti delle pubbliche autorità di paesi terzi, incluse le loro missioni diplomatiche e ambasciate, qui di seguito elencati:</w:t>
      </w:r>
      <w:r w:rsidRPr="00BB5DE9">
        <w:rPr>
          <w:rStyle w:val="HideTWBExt"/>
          <w:lang w:val="it-IT"/>
        </w:rPr>
        <w:t>&lt;/FootprintIntro&gt;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9060"/>
      </w:tblGrid>
      <w:tr w14:paraId="50DE614F" w14:textId="77777777" w:rsidTr="00F42F07">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Ex>
        <w:tc>
          <w:tcPr>
            <w:tcW w:w="9286" w:type="dxa"/>
          </w:tcPr>
          <w:p w:rsidR="00AE735B" w:rsidRPr="00BB5DE9" w:rsidP="00F42F07" w14:paraId="43B6A4D5" w14:textId="77777777">
            <w:pPr>
              <w:pStyle w:val="NormalBoldCenter"/>
              <w:rPr>
                <w:lang w:val="it-IT"/>
              </w:rPr>
            </w:pPr>
            <w:r w:rsidRPr="00BB5DE9">
              <w:rPr>
                <w:lang w:val="it-IT"/>
              </w:rPr>
              <w:t>1. Rappresentanti di interessi che rientrano nell'ambito di applicazione dell'accordo interistituzionale su un registro per la trasparenza obbligatorio</w:t>
            </w:r>
          </w:p>
        </w:tc>
      </w:tr>
      <w:tr w14:paraId="2AC39E09" w14:textId="77777777" w:rsidTr="00F42F07">
        <w:tblPrEx>
          <w:tblW w:w="0" w:type="auto"/>
          <w:tblLook w:val="04A0"/>
        </w:tblPrEx>
        <w:tc>
          <w:tcPr>
            <w:tcW w:w="9286" w:type="dxa"/>
          </w:tcPr>
          <w:p w:rsidR="00AE735B" w:rsidRPr="00BB5DE9" w:rsidP="00EE2A61" w14:paraId="7E47FD0B" w14:textId="77777777">
            <w:pPr>
              <w:pStyle w:val="NormalSingle"/>
              <w:rPr>
                <w:lang w:val="it-IT"/>
              </w:rPr>
            </w:pPr>
            <w:r w:rsidRPr="00BB5DE9">
              <w:rPr>
                <w:lang w:val="it-IT"/>
              </w:rPr>
              <w:t>Nulla</w:t>
            </w:r>
          </w:p>
        </w:tc>
      </w:tr>
      <w:tr w14:paraId="6A9E6923" w14:textId="77777777" w:rsidTr="00F42F07">
        <w:tblPrEx>
          <w:tblW w:w="0" w:type="auto"/>
          <w:tblLook w:val="04A0"/>
        </w:tblPrEx>
        <w:tc>
          <w:tcPr>
            <w:tcW w:w="9286" w:type="dxa"/>
          </w:tcPr>
          <w:p w:rsidR="00AE735B" w:rsidRPr="00BB5DE9" w:rsidP="007C35EE" w14:paraId="2D928FAB" w14:textId="77777777">
            <w:pPr>
              <w:pStyle w:val="NormalBoldCenter"/>
              <w:rPr>
                <w:lang w:val="it-IT"/>
              </w:rPr>
            </w:pPr>
            <w:r w:rsidRPr="00BB5DE9">
              <w:rPr>
                <w:lang w:val="it-IT"/>
              </w:rPr>
              <w:t>2. Rappresentanti delle pubbliche autorità di paesi terzi, incluse le loro missioni diplomatiche e ambasciate</w:t>
            </w:r>
          </w:p>
        </w:tc>
      </w:tr>
      <w:tr w14:paraId="242C9F9A" w14:textId="77777777" w:rsidTr="00F42F07">
        <w:tblPrEx>
          <w:tblW w:w="0" w:type="auto"/>
          <w:tblLook w:val="04A0"/>
        </w:tblPrEx>
        <w:tc>
          <w:tcPr>
            <w:tcW w:w="9286" w:type="dxa"/>
          </w:tcPr>
          <w:p w:rsidR="00AE735B" w:rsidRPr="00BB5DE9" w:rsidP="007C35EE" w14:paraId="5A3451A2" w14:textId="77777777">
            <w:pPr>
              <w:pStyle w:val="NormalSingle"/>
              <w:rPr>
                <w:lang w:val="it-IT"/>
              </w:rPr>
            </w:pPr>
            <w:r w:rsidRPr="00BB5DE9">
              <w:rPr>
                <w:lang w:val="it-IT"/>
              </w:rPr>
              <w:t>Nulla</w:t>
            </w:r>
          </w:p>
        </w:tc>
      </w:tr>
    </w:tbl>
    <w:p w:rsidR="00AE735B" w:rsidRPr="00BB5DE9" w:rsidP="00B60BF2" w14:paraId="5EF39210" w14:textId="77777777">
      <w:pPr>
        <w:pStyle w:val="Footprint12b"/>
        <w:rPr>
          <w:lang w:val="it-IT"/>
        </w:rPr>
      </w:pPr>
      <w:r w:rsidRPr="00BB5DE9">
        <w:rPr>
          <w:lang w:val="it-IT"/>
        </w:rPr>
        <w:t>L'elenco che precede è compilato sotto l'esclusiva responsabilità del relatore per parere.</w:t>
      </w:r>
    </w:p>
    <w:p w:rsidR="00AE735B" w:rsidRPr="00BB5DE9" w:rsidP="00802975" w14:paraId="413755B7" w14:textId="08A2170C">
      <w:pPr>
        <w:pStyle w:val="Footprint12b"/>
        <w:rPr>
          <w:lang w:val="it-IT"/>
        </w:rPr>
      </w:pPr>
      <w:r w:rsidRPr="00BB5DE9">
        <w:rPr>
          <w:lang w:val="it-IT"/>
        </w:rPr>
        <w:t>Quando delle persone fisiche sono identificate nell'elenco con il loro nome, la loro funzione o entrambi, il relatore per parere dichiara di aver sottoposto alle persone fisiche interessate l'informativa del Parlamento europeo sulla protezione dei dati n. 484 (</w:t>
      </w:r>
      <w:hyperlink r:id="rId41" w:tooltip="https://www.europarl.europa.eu/data-protect/index.do" w:history="1">
        <w:r w:rsidRPr="00BB5DE9">
          <w:rPr>
            <w:rStyle w:val="Hyperlink"/>
            <w:lang w:val="it-IT"/>
          </w:rPr>
          <w:t>https://www.europarl.europa.eu/data-protect/index.do</w:t>
        </w:r>
      </w:hyperlink>
      <w:r w:rsidRPr="00BB5DE9">
        <w:rPr>
          <w:lang w:val="it-IT"/>
        </w:rPr>
        <w:t>), che definisce le condizioni applicabili al trattamento dei loro dati personali e i diritti connessi a tale trattamento.</w:t>
      </w:r>
    </w:p>
    <w:p w:rsidR="00AE735B" w:rsidRPr="00BB5DE9" w:rsidP="001D40BE" w14:paraId="02E02886" w14:textId="77777777">
      <w:pPr>
        <w:pStyle w:val="NormalHanging12a"/>
      </w:pPr>
    </w:p>
    <w:p w:rsidR="00AE735B" w:rsidRPr="00BB5DE9" w:rsidP="001D40BE" w14:paraId="6C7F4464" w14:textId="77777777">
      <w:pPr>
        <w:sectPr w:rsidSect="00AE735B">
          <w:headerReference w:type="even" r:id="rId42"/>
          <w:headerReference w:type="default" r:id="rId43"/>
          <w:headerReference w:type="first" r:id="rId44"/>
          <w:footerReference w:type="first" r:id="rId45"/>
          <w:footnotePr>
            <w:numRestart w:val="eachSect"/>
          </w:footnotePr>
          <w:endnotePr>
            <w:numFmt w:val="decimal"/>
          </w:endnotePr>
          <w:pgSz w:w="11906" w:h="16838" w:code="9"/>
          <w:pgMar w:top="1134" w:right="1418" w:bottom="1418" w:left="1418" w:header="1134" w:footer="567" w:gutter="0"/>
          <w:cols w:space="720"/>
          <w:noEndnote/>
          <w:docGrid w:linePitch="326"/>
        </w:sectPr>
      </w:pPr>
    </w:p>
    <w:p w:rsidR="00AE735B" w:rsidRPr="00BB5DE9" w:rsidP="001D40BE" w14:paraId="696F9482" w14:textId="77777777">
      <w:pPr>
        <w:pStyle w:val="PageHeadingNotTOC"/>
      </w:pPr>
      <w:r w:rsidRPr="00BB5DE9">
        <w:t>INFORMAZIONI SULL'APPROVAZIONE</w:t>
      </w:r>
      <w:r w:rsidRPr="00BB5DE9">
        <w:br/>
        <w:t>DA PARTE DELLA COMMISSIONE COMPETENTE PER PARERE</w:t>
      </w:r>
    </w:p>
    <w:tbl>
      <w:tblPr>
        <w:tblW w:w="0" w:type="auto"/>
        <w:tblInd w:w="-10" w:type="dxa"/>
        <w:tblLayout w:type="fixed"/>
        <w:tblCellMar>
          <w:left w:w="0" w:type="dxa"/>
          <w:right w:w="0" w:type="dxa"/>
        </w:tblCellMar>
        <w:tblLook w:val="0000"/>
      </w:tblPr>
      <w:tblGrid>
        <w:gridCol w:w="3685"/>
        <w:gridCol w:w="1530"/>
        <w:gridCol w:w="1474"/>
        <w:gridCol w:w="1474"/>
        <w:gridCol w:w="1474"/>
      </w:tblGrid>
      <w:tr w14:paraId="56C1A842" w14:textId="77777777">
        <w:tblPrEx>
          <w:tblW w:w="0" w:type="auto"/>
          <w:tblInd w:w="-10" w:type="dxa"/>
          <w:tblLayout w:type="fixed"/>
          <w:tblCellMar>
            <w:left w:w="0" w:type="dxa"/>
            <w:right w:w="0" w:type="dxa"/>
          </w:tblCellMar>
          <w:tblLook w:val="0000"/>
        </w:tblPrEx>
        <w:tc>
          <w:tcPr>
            <w:tcW w:w="3685" w:type="dxa"/>
            <w:tcBorders>
              <w:top w:val="single" w:sz="8" w:space="0" w:color="000000"/>
              <w:left w:val="single" w:sz="8" w:space="0" w:color="000000"/>
              <w:bottom w:val="single" w:sz="8" w:space="0" w:color="000000"/>
              <w:right w:val="single" w:sz="8" w:space="0" w:color="000000"/>
            </w:tcBorders>
            <w:tcMar>
              <w:top w:w="79" w:type="dxa"/>
              <w:left w:w="79" w:type="dxa"/>
              <w:bottom w:w="79" w:type="dxa"/>
              <w:right w:w="79" w:type="dxa"/>
            </w:tcMar>
          </w:tcPr>
          <w:p w:rsidR="00AE735B" w:rsidRPr="00BB5DE9" w14:paraId="78A12A72" w14:textId="77777777">
            <w:pPr>
              <w:autoSpaceDE w:val="0"/>
              <w:autoSpaceDN w:val="0"/>
              <w:adjustRightInd w:val="0"/>
              <w:rPr>
                <w:b/>
                <w:bCs/>
                <w:color w:val="000000"/>
                <w:sz w:val="20"/>
              </w:rPr>
            </w:pPr>
            <w:r w:rsidRPr="00BB5DE9">
              <w:rPr>
                <w:b/>
                <w:color w:val="000000"/>
                <w:sz w:val="20"/>
              </w:rPr>
              <w:t>Approvazione</w:t>
            </w:r>
          </w:p>
        </w:tc>
        <w:tc>
          <w:tcPr>
            <w:tcW w:w="1530" w:type="dxa"/>
            <w:tcBorders>
              <w:top w:val="single" w:sz="8" w:space="0" w:color="000000"/>
              <w:left w:val="nil"/>
              <w:bottom w:val="single" w:sz="8" w:space="0" w:color="000000"/>
              <w:right w:val="nil"/>
            </w:tcBorders>
            <w:tcMar>
              <w:top w:w="79" w:type="dxa"/>
              <w:left w:w="79" w:type="dxa"/>
              <w:bottom w:w="79" w:type="dxa"/>
              <w:right w:w="79" w:type="dxa"/>
            </w:tcMar>
          </w:tcPr>
          <w:p w:rsidR="00AE735B" w:rsidRPr="00BB5DE9" w14:paraId="59E654D8" w14:textId="77777777">
            <w:pPr>
              <w:autoSpaceDE w:val="0"/>
              <w:autoSpaceDN w:val="0"/>
              <w:adjustRightInd w:val="0"/>
              <w:rPr>
                <w:color w:val="000000"/>
                <w:sz w:val="20"/>
              </w:rPr>
            </w:pPr>
            <w:r w:rsidRPr="00BB5DE9">
              <w:rPr>
                <w:color w:val="000000"/>
                <w:sz w:val="20"/>
              </w:rPr>
              <w:t>14.7.2026</w:t>
            </w:r>
          </w:p>
        </w:tc>
        <w:tc>
          <w:tcPr>
            <w:tcW w:w="1474" w:type="dxa"/>
            <w:tcBorders>
              <w:top w:val="single" w:sz="8" w:space="0" w:color="000000"/>
              <w:left w:val="nil"/>
              <w:bottom w:val="single" w:sz="8" w:space="0" w:color="000000"/>
              <w:right w:val="nil"/>
            </w:tcBorders>
            <w:tcMar>
              <w:top w:w="79" w:type="dxa"/>
              <w:left w:w="79" w:type="dxa"/>
              <w:bottom w:w="79" w:type="dxa"/>
              <w:right w:w="79" w:type="dxa"/>
            </w:tcMar>
          </w:tcPr>
          <w:p w:rsidR="00AE735B" w:rsidRPr="00BB5DE9" w14:paraId="7451BF01" w14:textId="77777777">
            <w:pPr>
              <w:autoSpaceDE w:val="0"/>
              <w:autoSpaceDN w:val="0"/>
              <w:adjustRightInd w:val="0"/>
              <w:rPr>
                <w:rFonts w:ascii="sans-serif" w:hAnsi="sans-serif" w:cs="sans-serif"/>
                <w:color w:val="000000"/>
              </w:rPr>
            </w:pPr>
          </w:p>
        </w:tc>
        <w:tc>
          <w:tcPr>
            <w:tcW w:w="1474" w:type="dxa"/>
            <w:tcBorders>
              <w:top w:val="single" w:sz="8" w:space="0" w:color="000000"/>
              <w:left w:val="nil"/>
              <w:bottom w:val="single" w:sz="8" w:space="0" w:color="000000"/>
              <w:right w:val="nil"/>
            </w:tcBorders>
            <w:tcMar>
              <w:top w:w="79" w:type="dxa"/>
              <w:left w:w="79" w:type="dxa"/>
              <w:bottom w:w="79" w:type="dxa"/>
              <w:right w:w="79" w:type="dxa"/>
            </w:tcMar>
          </w:tcPr>
          <w:p w:rsidR="00AE735B" w:rsidRPr="00BB5DE9" w14:paraId="7F196FB6" w14:textId="77777777">
            <w:pPr>
              <w:autoSpaceDE w:val="0"/>
              <w:autoSpaceDN w:val="0"/>
              <w:adjustRightInd w:val="0"/>
              <w:rPr>
                <w:rFonts w:ascii="sans-serif" w:hAnsi="sans-serif" w:cs="sans-serif"/>
                <w:color w:val="000000"/>
              </w:rPr>
            </w:pPr>
          </w:p>
        </w:tc>
        <w:tc>
          <w:tcPr>
            <w:tcW w:w="1474" w:type="dxa"/>
            <w:tcBorders>
              <w:top w:val="single" w:sz="8" w:space="0" w:color="000000"/>
              <w:left w:val="nil"/>
              <w:bottom w:val="single" w:sz="8" w:space="0" w:color="000000"/>
              <w:right w:val="single" w:sz="8" w:space="0" w:color="000000"/>
            </w:tcBorders>
            <w:tcMar>
              <w:top w:w="79" w:type="dxa"/>
              <w:left w:w="79" w:type="dxa"/>
              <w:bottom w:w="79" w:type="dxa"/>
              <w:right w:w="79" w:type="dxa"/>
            </w:tcMar>
          </w:tcPr>
          <w:p w:rsidR="00AE735B" w:rsidRPr="00BB5DE9" w14:paraId="0DDF9E1E" w14:textId="77777777">
            <w:pPr>
              <w:autoSpaceDE w:val="0"/>
              <w:autoSpaceDN w:val="0"/>
              <w:adjustRightInd w:val="0"/>
              <w:rPr>
                <w:rFonts w:ascii="sans-serif" w:hAnsi="sans-serif" w:cs="sans-serif"/>
                <w:color w:val="000000"/>
              </w:rPr>
            </w:pPr>
          </w:p>
        </w:tc>
      </w:tr>
      <w:tr w14:paraId="1CAAE5F1" w14:textId="77777777">
        <w:tblPrEx>
          <w:tblW w:w="0" w:type="auto"/>
          <w:tblInd w:w="-10" w:type="dxa"/>
          <w:tblLayout w:type="fixed"/>
          <w:tblCellMar>
            <w:left w:w="0" w:type="dxa"/>
            <w:right w:w="0" w:type="dxa"/>
          </w:tblCellMar>
          <w:tblLook w:val="0000"/>
        </w:tblPrEx>
        <w:tc>
          <w:tcPr>
            <w:tcW w:w="3685" w:type="dxa"/>
            <w:tcBorders>
              <w:top w:val="single" w:sz="8" w:space="0" w:color="000000"/>
              <w:left w:val="single" w:sz="8" w:space="0" w:color="000000"/>
              <w:bottom w:val="single" w:sz="8" w:space="0" w:color="000000"/>
              <w:right w:val="single" w:sz="8" w:space="0" w:color="000000"/>
            </w:tcBorders>
            <w:tcMar>
              <w:top w:w="79" w:type="dxa"/>
              <w:left w:w="79" w:type="dxa"/>
              <w:bottom w:w="79" w:type="dxa"/>
              <w:right w:w="79" w:type="dxa"/>
            </w:tcMar>
          </w:tcPr>
          <w:p w:rsidR="00AE735B" w:rsidRPr="00BB5DE9" w14:paraId="5E60D121" w14:textId="77777777">
            <w:pPr>
              <w:autoSpaceDE w:val="0"/>
              <w:autoSpaceDN w:val="0"/>
              <w:adjustRightInd w:val="0"/>
              <w:rPr>
                <w:b/>
                <w:bCs/>
                <w:color w:val="000000"/>
                <w:sz w:val="20"/>
              </w:rPr>
            </w:pPr>
            <w:r w:rsidRPr="00BB5DE9">
              <w:rPr>
                <w:b/>
                <w:color w:val="000000"/>
                <w:sz w:val="20"/>
              </w:rPr>
              <w:t>Esito della votazione finale</w:t>
            </w:r>
          </w:p>
        </w:tc>
        <w:tc>
          <w:tcPr>
            <w:tcW w:w="1530" w:type="dxa"/>
            <w:tcBorders>
              <w:top w:val="single" w:sz="8" w:space="0" w:color="000000"/>
              <w:left w:val="nil"/>
              <w:bottom w:val="single" w:sz="8" w:space="0" w:color="000000"/>
              <w:right w:val="nil"/>
            </w:tcBorders>
            <w:tcMar>
              <w:top w:w="79" w:type="dxa"/>
              <w:left w:w="79" w:type="dxa"/>
              <w:bottom w:w="79" w:type="dxa"/>
              <w:right w:w="79" w:type="dxa"/>
            </w:tcMar>
          </w:tcPr>
          <w:p w:rsidR="00AE735B" w:rsidRPr="00BB5DE9" w14:paraId="4343C112" w14:textId="77777777">
            <w:pPr>
              <w:autoSpaceDE w:val="0"/>
              <w:autoSpaceDN w:val="0"/>
              <w:adjustRightInd w:val="0"/>
              <w:rPr>
                <w:color w:val="000000"/>
                <w:sz w:val="20"/>
              </w:rPr>
            </w:pPr>
            <w:r w:rsidRPr="00BB5DE9">
              <w:rPr>
                <w:color w:val="000000"/>
                <w:sz w:val="20"/>
              </w:rPr>
              <w:t>+:</w:t>
            </w:r>
          </w:p>
          <w:p w:rsidR="00AE735B" w:rsidRPr="00BB5DE9" w14:paraId="1952A077" w14:textId="77777777">
            <w:pPr>
              <w:autoSpaceDE w:val="0"/>
              <w:autoSpaceDN w:val="0"/>
              <w:adjustRightInd w:val="0"/>
              <w:rPr>
                <w:color w:val="000000"/>
                <w:sz w:val="20"/>
              </w:rPr>
            </w:pPr>
            <w:r w:rsidRPr="00BB5DE9">
              <w:rPr>
                <w:color w:val="000000"/>
                <w:sz w:val="20"/>
              </w:rPr>
              <w:t>–:</w:t>
            </w:r>
          </w:p>
          <w:p w:rsidR="00AE735B" w:rsidRPr="00BB5DE9" w14:paraId="11E2AF4E" w14:textId="77777777">
            <w:pPr>
              <w:autoSpaceDE w:val="0"/>
              <w:autoSpaceDN w:val="0"/>
              <w:adjustRightInd w:val="0"/>
              <w:rPr>
                <w:color w:val="000000"/>
                <w:sz w:val="20"/>
              </w:rPr>
            </w:pPr>
            <w:r w:rsidRPr="00BB5DE9">
              <w:rPr>
                <w:color w:val="000000"/>
                <w:sz w:val="20"/>
              </w:rPr>
              <w:t>0:</w:t>
            </w:r>
          </w:p>
        </w:tc>
        <w:tc>
          <w:tcPr>
            <w:tcW w:w="4422" w:type="dxa"/>
            <w:gridSpan w:val="3"/>
            <w:tcBorders>
              <w:top w:val="single" w:sz="8" w:space="0" w:color="000000"/>
              <w:left w:val="nil"/>
              <w:bottom w:val="single" w:sz="8" w:space="0" w:color="000000"/>
              <w:right w:val="single" w:sz="8" w:space="0" w:color="000000"/>
            </w:tcBorders>
            <w:tcMar>
              <w:top w:w="79" w:type="dxa"/>
              <w:left w:w="79" w:type="dxa"/>
              <w:bottom w:w="79" w:type="dxa"/>
              <w:right w:w="79" w:type="dxa"/>
            </w:tcMar>
          </w:tcPr>
          <w:p w:rsidR="00AE735B" w:rsidRPr="00BB5DE9" w14:paraId="406BEE0C" w14:textId="77777777">
            <w:pPr>
              <w:autoSpaceDE w:val="0"/>
              <w:autoSpaceDN w:val="0"/>
              <w:adjustRightInd w:val="0"/>
              <w:rPr>
                <w:color w:val="000000"/>
                <w:sz w:val="20"/>
              </w:rPr>
            </w:pPr>
            <w:r w:rsidRPr="00BB5DE9">
              <w:rPr>
                <w:color w:val="000000"/>
                <w:sz w:val="20"/>
              </w:rPr>
              <w:t>41</w:t>
            </w:r>
          </w:p>
          <w:p w:rsidR="00AE735B" w:rsidRPr="00BB5DE9" w14:paraId="07980A5F" w14:textId="77777777">
            <w:pPr>
              <w:autoSpaceDE w:val="0"/>
              <w:autoSpaceDN w:val="0"/>
              <w:adjustRightInd w:val="0"/>
              <w:rPr>
                <w:color w:val="000000"/>
                <w:sz w:val="20"/>
              </w:rPr>
            </w:pPr>
            <w:r w:rsidRPr="00BB5DE9">
              <w:rPr>
                <w:color w:val="000000"/>
                <w:sz w:val="20"/>
              </w:rPr>
              <w:t>5</w:t>
            </w:r>
          </w:p>
          <w:p w:rsidR="00AE735B" w:rsidRPr="00BB5DE9" w14:paraId="6ED280FA" w14:textId="77777777">
            <w:pPr>
              <w:autoSpaceDE w:val="0"/>
              <w:autoSpaceDN w:val="0"/>
              <w:adjustRightInd w:val="0"/>
              <w:rPr>
                <w:color w:val="000000"/>
                <w:sz w:val="20"/>
              </w:rPr>
            </w:pPr>
            <w:r w:rsidRPr="00BB5DE9">
              <w:rPr>
                <w:color w:val="000000"/>
                <w:sz w:val="20"/>
              </w:rPr>
              <w:t>4</w:t>
            </w:r>
          </w:p>
        </w:tc>
      </w:tr>
    </w:tbl>
    <w:p w:rsidR="00AE735B" w:rsidRPr="00BB5DE9" w:rsidP="004A4056" w14:paraId="63441069" w14:textId="77777777"/>
    <w:p w:rsidR="00AE735B" w:rsidRPr="00BB5DE9" w:rsidP="001D40BE" w14:paraId="45367F62" w14:textId="77777777">
      <w:pPr>
        <w:sectPr w:rsidSect="00AE735B">
          <w:pgSz w:w="11894" w:h="15840"/>
          <w:pgMar w:top="1700" w:right="1417" w:bottom="1417" w:left="1417" w:header="720" w:footer="720" w:gutter="0"/>
          <w:cols w:space="720"/>
          <w:noEndnote/>
          <w:docGrid w:linePitch="326"/>
        </w:sectPr>
      </w:pPr>
    </w:p>
    <w:p w:rsidR="00AE735B" w:rsidRPr="00BB5DE9" w:rsidP="00C36610" w14:paraId="56C1BA60" w14:textId="77777777">
      <w:pPr>
        <w:pStyle w:val="PageHeadingNotTOC"/>
      </w:pPr>
      <w:r w:rsidRPr="00BB5DE9">
        <w:t>VOTAZIONE FINALE PER APPELLO NOMINALE</w:t>
      </w:r>
      <w:r w:rsidRPr="00BB5DE9">
        <w:br/>
        <w:t>DA PARTE DELLA COMMISSIONE COMPETENTE PER PARERE</w:t>
      </w:r>
    </w:p>
    <w:tbl>
      <w:tblPr>
        <w:tblW w:w="0" w:type="auto"/>
        <w:tblInd w:w="145" w:type="dxa"/>
        <w:tblBorders>
          <w:top w:val="double" w:sz="2" w:space="0" w:color="000000"/>
          <w:left w:val="double" w:sz="2" w:space="0" w:color="000000"/>
          <w:bottom w:val="double" w:sz="2" w:space="0" w:color="000000"/>
          <w:right w:val="double" w:sz="2" w:space="0" w:color="000000"/>
          <w:insideH w:val="single" w:sz="2" w:space="0" w:color="000000"/>
          <w:insideV w:val="single" w:sz="2" w:space="0" w:color="000000"/>
        </w:tblBorders>
        <w:tblLayout w:type="fixed"/>
        <w:tblCellMar>
          <w:left w:w="145" w:type="dxa"/>
          <w:right w:w="145" w:type="dxa"/>
        </w:tblCellMar>
        <w:tblLook w:val="0000"/>
      </w:tblPr>
      <w:tblGrid>
        <w:gridCol w:w="1701"/>
        <w:gridCol w:w="7371"/>
      </w:tblGrid>
      <w:tr w14:paraId="29432786" w14:textId="77777777" w:rsidTr="002A49BB">
        <w:tblPrEx>
          <w:tblW w:w="0" w:type="auto"/>
          <w:tblInd w:w="145" w:type="dxa"/>
          <w:tblBorders>
            <w:top w:val="double" w:sz="2" w:space="0" w:color="000000"/>
            <w:left w:val="double" w:sz="2" w:space="0" w:color="000000"/>
            <w:bottom w:val="double" w:sz="2" w:space="0" w:color="000000"/>
            <w:right w:val="double" w:sz="2" w:space="0" w:color="000000"/>
            <w:insideH w:val="single" w:sz="2" w:space="0" w:color="000000"/>
            <w:insideV w:val="single" w:sz="2" w:space="0" w:color="000000"/>
          </w:tblBorders>
          <w:tblLayout w:type="fixed"/>
          <w:tblCellMar>
            <w:left w:w="145" w:type="dxa"/>
            <w:right w:w="145" w:type="dxa"/>
          </w:tblCellMar>
          <w:tblLook w:val="0000"/>
        </w:tblPrEx>
        <w:trPr>
          <w:cantSplit/>
        </w:trPr>
        <w:tc>
          <w:tcPr>
            <w:tcW w:w="1701" w:type="dxa"/>
            <w:shd w:val="pct10" w:color="000000" w:fill="FFFFFF"/>
            <w:vAlign w:val="center"/>
          </w:tcPr>
          <w:p w:rsidR="00AE735B" w:rsidRPr="00BB5DE9" w:rsidP="002A49BB" w14:paraId="6117E4AB" w14:textId="77777777">
            <w:pPr>
              <w:pStyle w:val="RollCallVotes"/>
              <w:rPr>
                <w:lang w:val="it-IT"/>
              </w:rPr>
            </w:pPr>
            <w:r w:rsidRPr="00BB5DE9">
              <w:rPr>
                <w:lang w:val="it-IT"/>
              </w:rPr>
              <w:t>41</w:t>
            </w:r>
          </w:p>
        </w:tc>
        <w:tc>
          <w:tcPr>
            <w:tcW w:w="7371" w:type="dxa"/>
            <w:shd w:val="pct10" w:color="000000" w:fill="FFFFFF"/>
          </w:tcPr>
          <w:p w:rsidR="00AE735B" w:rsidRPr="00BB5DE9" w:rsidP="002A49BB" w14:paraId="6CAC4E42" w14:textId="77777777">
            <w:pPr>
              <w:pStyle w:val="RollCallSymbols14pt"/>
              <w:rPr>
                <w:lang w:val="it-IT"/>
              </w:rPr>
            </w:pPr>
            <w:r w:rsidRPr="00BB5DE9">
              <w:rPr>
                <w:lang w:val="it-IT"/>
              </w:rPr>
              <w:t>+</w:t>
            </w:r>
          </w:p>
        </w:tc>
      </w:tr>
      <w:tr w14:paraId="6D2E1FCA" w14:textId="77777777" w:rsidTr="002A49BB">
        <w:tblPrEx>
          <w:tblW w:w="0" w:type="auto"/>
          <w:tblInd w:w="145" w:type="dxa"/>
          <w:tblLayout w:type="fixed"/>
          <w:tblCellMar>
            <w:left w:w="145" w:type="dxa"/>
            <w:right w:w="145" w:type="dxa"/>
          </w:tblCellMar>
          <w:tblLook w:val="0000"/>
        </w:tblPrEx>
        <w:trPr>
          <w:cantSplit/>
        </w:trPr>
        <w:tc>
          <w:tcPr>
            <w:tcW w:w="1701" w:type="dxa"/>
            <w:shd w:val="clear" w:color="auto" w:fill="FFFFFF"/>
          </w:tcPr>
          <w:p w:rsidR="00AE735B" w:rsidRPr="00BB5DE9" w:rsidP="002A49BB" w14:paraId="105008BD" w14:textId="77777777">
            <w:pPr>
              <w:pStyle w:val="RollCallTable"/>
              <w:rPr>
                <w:lang w:val="it-IT"/>
              </w:rPr>
            </w:pPr>
            <w:r w:rsidRPr="00BB5DE9">
              <w:rPr>
                <w:lang w:val="it-IT"/>
              </w:rPr>
              <w:t>ECR</w:t>
            </w:r>
          </w:p>
        </w:tc>
        <w:tc>
          <w:tcPr>
            <w:tcW w:w="7371" w:type="dxa"/>
            <w:shd w:val="clear" w:color="auto" w:fill="FFFFFF"/>
          </w:tcPr>
          <w:p w:rsidR="00AE735B" w:rsidRPr="00BB5DE9" w:rsidP="002A49BB" w14:paraId="696BF1F4" w14:textId="77777777">
            <w:pPr>
              <w:pStyle w:val="RollCallTable"/>
              <w:rPr>
                <w:lang w:val="it-IT"/>
              </w:rPr>
            </w:pPr>
            <w:r w:rsidRPr="00BB5DE9">
              <w:rPr>
                <w:lang w:val="it-IT"/>
              </w:rPr>
              <w:t>Piotr Müller, Denis Nesci, Gheorghe Piperea, Reinis Pozņaks, Ivaylo Valchev, Kosma Złotowski</w:t>
            </w:r>
          </w:p>
        </w:tc>
      </w:tr>
      <w:tr w14:paraId="0E2CB618" w14:textId="77777777" w:rsidTr="002A49BB">
        <w:tblPrEx>
          <w:tblW w:w="0" w:type="auto"/>
          <w:tblInd w:w="145" w:type="dxa"/>
          <w:tblLayout w:type="fixed"/>
          <w:tblCellMar>
            <w:left w:w="145" w:type="dxa"/>
            <w:right w:w="145" w:type="dxa"/>
          </w:tblCellMar>
          <w:tblLook w:val="0000"/>
        </w:tblPrEx>
        <w:trPr>
          <w:cantSplit/>
        </w:trPr>
        <w:tc>
          <w:tcPr>
            <w:tcW w:w="1701" w:type="dxa"/>
            <w:shd w:val="clear" w:color="auto" w:fill="FFFFFF"/>
          </w:tcPr>
          <w:p w:rsidR="00AE735B" w:rsidRPr="00BB5DE9" w:rsidP="002A49BB" w14:paraId="1D8675C8" w14:textId="77777777">
            <w:pPr>
              <w:pStyle w:val="RollCallTable"/>
              <w:rPr>
                <w:lang w:val="it-IT"/>
              </w:rPr>
            </w:pPr>
            <w:r w:rsidRPr="00BB5DE9">
              <w:rPr>
                <w:lang w:val="it-IT"/>
              </w:rPr>
              <w:t>PPE</w:t>
            </w:r>
          </w:p>
        </w:tc>
        <w:tc>
          <w:tcPr>
            <w:tcW w:w="7371" w:type="dxa"/>
            <w:shd w:val="clear" w:color="auto" w:fill="FFFFFF"/>
          </w:tcPr>
          <w:p w:rsidR="00AE735B" w:rsidRPr="00BB5DE9" w:rsidP="002A49BB" w14:paraId="4A6134A0" w14:textId="77777777">
            <w:pPr>
              <w:pStyle w:val="RollCallTable"/>
              <w:rPr>
                <w:lang w:val="it-IT"/>
              </w:rPr>
            </w:pPr>
            <w:r w:rsidRPr="00BB5DE9">
              <w:rPr>
                <w:lang w:val="it-IT"/>
              </w:rPr>
              <w:t>Peter Agius, Pablo Arias Echeverría, Henrik Dahl, Dóra Dávid, Regina Doherty, Christian Doleschal, Gheorghe Falcă, Dirk Gotink, Niclas Herbst, Paulius Saudargas, Andreas Schwab, Tomislav Sokol, Dimitris Tsiodras, Adina Vălean</w:t>
            </w:r>
          </w:p>
        </w:tc>
      </w:tr>
      <w:tr w14:paraId="6EE6F65A" w14:textId="77777777" w:rsidTr="002A49BB">
        <w:tblPrEx>
          <w:tblW w:w="0" w:type="auto"/>
          <w:tblInd w:w="145" w:type="dxa"/>
          <w:tblLayout w:type="fixed"/>
          <w:tblCellMar>
            <w:left w:w="145" w:type="dxa"/>
            <w:right w:w="145" w:type="dxa"/>
          </w:tblCellMar>
          <w:tblLook w:val="0000"/>
        </w:tblPrEx>
        <w:trPr>
          <w:cantSplit/>
        </w:trPr>
        <w:tc>
          <w:tcPr>
            <w:tcW w:w="1701" w:type="dxa"/>
            <w:shd w:val="clear" w:color="auto" w:fill="FFFFFF"/>
          </w:tcPr>
          <w:p w:rsidR="00AE735B" w:rsidRPr="00BB5DE9" w:rsidP="002A49BB" w14:paraId="645273A2" w14:textId="77777777">
            <w:pPr>
              <w:pStyle w:val="RollCallTable"/>
              <w:rPr>
                <w:lang w:val="it-IT"/>
              </w:rPr>
            </w:pPr>
            <w:r w:rsidRPr="00BB5DE9">
              <w:rPr>
                <w:lang w:val="it-IT"/>
              </w:rPr>
              <w:t>Renew</w:t>
            </w:r>
          </w:p>
        </w:tc>
        <w:tc>
          <w:tcPr>
            <w:tcW w:w="7371" w:type="dxa"/>
            <w:shd w:val="clear" w:color="auto" w:fill="FFFFFF"/>
          </w:tcPr>
          <w:p w:rsidR="00AE735B" w:rsidRPr="00BB5DE9" w:rsidP="002A49BB" w14:paraId="4A2B018A" w14:textId="77777777">
            <w:pPr>
              <w:pStyle w:val="RollCallTable"/>
              <w:rPr>
                <w:lang w:val="it-IT"/>
              </w:rPr>
            </w:pPr>
            <w:r w:rsidRPr="00BB5DE9">
              <w:rPr>
                <w:lang w:val="it-IT"/>
              </w:rPr>
              <w:t>Engin Eroglu, Martin Hojsík, Katri Kulmuni, Morten Løkkegaard, Cynthia Ní Mhurchú, Dainius Žalimas</w:t>
            </w:r>
          </w:p>
        </w:tc>
      </w:tr>
      <w:tr w14:paraId="45FBAB3F" w14:textId="77777777" w:rsidTr="002A49BB">
        <w:tblPrEx>
          <w:tblW w:w="0" w:type="auto"/>
          <w:tblInd w:w="145" w:type="dxa"/>
          <w:tblLayout w:type="fixed"/>
          <w:tblCellMar>
            <w:left w:w="145" w:type="dxa"/>
            <w:right w:w="145" w:type="dxa"/>
          </w:tblCellMar>
          <w:tblLook w:val="0000"/>
        </w:tblPrEx>
        <w:trPr>
          <w:cantSplit/>
        </w:trPr>
        <w:tc>
          <w:tcPr>
            <w:tcW w:w="1701" w:type="dxa"/>
            <w:shd w:val="clear" w:color="auto" w:fill="FFFFFF"/>
          </w:tcPr>
          <w:p w:rsidR="00AE735B" w:rsidRPr="00BB5DE9" w:rsidP="002A49BB" w14:paraId="2D85D820" w14:textId="77777777">
            <w:pPr>
              <w:pStyle w:val="RollCallTable"/>
              <w:rPr>
                <w:lang w:val="it-IT"/>
              </w:rPr>
            </w:pPr>
            <w:r w:rsidRPr="00BB5DE9">
              <w:rPr>
                <w:lang w:val="it-IT"/>
              </w:rPr>
              <w:t>S&amp;D</w:t>
            </w:r>
          </w:p>
        </w:tc>
        <w:tc>
          <w:tcPr>
            <w:tcW w:w="7371" w:type="dxa"/>
            <w:shd w:val="clear" w:color="auto" w:fill="FFFFFF"/>
          </w:tcPr>
          <w:p w:rsidR="00AE735B" w:rsidRPr="00BB5DE9" w:rsidP="002A49BB" w14:paraId="02C1202A" w14:textId="77777777">
            <w:pPr>
              <w:pStyle w:val="RollCallTable"/>
              <w:rPr>
                <w:lang w:val="it-IT"/>
              </w:rPr>
            </w:pPr>
            <w:r w:rsidRPr="00BB5DE9">
              <w:rPr>
                <w:lang w:val="it-IT"/>
              </w:rPr>
              <w:t>Alex Agius Saliba, Laura Ballarín Cereza, Katarina Barley, Biljana Borzan, Johan Danielsson, Adnan Dibrani, Maria Grapini, Elisabeth Grossmann, Maria Guzenina, Christel Schaldemose, Georgia Tramacere</w:t>
            </w:r>
          </w:p>
        </w:tc>
      </w:tr>
      <w:tr w14:paraId="1748FF6F" w14:textId="77777777" w:rsidTr="002A49BB">
        <w:tblPrEx>
          <w:tblW w:w="0" w:type="auto"/>
          <w:tblInd w:w="145" w:type="dxa"/>
          <w:tblLayout w:type="fixed"/>
          <w:tblCellMar>
            <w:left w:w="145" w:type="dxa"/>
            <w:right w:w="145" w:type="dxa"/>
          </w:tblCellMar>
          <w:tblLook w:val="0000"/>
        </w:tblPrEx>
        <w:trPr>
          <w:cantSplit/>
        </w:trPr>
        <w:tc>
          <w:tcPr>
            <w:tcW w:w="1701" w:type="dxa"/>
            <w:shd w:val="clear" w:color="auto" w:fill="FFFFFF"/>
          </w:tcPr>
          <w:p w:rsidR="00AE735B" w:rsidRPr="00BB5DE9" w:rsidP="002A49BB" w14:paraId="62E56E5F" w14:textId="77777777">
            <w:pPr>
              <w:pStyle w:val="RollCallTable"/>
              <w:rPr>
                <w:lang w:val="it-IT"/>
              </w:rPr>
            </w:pPr>
            <w:r w:rsidRPr="00BB5DE9">
              <w:rPr>
                <w:lang w:val="it-IT"/>
              </w:rPr>
              <w:t>Verts/ALE</w:t>
            </w:r>
          </w:p>
        </w:tc>
        <w:tc>
          <w:tcPr>
            <w:tcW w:w="7371" w:type="dxa"/>
            <w:shd w:val="clear" w:color="auto" w:fill="FFFFFF"/>
          </w:tcPr>
          <w:p w:rsidR="00AE735B" w:rsidRPr="00BB5DE9" w:rsidP="002A49BB" w14:paraId="16C8253B" w14:textId="77777777">
            <w:pPr>
              <w:pStyle w:val="RollCallTable"/>
              <w:rPr>
                <w:lang w:val="it-IT"/>
              </w:rPr>
            </w:pPr>
            <w:r w:rsidRPr="00BB5DE9">
              <w:rPr>
                <w:lang w:val="it-IT"/>
              </w:rPr>
              <w:t>Anna Cavazzini, Cristina Guarda, Katrin Langensiepen, Kim Van Sparrentak</w:t>
            </w:r>
          </w:p>
        </w:tc>
      </w:tr>
    </w:tbl>
    <w:p w:rsidR="00AE735B" w:rsidRPr="00BB5DE9" w:rsidP="004A4056" w14:paraId="667C053C" w14:textId="77777777"/>
    <w:tbl>
      <w:tblPr>
        <w:tblW w:w="0" w:type="auto"/>
        <w:tblInd w:w="145" w:type="dxa"/>
        <w:tblBorders>
          <w:top w:val="double" w:sz="2" w:space="0" w:color="000000"/>
          <w:left w:val="double" w:sz="2" w:space="0" w:color="000000"/>
          <w:bottom w:val="double" w:sz="2" w:space="0" w:color="000000"/>
          <w:right w:val="double" w:sz="2" w:space="0" w:color="000000"/>
          <w:insideH w:val="single" w:sz="2" w:space="0" w:color="000000"/>
          <w:insideV w:val="single" w:sz="2" w:space="0" w:color="000000"/>
        </w:tblBorders>
        <w:tblLayout w:type="fixed"/>
        <w:tblCellMar>
          <w:left w:w="145" w:type="dxa"/>
          <w:right w:w="145" w:type="dxa"/>
        </w:tblCellMar>
        <w:tblLook w:val="0000"/>
      </w:tblPr>
      <w:tblGrid>
        <w:gridCol w:w="1701"/>
        <w:gridCol w:w="7371"/>
      </w:tblGrid>
      <w:tr w14:paraId="016C4144" w14:textId="77777777" w:rsidTr="002A49BB">
        <w:tblPrEx>
          <w:tblW w:w="0" w:type="auto"/>
          <w:tblInd w:w="145" w:type="dxa"/>
          <w:tblBorders>
            <w:top w:val="double" w:sz="2" w:space="0" w:color="000000"/>
            <w:left w:val="double" w:sz="2" w:space="0" w:color="000000"/>
            <w:bottom w:val="double" w:sz="2" w:space="0" w:color="000000"/>
            <w:right w:val="double" w:sz="2" w:space="0" w:color="000000"/>
            <w:insideH w:val="single" w:sz="2" w:space="0" w:color="000000"/>
            <w:insideV w:val="single" w:sz="2" w:space="0" w:color="000000"/>
          </w:tblBorders>
          <w:tblLayout w:type="fixed"/>
          <w:tblCellMar>
            <w:left w:w="145" w:type="dxa"/>
            <w:right w:w="145" w:type="dxa"/>
          </w:tblCellMar>
          <w:tblLook w:val="0000"/>
        </w:tblPrEx>
        <w:trPr>
          <w:cantSplit/>
        </w:trPr>
        <w:tc>
          <w:tcPr>
            <w:tcW w:w="1701" w:type="dxa"/>
            <w:shd w:val="pct10" w:color="000000" w:fill="FFFFFF"/>
            <w:vAlign w:val="center"/>
          </w:tcPr>
          <w:p w:rsidR="00AE735B" w:rsidRPr="00BB5DE9" w:rsidP="002A49BB" w14:paraId="3EE1CCAD" w14:textId="77777777">
            <w:pPr>
              <w:pStyle w:val="RollCallVotes"/>
              <w:rPr>
                <w:lang w:val="it-IT"/>
              </w:rPr>
            </w:pPr>
            <w:r w:rsidRPr="00BB5DE9">
              <w:rPr>
                <w:lang w:val="it-IT"/>
              </w:rPr>
              <w:t>5</w:t>
            </w:r>
          </w:p>
        </w:tc>
        <w:tc>
          <w:tcPr>
            <w:tcW w:w="7371" w:type="dxa"/>
            <w:shd w:val="pct10" w:color="000000" w:fill="FFFFFF"/>
          </w:tcPr>
          <w:p w:rsidR="00AE735B" w:rsidRPr="00BB5DE9" w:rsidP="002A49BB" w14:paraId="7775E8AE" w14:textId="77777777">
            <w:pPr>
              <w:pStyle w:val="RollCallSymbols14pt"/>
              <w:rPr>
                <w:lang w:val="it-IT"/>
              </w:rPr>
            </w:pPr>
            <w:r w:rsidRPr="00BB5DE9">
              <w:rPr>
                <w:lang w:val="it-IT"/>
              </w:rPr>
              <w:t>-</w:t>
            </w:r>
          </w:p>
        </w:tc>
      </w:tr>
      <w:tr w14:paraId="32975D30" w14:textId="77777777" w:rsidTr="002A49BB">
        <w:tblPrEx>
          <w:tblW w:w="0" w:type="auto"/>
          <w:tblInd w:w="145" w:type="dxa"/>
          <w:tblLayout w:type="fixed"/>
          <w:tblCellMar>
            <w:left w:w="145" w:type="dxa"/>
            <w:right w:w="145" w:type="dxa"/>
          </w:tblCellMar>
          <w:tblLook w:val="0000"/>
        </w:tblPrEx>
        <w:trPr>
          <w:cantSplit/>
        </w:trPr>
        <w:tc>
          <w:tcPr>
            <w:tcW w:w="1701" w:type="dxa"/>
            <w:shd w:val="clear" w:color="auto" w:fill="FFFFFF"/>
          </w:tcPr>
          <w:p w:rsidR="00AE735B" w:rsidRPr="00BB5DE9" w:rsidP="002A49BB" w14:paraId="31109077" w14:textId="77777777">
            <w:pPr>
              <w:pStyle w:val="RollCallTable"/>
              <w:rPr>
                <w:lang w:val="it-IT"/>
              </w:rPr>
            </w:pPr>
            <w:r w:rsidRPr="00BB5DE9">
              <w:rPr>
                <w:lang w:val="it-IT"/>
              </w:rPr>
              <w:t>ESN</w:t>
            </w:r>
          </w:p>
        </w:tc>
        <w:tc>
          <w:tcPr>
            <w:tcW w:w="7371" w:type="dxa"/>
            <w:shd w:val="clear" w:color="auto" w:fill="FFFFFF"/>
          </w:tcPr>
          <w:p w:rsidR="00AE735B" w:rsidRPr="00BB5DE9" w:rsidP="002A49BB" w14:paraId="6382F900" w14:textId="77777777">
            <w:pPr>
              <w:pStyle w:val="RollCallTable"/>
              <w:rPr>
                <w:lang w:val="it-IT"/>
              </w:rPr>
            </w:pPr>
            <w:r w:rsidRPr="00BB5DE9">
              <w:rPr>
                <w:lang w:val="it-IT"/>
              </w:rPr>
              <w:t>Arno Bausemer, Petr Bystron</w:t>
            </w:r>
          </w:p>
        </w:tc>
      </w:tr>
      <w:tr w14:paraId="06A7F1A7" w14:textId="77777777" w:rsidTr="002A49BB">
        <w:tblPrEx>
          <w:tblW w:w="0" w:type="auto"/>
          <w:tblInd w:w="145" w:type="dxa"/>
          <w:tblLayout w:type="fixed"/>
          <w:tblCellMar>
            <w:left w:w="145" w:type="dxa"/>
            <w:right w:w="145" w:type="dxa"/>
          </w:tblCellMar>
          <w:tblLook w:val="0000"/>
        </w:tblPrEx>
        <w:trPr>
          <w:cantSplit/>
        </w:trPr>
        <w:tc>
          <w:tcPr>
            <w:tcW w:w="1701" w:type="dxa"/>
            <w:shd w:val="clear" w:color="auto" w:fill="FFFFFF"/>
          </w:tcPr>
          <w:p w:rsidR="00AE735B" w:rsidRPr="00BB5DE9" w:rsidP="002A49BB" w14:paraId="73DED70C" w14:textId="77777777">
            <w:pPr>
              <w:pStyle w:val="RollCallTable"/>
              <w:rPr>
                <w:lang w:val="it-IT"/>
              </w:rPr>
            </w:pPr>
            <w:r w:rsidRPr="00BB5DE9">
              <w:rPr>
                <w:lang w:val="it-IT"/>
              </w:rPr>
              <w:t>NI</w:t>
            </w:r>
          </w:p>
        </w:tc>
        <w:tc>
          <w:tcPr>
            <w:tcW w:w="7371" w:type="dxa"/>
            <w:shd w:val="clear" w:color="auto" w:fill="FFFFFF"/>
          </w:tcPr>
          <w:p w:rsidR="00AE735B" w:rsidRPr="00BB5DE9" w:rsidP="002A49BB" w14:paraId="46ECD4AE" w14:textId="77777777">
            <w:pPr>
              <w:pStyle w:val="RollCallTable"/>
              <w:rPr>
                <w:lang w:val="it-IT"/>
              </w:rPr>
            </w:pPr>
            <w:r w:rsidRPr="00BB5DE9">
              <w:rPr>
                <w:lang w:val="it-IT"/>
              </w:rPr>
              <w:t>Kateřina Konečná</w:t>
            </w:r>
          </w:p>
        </w:tc>
      </w:tr>
      <w:tr w14:paraId="0FE09A8E" w14:textId="77777777" w:rsidTr="002A49BB">
        <w:tblPrEx>
          <w:tblW w:w="0" w:type="auto"/>
          <w:tblInd w:w="145" w:type="dxa"/>
          <w:tblLayout w:type="fixed"/>
          <w:tblCellMar>
            <w:left w:w="145" w:type="dxa"/>
            <w:right w:w="145" w:type="dxa"/>
          </w:tblCellMar>
          <w:tblLook w:val="0000"/>
        </w:tblPrEx>
        <w:trPr>
          <w:cantSplit/>
        </w:trPr>
        <w:tc>
          <w:tcPr>
            <w:tcW w:w="1701" w:type="dxa"/>
            <w:shd w:val="clear" w:color="auto" w:fill="FFFFFF"/>
          </w:tcPr>
          <w:p w:rsidR="00AE735B" w:rsidRPr="00BB5DE9" w:rsidP="002A49BB" w14:paraId="73EE505B" w14:textId="77777777">
            <w:pPr>
              <w:pStyle w:val="RollCallTable"/>
              <w:rPr>
                <w:lang w:val="it-IT"/>
              </w:rPr>
            </w:pPr>
            <w:r w:rsidRPr="00BB5DE9">
              <w:rPr>
                <w:lang w:val="it-IT"/>
              </w:rPr>
              <w:t>PfE</w:t>
            </w:r>
          </w:p>
        </w:tc>
        <w:tc>
          <w:tcPr>
            <w:tcW w:w="7371" w:type="dxa"/>
            <w:shd w:val="clear" w:color="auto" w:fill="FFFFFF"/>
          </w:tcPr>
          <w:p w:rsidR="00AE735B" w:rsidRPr="00BB5DE9" w:rsidP="002A49BB" w14:paraId="188DB835" w14:textId="77777777">
            <w:pPr>
              <w:pStyle w:val="RollCallTable"/>
              <w:rPr>
                <w:lang w:val="it-IT"/>
              </w:rPr>
            </w:pPr>
            <w:r w:rsidRPr="00BB5DE9">
              <w:rPr>
                <w:lang w:val="it-IT"/>
              </w:rPr>
              <w:t>Elisabeth Dieringer</w:t>
            </w:r>
          </w:p>
        </w:tc>
      </w:tr>
      <w:tr w14:paraId="39C773F4" w14:textId="77777777" w:rsidTr="002A49BB">
        <w:tblPrEx>
          <w:tblW w:w="0" w:type="auto"/>
          <w:tblInd w:w="145" w:type="dxa"/>
          <w:tblLayout w:type="fixed"/>
          <w:tblCellMar>
            <w:left w:w="145" w:type="dxa"/>
            <w:right w:w="145" w:type="dxa"/>
          </w:tblCellMar>
          <w:tblLook w:val="0000"/>
        </w:tblPrEx>
        <w:trPr>
          <w:cantSplit/>
        </w:trPr>
        <w:tc>
          <w:tcPr>
            <w:tcW w:w="1701" w:type="dxa"/>
            <w:shd w:val="clear" w:color="auto" w:fill="FFFFFF"/>
          </w:tcPr>
          <w:p w:rsidR="00AE735B" w:rsidRPr="00BB5DE9" w:rsidP="002A49BB" w14:paraId="3695F022" w14:textId="77777777">
            <w:pPr>
              <w:pStyle w:val="RollCallTable"/>
              <w:rPr>
                <w:lang w:val="it-IT"/>
              </w:rPr>
            </w:pPr>
            <w:r w:rsidRPr="00BB5DE9">
              <w:rPr>
                <w:lang w:val="it-IT"/>
              </w:rPr>
              <w:t>The Left</w:t>
            </w:r>
          </w:p>
        </w:tc>
        <w:tc>
          <w:tcPr>
            <w:tcW w:w="7371" w:type="dxa"/>
            <w:shd w:val="clear" w:color="auto" w:fill="FFFFFF"/>
          </w:tcPr>
          <w:p w:rsidR="00AE735B" w:rsidRPr="00BB5DE9" w:rsidP="002A49BB" w14:paraId="312A2B2F" w14:textId="77777777">
            <w:pPr>
              <w:pStyle w:val="RollCallTable"/>
              <w:rPr>
                <w:lang w:val="it-IT"/>
              </w:rPr>
            </w:pPr>
            <w:r w:rsidRPr="00BB5DE9">
              <w:rPr>
                <w:lang w:val="it-IT"/>
              </w:rPr>
              <w:t>Leila Chaibi</w:t>
            </w:r>
          </w:p>
        </w:tc>
      </w:tr>
    </w:tbl>
    <w:p w:rsidR="00AE735B" w:rsidRPr="00BB5DE9" w:rsidP="004A4056" w14:paraId="33B8353A" w14:textId="77777777"/>
    <w:tbl>
      <w:tblPr>
        <w:tblW w:w="0" w:type="auto"/>
        <w:tblInd w:w="145" w:type="dxa"/>
        <w:tblBorders>
          <w:top w:val="double" w:sz="2" w:space="0" w:color="000000"/>
          <w:left w:val="double" w:sz="2" w:space="0" w:color="000000"/>
          <w:bottom w:val="double" w:sz="2" w:space="0" w:color="000000"/>
          <w:right w:val="double" w:sz="2" w:space="0" w:color="000000"/>
          <w:insideH w:val="single" w:sz="2" w:space="0" w:color="000000"/>
          <w:insideV w:val="single" w:sz="2" w:space="0" w:color="000000"/>
        </w:tblBorders>
        <w:tblLayout w:type="fixed"/>
        <w:tblCellMar>
          <w:left w:w="145" w:type="dxa"/>
          <w:right w:w="145" w:type="dxa"/>
        </w:tblCellMar>
        <w:tblLook w:val="0000"/>
      </w:tblPr>
      <w:tblGrid>
        <w:gridCol w:w="1701"/>
        <w:gridCol w:w="7371"/>
      </w:tblGrid>
      <w:tr w14:paraId="70B6F523" w14:textId="77777777" w:rsidTr="002A49BB">
        <w:tblPrEx>
          <w:tblW w:w="0" w:type="auto"/>
          <w:tblInd w:w="145" w:type="dxa"/>
          <w:tblBorders>
            <w:top w:val="double" w:sz="2" w:space="0" w:color="000000"/>
            <w:left w:val="double" w:sz="2" w:space="0" w:color="000000"/>
            <w:bottom w:val="double" w:sz="2" w:space="0" w:color="000000"/>
            <w:right w:val="double" w:sz="2" w:space="0" w:color="000000"/>
            <w:insideH w:val="single" w:sz="2" w:space="0" w:color="000000"/>
            <w:insideV w:val="single" w:sz="2" w:space="0" w:color="000000"/>
          </w:tblBorders>
          <w:tblLayout w:type="fixed"/>
          <w:tblCellMar>
            <w:left w:w="145" w:type="dxa"/>
            <w:right w:w="145" w:type="dxa"/>
          </w:tblCellMar>
          <w:tblLook w:val="0000"/>
        </w:tblPrEx>
        <w:trPr>
          <w:cantSplit/>
        </w:trPr>
        <w:tc>
          <w:tcPr>
            <w:tcW w:w="1701" w:type="dxa"/>
            <w:shd w:val="pct10" w:color="000000" w:fill="FFFFFF"/>
            <w:vAlign w:val="center"/>
          </w:tcPr>
          <w:p w:rsidR="00AE735B" w:rsidRPr="00BB5DE9" w:rsidP="002A49BB" w14:paraId="3CDEC6E4" w14:textId="77777777">
            <w:pPr>
              <w:pStyle w:val="RollCallVotes"/>
              <w:rPr>
                <w:lang w:val="it-IT"/>
              </w:rPr>
            </w:pPr>
            <w:r w:rsidRPr="00BB5DE9">
              <w:rPr>
                <w:lang w:val="it-IT"/>
              </w:rPr>
              <w:t>4</w:t>
            </w:r>
          </w:p>
        </w:tc>
        <w:tc>
          <w:tcPr>
            <w:tcW w:w="7371" w:type="dxa"/>
            <w:shd w:val="pct10" w:color="000000" w:fill="FFFFFF"/>
          </w:tcPr>
          <w:p w:rsidR="00AE735B" w:rsidRPr="00BB5DE9" w:rsidP="002A49BB" w14:paraId="4980E3FB" w14:textId="77777777">
            <w:pPr>
              <w:pStyle w:val="RollCallSymbols14pt"/>
              <w:rPr>
                <w:lang w:val="it-IT"/>
              </w:rPr>
            </w:pPr>
            <w:r w:rsidRPr="00BB5DE9">
              <w:rPr>
                <w:lang w:val="it-IT"/>
              </w:rPr>
              <w:t>0</w:t>
            </w:r>
          </w:p>
        </w:tc>
      </w:tr>
      <w:tr w14:paraId="23FB34DA" w14:textId="77777777" w:rsidTr="002A49BB">
        <w:tblPrEx>
          <w:tblW w:w="0" w:type="auto"/>
          <w:tblInd w:w="145" w:type="dxa"/>
          <w:tblLayout w:type="fixed"/>
          <w:tblCellMar>
            <w:left w:w="145" w:type="dxa"/>
            <w:right w:w="145" w:type="dxa"/>
          </w:tblCellMar>
          <w:tblLook w:val="0000"/>
        </w:tblPrEx>
        <w:trPr>
          <w:cantSplit/>
        </w:trPr>
        <w:tc>
          <w:tcPr>
            <w:tcW w:w="1701" w:type="dxa"/>
            <w:shd w:val="clear" w:color="auto" w:fill="FFFFFF"/>
          </w:tcPr>
          <w:p w:rsidR="00AE735B" w:rsidRPr="00BB5DE9" w:rsidP="002A49BB" w14:paraId="35E74191" w14:textId="77777777">
            <w:pPr>
              <w:pStyle w:val="RollCallTable"/>
              <w:rPr>
                <w:lang w:val="it-IT"/>
              </w:rPr>
            </w:pPr>
            <w:r w:rsidRPr="00BB5DE9">
              <w:rPr>
                <w:lang w:val="it-IT"/>
              </w:rPr>
              <w:t>PfE</w:t>
            </w:r>
          </w:p>
        </w:tc>
        <w:tc>
          <w:tcPr>
            <w:tcW w:w="7371" w:type="dxa"/>
            <w:shd w:val="clear" w:color="auto" w:fill="FFFFFF"/>
          </w:tcPr>
          <w:p w:rsidR="00AE735B" w:rsidRPr="00BB5DE9" w:rsidP="002A49BB" w14:paraId="03CB2947" w14:textId="77777777">
            <w:pPr>
              <w:pStyle w:val="RollCallTable"/>
              <w:rPr>
                <w:lang w:val="it-IT"/>
              </w:rPr>
            </w:pPr>
            <w:r w:rsidRPr="00BB5DE9">
              <w:rPr>
                <w:lang w:val="it-IT"/>
              </w:rPr>
              <w:t>Mireia Borrás Pabón, Jaroslav Bžoch, Virginie Joron</w:t>
            </w:r>
          </w:p>
        </w:tc>
      </w:tr>
      <w:tr w14:paraId="73874D05" w14:textId="77777777" w:rsidTr="002A49BB">
        <w:tblPrEx>
          <w:tblW w:w="0" w:type="auto"/>
          <w:tblInd w:w="145" w:type="dxa"/>
          <w:tblLayout w:type="fixed"/>
          <w:tblCellMar>
            <w:left w:w="145" w:type="dxa"/>
            <w:right w:w="145" w:type="dxa"/>
          </w:tblCellMar>
          <w:tblLook w:val="0000"/>
        </w:tblPrEx>
        <w:trPr>
          <w:cantSplit/>
        </w:trPr>
        <w:tc>
          <w:tcPr>
            <w:tcW w:w="1701" w:type="dxa"/>
            <w:shd w:val="clear" w:color="auto" w:fill="FFFFFF"/>
          </w:tcPr>
          <w:p w:rsidR="00AE735B" w:rsidRPr="00BB5DE9" w:rsidP="002A49BB" w14:paraId="7727618A" w14:textId="77777777">
            <w:pPr>
              <w:pStyle w:val="RollCallTable"/>
              <w:rPr>
                <w:lang w:val="it-IT"/>
              </w:rPr>
            </w:pPr>
            <w:r w:rsidRPr="00BB5DE9">
              <w:rPr>
                <w:lang w:val="it-IT"/>
              </w:rPr>
              <w:t>The Left</w:t>
            </w:r>
          </w:p>
        </w:tc>
        <w:tc>
          <w:tcPr>
            <w:tcW w:w="7371" w:type="dxa"/>
            <w:shd w:val="clear" w:color="auto" w:fill="FFFFFF"/>
          </w:tcPr>
          <w:p w:rsidR="00AE735B" w:rsidRPr="00BB5DE9" w:rsidP="002A49BB" w14:paraId="3CD5DCE0" w14:textId="77777777">
            <w:pPr>
              <w:pStyle w:val="RollCallTable"/>
              <w:rPr>
                <w:lang w:val="it-IT"/>
              </w:rPr>
            </w:pPr>
            <w:r w:rsidRPr="00BB5DE9">
              <w:rPr>
                <w:lang w:val="it-IT"/>
              </w:rPr>
              <w:t>Hanna Gedin</w:t>
            </w:r>
          </w:p>
        </w:tc>
      </w:tr>
    </w:tbl>
    <w:p w:rsidR="00AE735B" w:rsidRPr="00BB5DE9" w:rsidP="00147FBF" w14:paraId="28A2BC3E" w14:textId="77777777">
      <w:pPr>
        <w:pStyle w:val="Normal12a"/>
        <w:rPr>
          <w:lang w:val="it-IT"/>
        </w:rPr>
      </w:pPr>
    </w:p>
    <w:p w:rsidR="00AE735B" w:rsidRPr="00BB5DE9" w:rsidP="00B735E3" w14:paraId="061C6115" w14:textId="77777777">
      <w:r w:rsidRPr="00BB5DE9">
        <w:t>Significato dei simboli utilizzati:</w:t>
      </w:r>
    </w:p>
    <w:p w:rsidR="00AE735B" w:rsidRPr="00BB5DE9" w:rsidP="003858C5" w14:paraId="09C50BD8" w14:textId="77777777">
      <w:pPr>
        <w:pStyle w:val="RollCallTabs"/>
        <w:rPr>
          <w:lang w:val="it-IT"/>
        </w:rPr>
      </w:pPr>
      <w:r w:rsidRPr="00BB5DE9">
        <w:rPr>
          <w:lang w:val="it-IT"/>
        </w:rPr>
        <w:t>+</w:t>
      </w:r>
      <w:r w:rsidRPr="00BB5DE9">
        <w:rPr>
          <w:lang w:val="it-IT"/>
        </w:rPr>
        <w:tab/>
        <w:t>:</w:t>
      </w:r>
      <w:r w:rsidRPr="00BB5DE9">
        <w:rPr>
          <w:lang w:val="it-IT"/>
        </w:rPr>
        <w:tab/>
        <w:t>favorevoli</w:t>
      </w:r>
    </w:p>
    <w:p w:rsidR="00AE735B" w:rsidRPr="00BB5DE9" w:rsidP="003858C5" w14:paraId="67640D32" w14:textId="77777777">
      <w:pPr>
        <w:pStyle w:val="RollCallTabs"/>
        <w:rPr>
          <w:lang w:val="it-IT"/>
        </w:rPr>
      </w:pPr>
      <w:r w:rsidRPr="00BB5DE9">
        <w:rPr>
          <w:lang w:val="it-IT"/>
        </w:rPr>
        <w:t>-</w:t>
      </w:r>
      <w:r w:rsidRPr="00BB5DE9">
        <w:rPr>
          <w:lang w:val="it-IT"/>
        </w:rPr>
        <w:tab/>
        <w:t>:</w:t>
      </w:r>
      <w:r w:rsidRPr="00BB5DE9">
        <w:rPr>
          <w:lang w:val="it-IT"/>
        </w:rPr>
        <w:tab/>
        <w:t>contrari</w:t>
      </w:r>
    </w:p>
    <w:p w:rsidR="00AE735B" w:rsidRPr="00BB5DE9" w:rsidP="003858C5" w14:paraId="045B2C0E" w14:textId="77777777">
      <w:pPr>
        <w:pStyle w:val="RollCallTabs"/>
        <w:rPr>
          <w:lang w:val="it-IT"/>
        </w:rPr>
      </w:pPr>
      <w:r w:rsidRPr="00BB5DE9">
        <w:rPr>
          <w:lang w:val="it-IT"/>
        </w:rPr>
        <w:t>0</w:t>
      </w:r>
      <w:r w:rsidRPr="00BB5DE9">
        <w:rPr>
          <w:lang w:val="it-IT"/>
        </w:rPr>
        <w:tab/>
        <w:t>:</w:t>
      </w:r>
      <w:r w:rsidRPr="00BB5DE9">
        <w:rPr>
          <w:lang w:val="it-IT"/>
        </w:rPr>
        <w:tab/>
        <w:t>astenuti</w:t>
      </w:r>
    </w:p>
    <w:p w:rsidR="00AE735B" w:rsidRPr="00BB5DE9" w:rsidP="00207509" w14:paraId="38B5D659" w14:textId="77777777"/>
    <w:p w:rsidR="00AE735B" w:rsidRPr="00BB5DE9" w:rsidP="001D40BE" w14:paraId="32ECF631" w14:textId="77777777"/>
    <w:p w:rsidR="00AE735B" w:rsidRPr="00BB5DE9" w:rsidP="00AE735B" w14:paraId="39C8F096" w14:textId="77777777">
      <w:pPr>
        <w:rPr>
          <w:snapToGrid/>
          <w:lang w:eastAsia="en-GB"/>
        </w:rPr>
        <w:sectPr w:rsidSect="00AE735B">
          <w:footnotePr>
            <w:numRestart w:val="eachSect"/>
          </w:footnotePr>
          <w:endnotePr>
            <w:numFmt w:val="decimal"/>
          </w:endnotePr>
          <w:pgSz w:w="11906" w:h="16838" w:code="9"/>
          <w:pgMar w:top="1134" w:right="1418" w:bottom="1134" w:left="1418" w:header="1134" w:footer="567" w:gutter="0"/>
          <w:cols w:space="720"/>
          <w:noEndnote/>
          <w:docGrid w:linePitch="326"/>
        </w:sectPr>
      </w:pPr>
    </w:p>
    <w:p w:rsidR="00AE735B" w:rsidRPr="00BB5DE9" w:rsidP="00AE735B" w14:paraId="7A3876CA" w14:textId="77777777">
      <w:pPr>
        <w:pStyle w:val="Normal24a"/>
        <w:rPr>
          <w:lang w:val="it-IT"/>
        </w:rPr>
      </w:pPr>
      <w:r w:rsidRPr="00BB5DE9">
        <w:rPr>
          <w:rStyle w:val="HideTWBExt"/>
          <w:lang w:val="it-IT"/>
        </w:rPr>
        <w:t>&lt;Date&gt;</w:t>
      </w:r>
      <w:r w:rsidRPr="00BB5DE9">
        <w:rPr>
          <w:rStyle w:val="HideTWBInt"/>
          <w:lang w:val="it-IT"/>
        </w:rPr>
        <w:t>{03/09/2026}</w:t>
      </w:r>
      <w:r w:rsidRPr="00BB5DE9">
        <w:rPr>
          <w:lang w:val="it-IT"/>
        </w:rPr>
        <w:t>3.9.2026</w:t>
      </w:r>
      <w:r w:rsidRPr="00BB5DE9">
        <w:rPr>
          <w:rStyle w:val="HideTWBExt"/>
          <w:lang w:val="it-IT"/>
        </w:rPr>
        <w:t>&lt;/Date&gt;</w:t>
      </w:r>
    </w:p>
    <w:p w:rsidR="00AE735B" w:rsidRPr="00BB5DE9" w:rsidP="00AE735B" w14:paraId="1272A6F0" w14:textId="0F15F10E">
      <w:pPr>
        <w:pStyle w:val="PageHeading"/>
      </w:pPr>
      <w:r w:rsidRPr="00BB5DE9">
        <w:rPr>
          <w:rStyle w:val="HideTWBExt"/>
          <w:b w:val="0"/>
        </w:rPr>
        <w:t>&lt;CommissionResp&gt;</w:t>
      </w:r>
      <w:bookmarkStart w:id="24" w:name="OpinionToc_8"/>
      <w:bookmarkStart w:id="25" w:name="_Toc243036425"/>
      <w:r w:rsidRPr="00BB5DE9">
        <w:t>PARERE DELLA COMMISSIONE PER L'AGRICOLTURA E LO SVILUPPO RURALE</w:t>
      </w:r>
      <w:bookmarkEnd w:id="24"/>
      <w:bookmarkEnd w:id="25"/>
      <w:r w:rsidRPr="00BB5DE9">
        <w:rPr>
          <w:rStyle w:val="HideTWBExt"/>
          <w:b w:val="0"/>
        </w:rPr>
        <w:t>&lt;/CommissionResp&gt;</w:t>
      </w:r>
    </w:p>
    <w:p w:rsidR="00AE735B" w:rsidRPr="00BB5DE9" w:rsidP="00AE735B" w14:paraId="537AF1B2" w14:textId="77777777">
      <w:pPr>
        <w:pStyle w:val="Normal12a"/>
        <w:rPr>
          <w:lang w:val="it-IT"/>
        </w:rPr>
      </w:pPr>
      <w:r w:rsidRPr="00BB5DE9">
        <w:rPr>
          <w:rStyle w:val="HideTWBExt"/>
          <w:lang w:val="it-IT"/>
        </w:rPr>
        <w:t>&lt;CommissionInt&gt;</w:t>
      </w:r>
      <w:r w:rsidRPr="00BB5DE9">
        <w:rPr>
          <w:lang w:val="it-IT"/>
        </w:rPr>
        <w:t>destinato alla commissione per i bilanci</w:t>
      </w:r>
      <w:r w:rsidRPr="00BB5DE9">
        <w:rPr>
          <w:rStyle w:val="HideTWBExt"/>
          <w:lang w:val="it-IT"/>
        </w:rPr>
        <w:t>&lt;/CommissionInt&gt;</w:t>
      </w:r>
    </w:p>
    <w:p w:rsidR="00AE735B" w:rsidRPr="00BB5DE9" w:rsidP="00AE735B" w14:paraId="2E970F75" w14:textId="77777777">
      <w:r w:rsidRPr="00BB5DE9">
        <w:rPr>
          <w:rStyle w:val="HideTWBExt"/>
        </w:rPr>
        <w:t>&lt;Titre&gt;</w:t>
      </w:r>
      <w:r w:rsidRPr="00BB5DE9">
        <w:t>sul bilancio generale dell'Unione europea per l'esercizio 2027 – Tutte le sezioni</w:t>
      </w:r>
      <w:r w:rsidRPr="00BB5DE9">
        <w:rPr>
          <w:rStyle w:val="HideTWBExt"/>
        </w:rPr>
        <w:t>&lt;/Titre&gt;</w:t>
      </w:r>
    </w:p>
    <w:p w:rsidR="00AE735B" w:rsidRPr="00BB5DE9" w:rsidP="00AE735B" w14:paraId="7438D484" w14:textId="77777777">
      <w:pPr>
        <w:pStyle w:val="Normal12a"/>
        <w:rPr>
          <w:lang w:val="it-IT"/>
        </w:rPr>
      </w:pPr>
      <w:r w:rsidRPr="00BB5DE9">
        <w:rPr>
          <w:rStyle w:val="HideTWBExt"/>
          <w:lang w:val="it-IT"/>
        </w:rPr>
        <w:t>&lt;DocRef&gt;</w:t>
      </w:r>
      <w:r w:rsidRPr="00BB5DE9">
        <w:rPr>
          <w:lang w:val="it-IT"/>
        </w:rPr>
        <w:t>(2026/0196(BUD))</w:t>
      </w:r>
      <w:r w:rsidRPr="00BB5DE9">
        <w:rPr>
          <w:rStyle w:val="HideTWBExt"/>
          <w:lang w:val="it-IT"/>
        </w:rPr>
        <w:t>&lt;/DocRef&gt;</w:t>
      </w:r>
    </w:p>
    <w:p w:rsidR="00AE735B" w:rsidRPr="00BB5DE9" w:rsidP="00AE735B" w14:paraId="433DC410" w14:textId="77777777">
      <w:pPr>
        <w:pStyle w:val="Normal24a"/>
        <w:rPr>
          <w:lang w:val="it-IT"/>
        </w:rPr>
      </w:pPr>
      <w:r w:rsidRPr="00BB5DE9">
        <w:rPr>
          <w:lang w:val="it-IT"/>
        </w:rPr>
        <w:t xml:space="preserve">Relatore per parere: </w:t>
      </w:r>
      <w:r w:rsidRPr="00BB5DE9">
        <w:rPr>
          <w:rStyle w:val="HideTWBExt"/>
          <w:lang w:val="it-IT"/>
        </w:rPr>
        <w:t>&lt;Depute&gt;</w:t>
      </w:r>
      <w:r w:rsidRPr="00BB5DE9">
        <w:rPr>
          <w:lang w:val="it-IT"/>
        </w:rPr>
        <w:t>Wouter Beke</w:t>
      </w:r>
      <w:r w:rsidRPr="00BB5DE9">
        <w:rPr>
          <w:rStyle w:val="HideTWBExt"/>
          <w:lang w:val="it-IT"/>
        </w:rPr>
        <w:t>&lt;/Depute&gt;</w:t>
      </w:r>
    </w:p>
    <w:p w:rsidR="00AE735B" w:rsidRPr="00BB5DE9" w:rsidP="00AE735B" w14:paraId="33977A3F" w14:textId="77777777"/>
    <w:p w:rsidR="00AE735B" w:rsidRPr="00BB5DE9" w:rsidP="007C60D8" w14:paraId="553993F5" w14:textId="5E48712B">
      <w:pPr>
        <w:widowControl/>
        <w:tabs>
          <w:tab w:val="center" w:pos="4677"/>
        </w:tabs>
      </w:pPr>
    </w:p>
    <w:p w:rsidR="00AE735B" w:rsidRPr="00BB5DE9" w:rsidP="007C60D8" w14:paraId="1CEE0C60" w14:textId="70AE7ACA">
      <w:pPr>
        <w:pStyle w:val="PageHeadingNotTOC"/>
      </w:pPr>
      <w:r w:rsidRPr="00BB5DE9">
        <w:t>PARERE</w:t>
      </w:r>
    </w:p>
    <w:p w:rsidR="00AE735B" w:rsidRPr="00BB5DE9" w:rsidP="007C60D8" w14:paraId="735D87B4" w14:textId="77777777">
      <w:pPr>
        <w:pStyle w:val="Normal12a"/>
        <w:jc w:val="both"/>
        <w:rPr>
          <w:lang w:val="it-IT"/>
        </w:rPr>
      </w:pPr>
      <w:r w:rsidRPr="00BB5DE9">
        <w:rPr>
          <w:lang w:val="it-IT"/>
        </w:rPr>
        <w:t>La commissione per l'agricoltura e lo sviluppo rurale invita la commissione per i bilanci, competente per il merito, a includere nella proposta di risoluzione che approverà quanto segue:</w:t>
      </w:r>
    </w:p>
    <w:p w:rsidR="00AE735B" w:rsidRPr="00BB5DE9" w:rsidP="007C60D8" w14:paraId="662BF382" w14:textId="77777777">
      <w:pPr>
        <w:pStyle w:val="NormalHanging12a"/>
        <w:jc w:val="both"/>
        <w:rPr>
          <w:b/>
          <w:bCs/>
        </w:rPr>
      </w:pPr>
      <w:r w:rsidRPr="00BB5DE9">
        <w:rPr>
          <w:b/>
        </w:rPr>
        <w:t>Considerazioni generali di bilancio</w:t>
      </w:r>
    </w:p>
    <w:p w:rsidR="00AE735B" w:rsidRPr="00BB5DE9" w:rsidP="007C60D8" w14:paraId="3F29AA74" w14:textId="77777777">
      <w:pPr>
        <w:pStyle w:val="NormalHanging12a"/>
      </w:pPr>
      <w:r w:rsidRPr="00BB5DE9">
        <w:t>1.</w:t>
      </w:r>
      <w:r w:rsidRPr="00BB5DE9">
        <w:tab/>
        <w:t>Accoglie con favore la proposta della Commissione per il progetto di bilancio 2027, che stanzia 53,97 miliardi di EUR in stanziamenti d'impegno e 56,41 miliardi di EUR in stanziamenti di pagamento per l'agricoltura a titolo della rubrica 3 "Risorse naturali e ambiente", che copre il Fondo europeo agricolo di garanzia (FEAGA) e il Fondo europeo agricolo per lo sviluppo rurale (FEASR); sottolinea che il 2027 è l'ultimo anno del quadro finanziario pluriennale (QFP) 2021-2027 e che svolge pertanto un ruolo cruciale nel garantire la continuità, la stabilità e la credibilità delle politiche dell'Unione, in particolare della politica agricola comune (PAC);</w:t>
      </w:r>
    </w:p>
    <w:p w:rsidR="00AE735B" w:rsidRPr="00BB5DE9" w:rsidP="007C60D8" w14:paraId="3C7CF105" w14:textId="77777777">
      <w:pPr>
        <w:pStyle w:val="NormalHanging12a"/>
      </w:pPr>
      <w:r w:rsidRPr="00BB5DE9">
        <w:t>2.</w:t>
      </w:r>
      <w:r w:rsidRPr="00BB5DE9">
        <w:tab/>
        <w:t>ricorda che l'agricoltura è un settore strategico per l'Unione, essenziale per la stabilità e la continuità della produzione alimentare e per la sicurezza e la sovranità alimentari, la vitalità rurale e l'autonomia strategica dell'Europa, in particolare in un contesto caratterizzato da crescente instabilità geopolitica, rischi legati ai cambiamenti climatici, crescente concorrenza globale e volatilità del mercato;</w:t>
      </w:r>
    </w:p>
    <w:p w:rsidR="00AE735B" w:rsidRPr="00BB5DE9" w:rsidP="007C60D8" w14:paraId="20370E3B" w14:textId="77777777">
      <w:pPr>
        <w:pStyle w:val="NormalHanging12a"/>
      </w:pPr>
      <w:r w:rsidRPr="00BB5DE9">
        <w:t>3.</w:t>
      </w:r>
      <w:r w:rsidRPr="00BB5DE9">
        <w:tab/>
        <w:t>sottolinea che il bilancio 2027 deve garantire continuità, prevedibilità e stabilità per gli agricoltori e le comunità rurali in vista del prossimo QFP ed evitare interruzioni dei pagamenti della PAC, dei programmi di sviluppo rurale e degli impegni di investimento;</w:t>
      </w:r>
    </w:p>
    <w:p w:rsidR="00AE735B" w:rsidRPr="00BB5DE9" w:rsidP="007C60D8" w14:paraId="7B29B6DC" w14:textId="77777777">
      <w:pPr>
        <w:pStyle w:val="NormalHanging12a"/>
      </w:pPr>
      <w:r w:rsidRPr="00BB5DE9">
        <w:t>4.</w:t>
      </w:r>
      <w:r w:rsidRPr="00BB5DE9">
        <w:tab/>
        <w:t>ribadisce la sua opposizione alle riduzioni degli stanziamenti a titolo della PAC o ai tentativi di indebolire la PAC in quanto politica distinta e comune dell'Unione; evidenzia che la spesa agricola deve continuare a essere una priorità dell'Unione e non dovrebbe fungere da variabile di adeguamento per finanziare altre priorità;</w:t>
      </w:r>
    </w:p>
    <w:p w:rsidR="00AE735B" w:rsidRPr="00BB5DE9" w:rsidP="007C60D8" w14:paraId="0A59166D" w14:textId="77777777">
      <w:pPr>
        <w:pStyle w:val="NormalHanging12a"/>
        <w:rPr>
          <w:szCs w:val="24"/>
        </w:rPr>
      </w:pPr>
      <w:r w:rsidRPr="00BB5DE9">
        <w:t>5.</w:t>
      </w:r>
      <w:r w:rsidRPr="00BB5DE9">
        <w:tab/>
        <w:t>sottolinea che l'inflazione e l'aumento dei costi dei fattori di produzione continuano a erodere il valore reale del sostegno a titolo della PAC e incidono negativamente sulla competitività e la redditività delle aziende agricole europee, in un contesto in cui la riduzione dei requisiti amministrativi e la garanzia di un quadro normativo prevedibile rimangono della massima importanza;</w:t>
      </w:r>
    </w:p>
    <w:p w:rsidR="00AE735B" w:rsidRPr="00BB5DE9" w:rsidP="007C60D8" w14:paraId="16BE1ADB" w14:textId="77777777">
      <w:pPr>
        <w:pStyle w:val="NormalHanging12a"/>
      </w:pPr>
      <w:r w:rsidRPr="00BB5DE9">
        <w:t>6.</w:t>
      </w:r>
      <w:r w:rsidRPr="00BB5DE9">
        <w:tab/>
        <w:t>insiste sul fatto che il bilancio 2027 deve fornire risorse adeguate per un'attuazione urgente dell'agenda di semplificazione della PAC, al fine di garantire che si traduca in benefici tangibili per gli agricoltori e a livello di azienda agricola, tra cui una riduzione degli oneri amministrativi;</w:t>
      </w:r>
    </w:p>
    <w:p w:rsidR="00AE735B" w:rsidRPr="00BB5DE9" w:rsidP="007C60D8" w14:paraId="1619136F" w14:textId="77777777">
      <w:pPr>
        <w:pStyle w:val="NormalHanging12a"/>
        <w:rPr>
          <w:szCs w:val="24"/>
        </w:rPr>
      </w:pPr>
    </w:p>
    <w:p w:rsidR="00AE735B" w:rsidRPr="00BB5DE9" w:rsidP="007C60D8" w14:paraId="5B0B54ED" w14:textId="77777777">
      <w:pPr>
        <w:pStyle w:val="NormalHanging12a"/>
        <w:jc w:val="both"/>
        <w:rPr>
          <w:b/>
          <w:bCs/>
        </w:rPr>
      </w:pPr>
      <w:r w:rsidRPr="00BB5DE9">
        <w:rPr>
          <w:b/>
        </w:rPr>
        <w:t>Remunerazione equa, stabilità del mercato e preparazione alle crisi</w:t>
      </w:r>
    </w:p>
    <w:p w:rsidR="00AE735B" w:rsidRPr="00BB5DE9" w:rsidP="007C60D8" w14:paraId="5CC5EC80" w14:textId="77777777">
      <w:pPr>
        <w:pStyle w:val="NormalHanging12a"/>
      </w:pPr>
      <w:r w:rsidRPr="00BB5DE9">
        <w:t>7.</w:t>
      </w:r>
      <w:r w:rsidRPr="00BB5DE9">
        <w:tab/>
        <w:t>ritiene che l'attuale situazione geopolitica, caratterizzata da una maggiore instabilità del mercato, dall'aumento dei costi dei fattori di produzione e da perturbazioni della catena di approvvigionamento, stia esercitando una crescente pressione sui redditi degli agricoltori ed erodendo progressivamente le condizioni per una remunerazione equa; sottolinea, in tale contesto, che garantire una remunerazione equa e redditi sostenibili agli agricoltori deve rimanere al centro della politica agricola e delle priorità di bilancio dell'Unione;</w:t>
      </w:r>
    </w:p>
    <w:p w:rsidR="00AE735B" w:rsidRPr="00BB5DE9" w:rsidP="007C60D8" w14:paraId="300ED3A0" w14:textId="77777777">
      <w:pPr>
        <w:pStyle w:val="NormalHanging12a"/>
      </w:pPr>
      <w:r w:rsidRPr="00BB5DE9">
        <w:t>8.</w:t>
      </w:r>
      <w:r w:rsidRPr="00BB5DE9">
        <w:tab/>
        <w:t>chiede stanziamenti solidi e adeguati in funzione dell'inflazione e un ricorso tempestivo e preventivo ai meccanismi di regolamentazione del mercato già previsti dall'organizzazione comune dei mercati per rafforzare la stabilità e la resilienza del mercato di fronte alle tensioni geopolitiche, alle perturbazioni commerciali, agli eventi correlati ai cambiamenti climatici e alle crisi sanitarie che colpiscono il settore agricolo e zootecnico;</w:t>
      </w:r>
    </w:p>
    <w:p w:rsidR="00AE735B" w:rsidRPr="00BB5DE9" w:rsidP="007C60D8" w14:paraId="43D974E5" w14:textId="77777777">
      <w:pPr>
        <w:pStyle w:val="NormalHanging12a"/>
      </w:pPr>
      <w:r w:rsidRPr="00BB5DE9">
        <w:t>9.</w:t>
      </w:r>
      <w:r w:rsidRPr="00BB5DE9">
        <w:tab/>
        <w:t>evidenzia che, date le pressioni cumulative cui devono far fronte gli agricoltori, il bilancio 2027 deve garantire una riserva agricola solida e adeguatamente finanziata, in grado di rispondere in modo rapido ed efficace alle perturbazioni del mercato, incluse quelle legate a crisi geopolitiche quali la crisi in Medio Oriente, nonché agli eventi meteorologici estremi e alle crisi sanitarie che colpiscono animali o piante; accoglie con favore, in tale contesto, il rafforzamento della riserva agricola di 300 milioni di EUR in stanziamenti di impegno e di pagamento per fornire un sostegno mirato agli agricoltori che si trovano ad affrontare gravi problemi di liquidità; sottolinea inoltre che la rubrica 3 dovrebbe essere rafforzata con 140 milioni di EUR aggiuntivi, per garantire il rimborso tempestivo delle spese del FEAGA agli Stati membri, affrontando la prevista carenza di entrate agricole con destinazione specifica nel 2026; sottolinea inoltre l'importanza di finanziare adeguatamente le misure di prevenzione e mitigazione dei rischi per rafforzare la resilienza agricola e rurale;</w:t>
      </w:r>
    </w:p>
    <w:p w:rsidR="00AE735B" w:rsidRPr="00BB5DE9" w:rsidP="007C60D8" w14:paraId="086651E2" w14:textId="77777777">
      <w:pPr>
        <w:pStyle w:val="NormalHanging12a"/>
      </w:pPr>
      <w:r w:rsidRPr="00BB5DE9">
        <w:t>10.</w:t>
      </w:r>
      <w:r w:rsidRPr="00BB5DE9">
        <w:tab/>
        <w:t xml:space="preserve">esorta a un maggiore sostegno agli strumenti di gestione e prevenzione dei rischi, compresi i regimi assicurativi, i sistemi di allarme rapido pienamente operativi e le misure veterinarie e fitosanitarie, come pilastri fondamentali di un settore agricolo resiliente; sottolinea l'importanza di misure preventive per la salute degli animali, compresa la vaccinazione, e chiede finanziamenti adeguati per la prevenzione delle </w:t>
      </w:r>
      <w:r w:rsidRPr="00BB5DE9">
        <w:t>malattie, lo sviluppo, l'innovazione e la disponibilità di vaccini veterinari e il coordinamento dell'acquisto e della fornitura di tali vaccini a livello dell'UE attraverso un meccanismo di preparazione, strategie di vaccinazione armonizzate in tutti gli Stati membri, l'efficace applicazione dei principi di regionalizzazione e meccanismi di compensazione per gli allevatori colpiti da focolai di malattie animali;</w:t>
      </w:r>
    </w:p>
    <w:p w:rsidR="00AE735B" w:rsidRPr="00BB5DE9" w:rsidP="007C60D8" w14:paraId="585FF2AA" w14:textId="77777777">
      <w:pPr>
        <w:pStyle w:val="NormalHanging12a"/>
      </w:pPr>
      <w:r w:rsidRPr="00BB5DE9">
        <w:t>11.</w:t>
      </w:r>
      <w:r w:rsidRPr="00BB5DE9">
        <w:tab/>
        <w:t>sottolinea che l'aumento dei prezzi dei concimi, le interruzioni dell'approvvigionamento e la ridotta accessibilità economica dei principali fattori di produzione agricoli esercitano una pressione significativa sugli agricoltori in tutta l'Unione, con ripercussioni sulla sicurezza alimentare e lungo tutta la catena alimentare; prende atto della recente proposta della Commissione di rafforzare la riserva agricola e degli adeguamenti mirati della PAC che consentono un sostegno più rapido e flessibile agli agricoltori; si rammarica, tuttavia, che il finanziamento provenga dal sottomargine del FEAGA e non costituisca nuove risorse aggiuntive; sottolinea la necessità di misure di sostegno che evitino distorsioni del mercato interno e riflettano le reali esigenze settoriali in tutti gli Stati membri; chiede risorse adeguate, incluse risorse aggiuntive ove necessario, per garantire l'accesso degli agricoltori ai principali fattori di produzione e ridurre la vulnerabilità dell'Unione agli shock esterni dell'approvvigionamento, salvaguardando nel contempo la produttività agricola e la sicurezza alimentare; sottolinea la necessità di investire nella produzione interna di fattori di produzione agricoli fondamentali e in alternative innovative e circolari, al fine di ridurre la dipendenza dai fattori di produzione importati e rafforzare l'autonomia strategica dell'Unione;</w:t>
      </w:r>
    </w:p>
    <w:p w:rsidR="00AE735B" w:rsidRPr="00BB5DE9" w:rsidP="007C60D8" w14:paraId="73ED39FF" w14:textId="77777777">
      <w:pPr>
        <w:pStyle w:val="NormalHanging12a"/>
        <w:rPr>
          <w:szCs w:val="24"/>
        </w:rPr>
      </w:pPr>
    </w:p>
    <w:p w:rsidR="00AE735B" w:rsidRPr="00BB5DE9" w:rsidP="007C60D8" w14:paraId="6ED6EE76" w14:textId="77777777">
      <w:pPr>
        <w:pStyle w:val="NormalHanging12a"/>
        <w:jc w:val="both"/>
        <w:rPr>
          <w:b/>
          <w:bCs/>
        </w:rPr>
      </w:pPr>
      <w:r w:rsidRPr="00BB5DE9">
        <w:rPr>
          <w:b/>
        </w:rPr>
        <w:t>Commercio, promozione e competitività</w:t>
      </w:r>
    </w:p>
    <w:p w:rsidR="00AE735B" w:rsidRPr="00BB5DE9" w:rsidP="007C60D8" w14:paraId="46870467" w14:textId="77777777">
      <w:pPr>
        <w:pStyle w:val="NormalHanging12a"/>
        <w:rPr>
          <w:szCs w:val="24"/>
        </w:rPr>
      </w:pPr>
      <w:r w:rsidRPr="00BB5DE9">
        <w:t>12.</w:t>
      </w:r>
      <w:r w:rsidRPr="00BB5DE9">
        <w:tab/>
        <w:t>sottolinea che, in un contesto di sfide commerciali, come gli ostacoli al mercato, i dazi e l'instabilità, sono essenziali finanziamenti adeguati per i programmi di promozione al fine di sostenere le esportazioni agroalimentari dell'UE, migliorare l'accesso a nuovi mercati, rafforzare la competitività dei prodotti agroalimentari europei e contribuire alla sicurezza alimentare e all'autonomia strategica dell'Europa; esprime profonda preoccupazione per il fatto che il progetto di bilancio della Commissione per il 2027 propone una riduzione significativa dei finanziamenti per la politica di promozione, il che non è coerente con le ambizioni dichiarate dalla Commissione di aumentare il riconoscimento e la diffusione dei prodotti agroalimentari europei, e chiede che il bilancio sia mantenuto almeno al livello del 2026;</w:t>
      </w:r>
    </w:p>
    <w:p w:rsidR="00AE735B" w:rsidRPr="00BB5DE9" w:rsidP="007C60D8" w14:paraId="44C0ADAC" w14:textId="77777777">
      <w:pPr>
        <w:pStyle w:val="NormalHanging12a"/>
      </w:pPr>
      <w:r w:rsidRPr="00BB5DE9">
        <w:t>13.</w:t>
      </w:r>
      <w:r w:rsidRPr="00BB5DE9">
        <w:tab/>
        <w:t>evidenzia che l'agricoltura europea deve rimanere competitiva e in grado di garantire una produzione alimentare strategica, mantenendo nel contempo elevati standard di qualità, sostenibilità, accessibilità e sicurezza, al fine di conseguire una maggiore autonomia strategica e resilienza a lungo termine;</w:t>
      </w:r>
    </w:p>
    <w:p w:rsidR="00AE735B" w:rsidRPr="00BB5DE9" w:rsidP="007C60D8" w14:paraId="2ED3798D" w14:textId="77777777">
      <w:pPr>
        <w:pStyle w:val="NormalHanging12a"/>
      </w:pPr>
      <w:r w:rsidRPr="00BB5DE9">
        <w:t>14.</w:t>
      </w:r>
      <w:r w:rsidRPr="00BB5DE9">
        <w:tab/>
        <w:t xml:space="preserve">insiste sul fatto che il principio di reciprocità deve riflettersi nel bilancio 2027 attraverso finanziamenti adeguati per i controlli sanitari, fitosanitari e doganali alle frontiere esterne dell'Unione, al fine di garantire che i prodotti agroalimentari importati rispettino le norme di produzione richieste e assicurare condizioni di parità per gli agricoltori europei; chiede stanziamenti sufficienti per sostenere i settori più esposti agli effetti </w:t>
      </w:r>
      <w:r w:rsidRPr="00BB5DE9">
        <w:t>cumulativi degli accordi commerciali;</w:t>
      </w:r>
    </w:p>
    <w:p w:rsidR="00AE735B" w:rsidRPr="00BB5DE9" w:rsidP="007C60D8" w14:paraId="01EAD671" w14:textId="77777777">
      <w:pPr>
        <w:pStyle w:val="NormalHanging12a"/>
        <w:jc w:val="both"/>
        <w:rPr>
          <w:b/>
          <w:bCs/>
        </w:rPr>
      </w:pPr>
      <w:r w:rsidRPr="00BB5DE9">
        <w:rPr>
          <w:b/>
        </w:rPr>
        <w:t>Sviluppo rurale e ricambio generazionale</w:t>
      </w:r>
    </w:p>
    <w:p w:rsidR="00AE735B" w:rsidRPr="00BB5DE9" w:rsidP="007C60D8" w14:paraId="293153B7" w14:textId="77777777">
      <w:pPr>
        <w:pStyle w:val="NormalHanging12a"/>
      </w:pPr>
      <w:r w:rsidRPr="00BB5DE9">
        <w:t>15.</w:t>
      </w:r>
      <w:r w:rsidRPr="00BB5DE9">
        <w:tab/>
        <w:t>ribadisce l'importanza dei finanziamenti per lo sviluppo rurale per mantenere zone rurali e remote attrattive, resilienti e dinamiche, sostenere l'occupazione, la coesione sociale, la crescita, l'innovazione e l'equilibrio territoriale, migliorare l'accesso ai servizi di interesse generale e affrontare lo spopolamento e il declino demografico; sottolinea la necessità di garantire un sostegno adeguato alle regioni soggette a vincoli strutturali permanenti, comprese le regioni ultraperiferiche; ricorda, in tale contesto, l'importanza del programma POSEI per la produzione agricola, la sicurezza alimentare, i redditi degli agricoltori e la coesione territoriale nelle regioni ultraperiferiche, e chiede che venga pienamente tutelato nel bilancio 2027;</w:t>
      </w:r>
    </w:p>
    <w:p w:rsidR="00AE735B" w:rsidRPr="00BB5DE9" w:rsidP="007C60D8" w14:paraId="646562D4" w14:textId="77777777">
      <w:pPr>
        <w:pStyle w:val="NormalHanging12a"/>
      </w:pPr>
      <w:r w:rsidRPr="00BB5DE9">
        <w:t>16.</w:t>
      </w:r>
      <w:r w:rsidRPr="00BB5DE9">
        <w:tab/>
        <w:t>sottolinea che, con l'avanzare dell'attuazione dei piani strategici della PAC nel corso dell'attuale periodo di programmazione, il bilancio per il 2027 deve riflettere il fabbisogno effettivo di stanziamenti di pagamento a titolo del FEASR, al fine di evitare ritardi nei pagamenti e garantire la certezza del diritto per i beneficiari;</w:t>
      </w:r>
    </w:p>
    <w:p w:rsidR="00AE735B" w:rsidRPr="00BB5DE9" w:rsidP="007C60D8" w14:paraId="208D5D92" w14:textId="77777777">
      <w:pPr>
        <w:pStyle w:val="NormalHanging12a"/>
        <w:rPr>
          <w:szCs w:val="24"/>
        </w:rPr>
      </w:pPr>
      <w:r w:rsidRPr="00BB5DE9">
        <w:t>17.</w:t>
      </w:r>
      <w:r w:rsidRPr="00BB5DE9">
        <w:tab/>
        <w:t>insiste sul fatto che il ricambio generazionale è una delle sfide strutturali più urgenti per l'agricoltura europea, dal momento che meno del 12 % dei gestori di aziende agricole dell'UE ha un'età inferiore ai 40 anni, e che il bilancio per il 2027 deve riflettere l'ambizione politica di invertire tale tendenza; sottolinea l'importanza di garantire redditi equi e sostenibili agli agricoltori e chiede un maggiore sostegno mirato ai giovani e ai nuovi agricoltori, in particolare alle donne, attraverso un migliore accesso alla terra, ai finanziamenti, alla formazione, all'innovazione e agli investimenti a sostegno della transizione digitale, compresi il tutoraggio e le iniziative di scambio pratico, nonché il sostegno alla pianificazione aziendale e alla successione nelle aziende agricole; ricorda l'importanza del programma di tutoraggio e scambio per le donne nel settore agricolo; esorta gli Stati membri a rendere l'agricoltura più attraente al fine di garantire la sostenibilità e la competitività a lungo termine del settore agricolo e delle zone rurali; sottolinea che il ricambio generazionale è essenziale per la sicurezza alimentare e la sostenibilità socioeconomica delle zone rurali nonché per continuare a contrastare i cambiamenti climatici;</w:t>
      </w:r>
    </w:p>
    <w:p w:rsidR="00AE735B" w:rsidRPr="00BB5DE9" w:rsidP="007C60D8" w14:paraId="6A4B7BDC" w14:textId="77777777">
      <w:pPr>
        <w:pStyle w:val="NormalHanging12a"/>
        <w:jc w:val="both"/>
        <w:rPr>
          <w:b/>
          <w:bCs/>
        </w:rPr>
      </w:pPr>
      <w:r w:rsidRPr="00BB5DE9">
        <w:rPr>
          <w:b/>
        </w:rPr>
        <w:t>Innovazione, sostenibilità e resilienza</w:t>
      </w:r>
    </w:p>
    <w:p w:rsidR="00AE735B" w:rsidRPr="00BB5DE9" w:rsidP="007C60D8" w14:paraId="6CDB8E3F" w14:textId="77777777">
      <w:pPr>
        <w:pStyle w:val="NormalHanging12a"/>
      </w:pPr>
      <w:r w:rsidRPr="00BB5DE9">
        <w:t>18.</w:t>
      </w:r>
      <w:r w:rsidRPr="00BB5DE9">
        <w:tab/>
        <w:t>sottolinea che le sfide cui devono far fronte gli agricoltori richiedono investimenti continui nell'innovazione, nella digitalizzazione, nella sostenibilità, nella formazione e nei servizi di consulenza, al fine di migliorare l'efficienza, la sostenibilità e la precisione dei sistemi agricoli, garantire un uso più efficace delle risorse dell'Unione, garantire che l'innovazione e le nuove tecnologie siano accessibili agli agricoltori di tutte le dimensioni e in tutte le regioni, anche attraverso una migliore connettività rurale, e rafforzare l'attrattiva e lo sviluppo economico delle zone rurali;</w:t>
      </w:r>
    </w:p>
    <w:p w:rsidR="00AE735B" w:rsidRPr="00BB5DE9" w:rsidP="007C60D8" w14:paraId="3DECF33C" w14:textId="77777777">
      <w:pPr>
        <w:pStyle w:val="NormalHanging12a"/>
      </w:pPr>
      <w:r w:rsidRPr="00BB5DE9">
        <w:t>19.</w:t>
      </w:r>
      <w:r w:rsidRPr="00BB5DE9">
        <w:tab/>
        <w:t xml:space="preserve">chiede un maggiore finanziamento destinato alla ricerca, allo sviluppo e all'innovazione, in particolare nell'ambito di Orizzonte Europa, compreso il polo tematico 6, e sottolinea il ruolo della digitalizzazione nell'agricoltura e nel settore agroalimentare, compresa l'agricoltura di precisione, l'intelligenza artificiale, le biotecnologie, le nuove tecniche </w:t>
      </w:r>
      <w:r w:rsidRPr="00BB5DE9">
        <w:t>genomiche, i sistemi di irrigazione e le soluzioni pratiche a livello di azienda agricola che migliorano la produttività, la resilienza e la sostenibilità; evidenzia che gli agricoltori dell'UE devono godere di un accesso tempestivo e a prezzi accessibili a questi strumenti;</w:t>
      </w:r>
    </w:p>
    <w:p w:rsidR="00AE735B" w:rsidRPr="00BB5DE9" w:rsidP="007C60D8" w14:paraId="463C1173" w14:textId="77777777">
      <w:pPr>
        <w:pStyle w:val="NormalHanging12a"/>
        <w:rPr>
          <w:szCs w:val="24"/>
        </w:rPr>
      </w:pPr>
      <w:r w:rsidRPr="00BB5DE9">
        <w:t>20.</w:t>
      </w:r>
      <w:r w:rsidRPr="00BB5DE9">
        <w:tab/>
        <w:t>sottolinea la necessità di finanziamenti forti e specifici nell'ambito di Orizzonte Europa per l'agricoltura, i sistemi alimentari e l'innovazione rurale, garantendo nel contempo che tali finanziamenti rimangano accessibili a tutti gli agricoltori, prestando particolare attenzione alle piccole aziende agricole, agli istituti di ricerca e ai portatori di interessi rurali in tutta l'Unione;</w:t>
      </w:r>
      <w:r w:rsidRPr="00BB5DE9">
        <w:rPr>
          <w:u w:val="single"/>
        </w:rPr>
        <w:t> </w:t>
      </w:r>
      <w:r w:rsidRPr="00BB5DE9">
        <w:t>osserva che tali finanziamenti sono essenziali per rafforzare la competitività e la preparazione del settore agricolo e per sostenerne l'adattamento alle sfide, tra cui i cambiamenti climatici e le malattie animali;</w:t>
      </w:r>
    </w:p>
    <w:p w:rsidR="00AE735B" w:rsidRPr="00BB5DE9" w:rsidP="007C60D8" w14:paraId="09763BA7" w14:textId="77777777">
      <w:pPr>
        <w:pStyle w:val="NormalHanging12a"/>
        <w:rPr>
          <w:szCs w:val="24"/>
        </w:rPr>
      </w:pPr>
      <w:r w:rsidRPr="00BB5DE9">
        <w:t>21.</w:t>
      </w:r>
      <w:bookmarkStart w:id="26" w:name="_Hlk233144258"/>
      <w:r w:rsidRPr="00BB5DE9">
        <w:tab/>
        <w:t>sostiene approcci equilibrati e pragmatici alla sostenibilità, alla mitigazione e adattamento ai cambiamenti climatici e alla tutela dell'ambiente che non compromettano la redditività delle aziende agricole, la produzione alimentare, lo sviluppo economico e la resilienza delle zone rurali</w:t>
      </w:r>
      <w:bookmarkEnd w:id="26"/>
      <w:r w:rsidRPr="00BB5DE9">
        <w:t>;</w:t>
      </w:r>
    </w:p>
    <w:p w:rsidR="00AE735B" w:rsidRPr="00BB5DE9" w:rsidP="007C60D8" w14:paraId="17DB251A" w14:textId="77777777">
      <w:pPr>
        <w:pStyle w:val="NormalHanging12a"/>
      </w:pPr>
      <w:r w:rsidRPr="00BB5DE9">
        <w:t>22.</w:t>
      </w:r>
      <w:r w:rsidRPr="00BB5DE9">
        <w:tab/>
        <w:t>chiede maggiori investimenti nella resilienza idrica, nella gestione sostenibile delle risorse idriche, nella modernizzazione e nell'espansione sostenibili dei sistemi di irrigazione, compresi, se del caso, lo sviluppo sostenibile delle zone irrigate, la ritenzione idrica, la salute del suolo e misure volte a rafforzare la resilienza dell'agricoltura e il suo adattamento a siccità, inondazioni ed eventi meteorologici estremi sempre più frequenti;</w:t>
      </w:r>
    </w:p>
    <w:p w:rsidR="00AE735B" w:rsidRPr="00BB5DE9" w:rsidP="007C60D8" w14:paraId="4D2B0919" w14:textId="77777777">
      <w:pPr>
        <w:pStyle w:val="NormalHanging12a"/>
      </w:pPr>
      <w:r w:rsidRPr="00BB5DE9">
        <w:t>23.</w:t>
      </w:r>
      <w:r w:rsidRPr="00BB5DE9">
        <w:tab/>
        <w:t>sottolinea l'importanza strategica di ridurre la dipendenza dell'Unione dalle proteine vegetali importate e chiede stanziamenti adeguati per sostenere l'attuazione di una solida strategia europea in materia di proteine, compresi investimenti nella ricerca, nella selezione, nella capacità di trasformazione e nelle catene del valore per le colture di leguminose e altre fonti di proteine;</w:t>
      </w:r>
    </w:p>
    <w:p w:rsidR="00AE735B" w:rsidRPr="00BB5DE9" w:rsidP="007C60D8" w14:paraId="0708D5D5" w14:textId="77777777">
      <w:pPr>
        <w:pStyle w:val="NormalHanging12a"/>
        <w:jc w:val="both"/>
        <w:rPr>
          <w:b/>
          <w:bCs/>
        </w:rPr>
      </w:pPr>
      <w:r w:rsidRPr="00BB5DE9">
        <w:rPr>
          <w:b/>
        </w:rPr>
        <w:t>Prospettive future</w:t>
      </w:r>
    </w:p>
    <w:p w:rsidR="00AE735B" w:rsidRPr="00BB5DE9" w:rsidP="007C60D8" w14:paraId="7900065F" w14:textId="77777777">
      <w:pPr>
        <w:pStyle w:val="NormalHanging12a"/>
      </w:pPr>
      <w:r w:rsidRPr="00BB5DE9">
        <w:t>24.</w:t>
      </w:r>
      <w:r w:rsidRPr="00BB5DE9">
        <w:tab/>
        <w:t>sottolinea che l'ultimo anno dell'attuale QFP dovrebbe fornire una solida base per la PAC post-2027 ed evitare di creare carenze di finanziamento, incertezza o perturbazioni durante la transizione verso il prossimo periodo di programmazione, in particolare per i programmi settoriali, segnatamente il settore ortofrutticolo; sottolinea pertanto la necessità di un bilancio della PAC solido e dedicato dopo il 2027, che mantenga l'attuale struttura a due pilastri della PAC, e sottolinea che i futuri sviluppi politici, come il possibile allargamento, dovrebbero riflettersi adeguatamente nel prossimo QFP al fine di salvaguardare la sicurezza alimentare, la competitività e un equo tenore di vita per gli agricoltori, anche attraverso un sostegno più mirato alle persone attivamente impegnate nella produzione agricola;</w:t>
      </w:r>
    </w:p>
    <w:p w:rsidR="00AE735B" w:rsidRPr="00BB5DE9" w:rsidP="00CD5790" w14:paraId="7C0C1B62" w14:textId="135EABB3">
      <w:pPr>
        <w:pStyle w:val="NormalHanging12a"/>
      </w:pPr>
      <w:r w:rsidRPr="00BB5DE9">
        <w:t>25.</w:t>
      </w:r>
      <w:r w:rsidRPr="00BB5DE9">
        <w:tab/>
        <w:t>conclude che il bilancio 2027 deve trovare un attento equilibrio tra continuità, resilienza, competitività e preparazione alle sfide future, garantendo nel contempo che la PAC continui a essere adeguatamente finanziata e capace di sostenere gli agricoltori e le comunità rurali europei.</w:t>
      </w:r>
      <w:r w:rsidRPr="00BB5DE9">
        <w:br w:type="page"/>
      </w:r>
    </w:p>
    <w:p w:rsidR="00AE735B" w:rsidRPr="00BB5DE9" w:rsidP="007C60D8" w14:paraId="77837463" w14:textId="77777777">
      <w:pPr>
        <w:pStyle w:val="NormalHanging12a"/>
        <w:ind w:left="720" w:hanging="360"/>
        <w:jc w:val="both"/>
      </w:pPr>
    </w:p>
    <w:p w:rsidR="00AE735B" w:rsidRPr="00BB5DE9" w:rsidP="007C60D8" w14:paraId="0914E87D" w14:textId="77777777">
      <w:pPr>
        <w:pStyle w:val="PageHeadingNotTOC"/>
      </w:pPr>
      <w:r w:rsidRPr="00BB5DE9">
        <w:t>ALLEGATO: DICHIARAZIONE DEI CONTRIBUTI</w:t>
      </w:r>
    </w:p>
    <w:p w:rsidR="00AE735B" w:rsidRPr="00BB5DE9" w:rsidP="007C60D8" w14:paraId="0227B3E5" w14:textId="77777777">
      <w:pPr>
        <w:pStyle w:val="NormalHanging12a"/>
        <w:ind w:left="0" w:firstLine="0"/>
        <w:jc w:val="both"/>
      </w:pPr>
      <w:r w:rsidRPr="00BB5DE9">
        <w:rPr>
          <w:rStyle w:val="HideTWBExt"/>
        </w:rPr>
        <w:t>&lt;FootprintIntro&gt;</w:t>
      </w:r>
      <w:r w:rsidRPr="00BB5DE9">
        <w:t>Il relatore per parere dichiara, sotto la sua esclusiva responsabilità, di non aver incluso nel suo parere alcun contributo di rappresentanti di interessi che rientrano nell'ambito di applicazione dell'accordo interistituzionale su un registro per la trasparenza obbligatorio</w:t>
      </w:r>
      <w:r>
        <w:rPr>
          <w:vertAlign w:val="superscript"/>
        </w:rPr>
        <w:footnoteReference w:id="26"/>
      </w:r>
      <w:r w:rsidRPr="00BB5DE9">
        <w:t>, o di rappresentanti delle pubbliche autorità di paesi terzi, incluse le loro missioni diplomatiche e ambasciate, da enumerare nel presente allegato in virtù dell'allegato I, articolo 8, del regolamento.</w:t>
      </w:r>
      <w:r w:rsidRPr="00BB5DE9">
        <w:rPr>
          <w:rStyle w:val="HideTWBExt"/>
        </w:rPr>
        <w:t>&lt;/FootprintIntro&gt;</w:t>
      </w:r>
    </w:p>
    <w:p w:rsidR="00AE735B" w:rsidRPr="00BB5DE9" w:rsidP="007C60D8" w14:paraId="482CF94F" w14:textId="77777777">
      <w:pPr>
        <w:pStyle w:val="NormalHanging12a"/>
      </w:pPr>
    </w:p>
    <w:p w:rsidR="00AE735B" w:rsidRPr="00BB5DE9" w:rsidP="007C60D8" w14:paraId="0065307C" w14:textId="77777777">
      <w:pPr>
        <w:sectPr w:rsidSect="00AE735B">
          <w:headerReference w:type="even" r:id="rId46"/>
          <w:headerReference w:type="default" r:id="rId47"/>
          <w:headerReference w:type="first" r:id="rId48"/>
          <w:footerReference w:type="first" r:id="rId49"/>
          <w:footnotePr>
            <w:numRestart w:val="eachSect"/>
          </w:footnotePr>
          <w:endnotePr>
            <w:numFmt w:val="decimal"/>
          </w:endnotePr>
          <w:pgSz w:w="11906" w:h="16838" w:code="9"/>
          <w:pgMar w:top="1134" w:right="1418" w:bottom="1134" w:left="1418" w:header="1134" w:footer="567" w:gutter="0"/>
          <w:cols w:space="720"/>
          <w:noEndnote/>
          <w:docGrid w:linePitch="326"/>
        </w:sectPr>
      </w:pPr>
    </w:p>
    <w:p w:rsidR="00AE735B" w:rsidRPr="00BB5DE9" w:rsidP="007C60D8" w14:paraId="4501B4ED" w14:textId="77777777">
      <w:pPr>
        <w:pStyle w:val="PageHeadingNotTOC"/>
      </w:pPr>
      <w:r w:rsidRPr="00BB5DE9">
        <w:t>INFORMAZIONI SULL'APPROVAZIONE DA PARTE DELLA COMMISSIONE COMPETENTE PER PARERE</w:t>
      </w:r>
    </w:p>
    <w:tbl>
      <w:tblPr>
        <w:tblW w:w="0" w:type="auto"/>
        <w:tblInd w:w="-10" w:type="dxa"/>
        <w:tblLayout w:type="fixed"/>
        <w:tblCellMar>
          <w:left w:w="0" w:type="dxa"/>
          <w:right w:w="0" w:type="dxa"/>
        </w:tblCellMar>
        <w:tblLook w:val="0000"/>
      </w:tblPr>
      <w:tblGrid>
        <w:gridCol w:w="3685"/>
        <w:gridCol w:w="1530"/>
        <w:gridCol w:w="1474"/>
        <w:gridCol w:w="1474"/>
        <w:gridCol w:w="1474"/>
      </w:tblGrid>
      <w:tr w14:paraId="5C92BCF8" w14:textId="77777777" w:rsidTr="00765195">
        <w:tblPrEx>
          <w:tblW w:w="0" w:type="auto"/>
          <w:tblInd w:w="-10" w:type="dxa"/>
          <w:tblLayout w:type="fixed"/>
          <w:tblCellMar>
            <w:left w:w="0" w:type="dxa"/>
            <w:right w:w="0" w:type="dxa"/>
          </w:tblCellMar>
          <w:tblLook w:val="0000"/>
        </w:tblPrEx>
        <w:tc>
          <w:tcPr>
            <w:tcW w:w="3685" w:type="dxa"/>
            <w:tcBorders>
              <w:top w:val="single" w:sz="8" w:space="0" w:color="000000"/>
              <w:left w:val="single" w:sz="8" w:space="0" w:color="000000"/>
              <w:bottom w:val="single" w:sz="8" w:space="0" w:color="000000"/>
              <w:right w:val="single" w:sz="8" w:space="0" w:color="000000"/>
            </w:tcBorders>
            <w:tcMar>
              <w:top w:w="79" w:type="dxa"/>
              <w:left w:w="79" w:type="dxa"/>
              <w:bottom w:w="79" w:type="dxa"/>
              <w:right w:w="79" w:type="dxa"/>
            </w:tcMar>
          </w:tcPr>
          <w:p w:rsidR="00AE735B" w:rsidRPr="00BB5DE9" w:rsidP="00765195" w14:paraId="6D86C48F" w14:textId="77777777">
            <w:pPr>
              <w:autoSpaceDE w:val="0"/>
              <w:autoSpaceDN w:val="0"/>
              <w:adjustRightInd w:val="0"/>
              <w:rPr>
                <w:b/>
                <w:bCs/>
                <w:color w:val="000000"/>
                <w:sz w:val="20"/>
              </w:rPr>
            </w:pPr>
            <w:r w:rsidRPr="00BB5DE9">
              <w:rPr>
                <w:b/>
                <w:color w:val="000000"/>
                <w:sz w:val="20"/>
              </w:rPr>
              <w:t>Approvazione</w:t>
            </w:r>
          </w:p>
        </w:tc>
        <w:tc>
          <w:tcPr>
            <w:tcW w:w="1530" w:type="dxa"/>
            <w:tcBorders>
              <w:top w:val="single" w:sz="8" w:space="0" w:color="000000"/>
              <w:left w:val="nil"/>
              <w:bottom w:val="single" w:sz="8" w:space="0" w:color="000000"/>
              <w:right w:val="nil"/>
            </w:tcBorders>
            <w:tcMar>
              <w:top w:w="79" w:type="dxa"/>
              <w:left w:w="79" w:type="dxa"/>
              <w:bottom w:w="79" w:type="dxa"/>
              <w:right w:w="79" w:type="dxa"/>
            </w:tcMar>
          </w:tcPr>
          <w:p w:rsidR="00AE735B" w:rsidRPr="00BB5DE9" w:rsidP="00765195" w14:paraId="662F8FB8" w14:textId="77777777">
            <w:pPr>
              <w:autoSpaceDE w:val="0"/>
              <w:autoSpaceDN w:val="0"/>
              <w:adjustRightInd w:val="0"/>
              <w:rPr>
                <w:color w:val="000000"/>
                <w:sz w:val="20"/>
              </w:rPr>
            </w:pPr>
            <w:r w:rsidRPr="00BB5DE9">
              <w:rPr>
                <w:color w:val="000000"/>
                <w:sz w:val="20"/>
              </w:rPr>
              <w:t>2.9.2026</w:t>
            </w:r>
          </w:p>
        </w:tc>
        <w:tc>
          <w:tcPr>
            <w:tcW w:w="1474" w:type="dxa"/>
            <w:tcBorders>
              <w:top w:val="single" w:sz="8" w:space="0" w:color="000000"/>
              <w:left w:val="nil"/>
              <w:bottom w:val="single" w:sz="8" w:space="0" w:color="000000"/>
              <w:right w:val="nil"/>
            </w:tcBorders>
            <w:tcMar>
              <w:top w:w="79" w:type="dxa"/>
              <w:left w:w="79" w:type="dxa"/>
              <w:bottom w:w="79" w:type="dxa"/>
              <w:right w:w="79" w:type="dxa"/>
            </w:tcMar>
          </w:tcPr>
          <w:p w:rsidR="00AE735B" w:rsidRPr="00BB5DE9" w:rsidP="00765195" w14:paraId="49A963BB" w14:textId="77777777">
            <w:pPr>
              <w:autoSpaceDE w:val="0"/>
              <w:autoSpaceDN w:val="0"/>
              <w:adjustRightInd w:val="0"/>
              <w:rPr>
                <w:rFonts w:ascii="sans-serif" w:hAnsi="sans-serif" w:cs="sans-serif"/>
                <w:color w:val="000000"/>
              </w:rPr>
            </w:pPr>
          </w:p>
        </w:tc>
        <w:tc>
          <w:tcPr>
            <w:tcW w:w="1474" w:type="dxa"/>
            <w:tcBorders>
              <w:top w:val="single" w:sz="8" w:space="0" w:color="000000"/>
              <w:left w:val="nil"/>
              <w:bottom w:val="single" w:sz="8" w:space="0" w:color="000000"/>
              <w:right w:val="nil"/>
            </w:tcBorders>
            <w:tcMar>
              <w:top w:w="79" w:type="dxa"/>
              <w:left w:w="79" w:type="dxa"/>
              <w:bottom w:w="79" w:type="dxa"/>
              <w:right w:w="79" w:type="dxa"/>
            </w:tcMar>
          </w:tcPr>
          <w:p w:rsidR="00AE735B" w:rsidRPr="00BB5DE9" w:rsidP="00765195" w14:paraId="0263C744" w14:textId="77777777">
            <w:pPr>
              <w:autoSpaceDE w:val="0"/>
              <w:autoSpaceDN w:val="0"/>
              <w:adjustRightInd w:val="0"/>
              <w:rPr>
                <w:rFonts w:ascii="sans-serif" w:hAnsi="sans-serif" w:cs="sans-serif"/>
                <w:color w:val="000000"/>
              </w:rPr>
            </w:pPr>
          </w:p>
        </w:tc>
        <w:tc>
          <w:tcPr>
            <w:tcW w:w="1474" w:type="dxa"/>
            <w:tcBorders>
              <w:top w:val="single" w:sz="8" w:space="0" w:color="000000"/>
              <w:left w:val="nil"/>
              <w:bottom w:val="single" w:sz="8" w:space="0" w:color="000000"/>
              <w:right w:val="single" w:sz="8" w:space="0" w:color="000000"/>
            </w:tcBorders>
            <w:tcMar>
              <w:top w:w="79" w:type="dxa"/>
              <w:left w:w="79" w:type="dxa"/>
              <w:bottom w:w="79" w:type="dxa"/>
              <w:right w:w="79" w:type="dxa"/>
            </w:tcMar>
          </w:tcPr>
          <w:p w:rsidR="00AE735B" w:rsidRPr="00BB5DE9" w:rsidP="00765195" w14:paraId="48E0365F" w14:textId="77777777">
            <w:pPr>
              <w:autoSpaceDE w:val="0"/>
              <w:autoSpaceDN w:val="0"/>
              <w:adjustRightInd w:val="0"/>
              <w:rPr>
                <w:rFonts w:ascii="sans-serif" w:hAnsi="sans-serif" w:cs="sans-serif"/>
                <w:color w:val="000000"/>
              </w:rPr>
            </w:pPr>
          </w:p>
        </w:tc>
      </w:tr>
      <w:tr w14:paraId="7D4BBB51" w14:textId="77777777" w:rsidTr="00765195">
        <w:tblPrEx>
          <w:tblW w:w="0" w:type="auto"/>
          <w:tblInd w:w="-10" w:type="dxa"/>
          <w:tblLayout w:type="fixed"/>
          <w:tblCellMar>
            <w:left w:w="0" w:type="dxa"/>
            <w:right w:w="0" w:type="dxa"/>
          </w:tblCellMar>
          <w:tblLook w:val="0000"/>
        </w:tblPrEx>
        <w:tc>
          <w:tcPr>
            <w:tcW w:w="3685" w:type="dxa"/>
            <w:tcBorders>
              <w:top w:val="single" w:sz="8" w:space="0" w:color="000000"/>
              <w:left w:val="single" w:sz="8" w:space="0" w:color="000000"/>
              <w:bottom w:val="single" w:sz="8" w:space="0" w:color="000000"/>
              <w:right w:val="single" w:sz="8" w:space="0" w:color="000000"/>
            </w:tcBorders>
            <w:tcMar>
              <w:top w:w="79" w:type="dxa"/>
              <w:left w:w="79" w:type="dxa"/>
              <w:bottom w:w="79" w:type="dxa"/>
              <w:right w:w="79" w:type="dxa"/>
            </w:tcMar>
          </w:tcPr>
          <w:p w:rsidR="00AE735B" w:rsidRPr="00BB5DE9" w:rsidP="00765195" w14:paraId="04685A80" w14:textId="77777777">
            <w:pPr>
              <w:autoSpaceDE w:val="0"/>
              <w:autoSpaceDN w:val="0"/>
              <w:adjustRightInd w:val="0"/>
              <w:rPr>
                <w:b/>
                <w:bCs/>
                <w:color w:val="000000"/>
                <w:sz w:val="20"/>
              </w:rPr>
            </w:pPr>
            <w:r w:rsidRPr="00BB5DE9">
              <w:rPr>
                <w:b/>
                <w:color w:val="000000"/>
                <w:sz w:val="20"/>
              </w:rPr>
              <w:t>Esito della votazione finale</w:t>
            </w:r>
          </w:p>
        </w:tc>
        <w:tc>
          <w:tcPr>
            <w:tcW w:w="1530" w:type="dxa"/>
            <w:tcBorders>
              <w:top w:val="single" w:sz="8" w:space="0" w:color="000000"/>
              <w:left w:val="nil"/>
              <w:bottom w:val="single" w:sz="8" w:space="0" w:color="000000"/>
              <w:right w:val="nil"/>
            </w:tcBorders>
            <w:tcMar>
              <w:top w:w="79" w:type="dxa"/>
              <w:left w:w="79" w:type="dxa"/>
              <w:bottom w:w="79" w:type="dxa"/>
              <w:right w:w="79" w:type="dxa"/>
            </w:tcMar>
          </w:tcPr>
          <w:p w:rsidR="00AE735B" w:rsidRPr="00BB5DE9" w:rsidP="00765195" w14:paraId="3264A343" w14:textId="77777777">
            <w:pPr>
              <w:autoSpaceDE w:val="0"/>
              <w:autoSpaceDN w:val="0"/>
              <w:adjustRightInd w:val="0"/>
              <w:rPr>
                <w:color w:val="000000"/>
                <w:sz w:val="20"/>
              </w:rPr>
            </w:pPr>
            <w:r w:rsidRPr="00BB5DE9">
              <w:rPr>
                <w:color w:val="000000"/>
                <w:sz w:val="20"/>
              </w:rPr>
              <w:t>+:</w:t>
            </w:r>
          </w:p>
          <w:p w:rsidR="00AE735B" w:rsidRPr="00BB5DE9" w:rsidP="00765195" w14:paraId="59D8151C" w14:textId="77777777">
            <w:pPr>
              <w:autoSpaceDE w:val="0"/>
              <w:autoSpaceDN w:val="0"/>
              <w:adjustRightInd w:val="0"/>
              <w:rPr>
                <w:color w:val="000000"/>
                <w:sz w:val="20"/>
              </w:rPr>
            </w:pPr>
            <w:r w:rsidRPr="00BB5DE9">
              <w:rPr>
                <w:color w:val="000000"/>
                <w:sz w:val="20"/>
              </w:rPr>
              <w:t>–:</w:t>
            </w:r>
          </w:p>
          <w:p w:rsidR="00AE735B" w:rsidRPr="00BB5DE9" w:rsidP="00765195" w14:paraId="51AEAFDB" w14:textId="77777777">
            <w:pPr>
              <w:autoSpaceDE w:val="0"/>
              <w:autoSpaceDN w:val="0"/>
              <w:adjustRightInd w:val="0"/>
              <w:rPr>
                <w:color w:val="000000"/>
                <w:sz w:val="20"/>
              </w:rPr>
            </w:pPr>
            <w:r w:rsidRPr="00BB5DE9">
              <w:rPr>
                <w:color w:val="000000"/>
                <w:sz w:val="20"/>
              </w:rPr>
              <w:t>0:</w:t>
            </w:r>
          </w:p>
        </w:tc>
        <w:tc>
          <w:tcPr>
            <w:tcW w:w="4422" w:type="dxa"/>
            <w:gridSpan w:val="3"/>
            <w:tcBorders>
              <w:top w:val="single" w:sz="8" w:space="0" w:color="000000"/>
              <w:left w:val="nil"/>
              <w:bottom w:val="single" w:sz="8" w:space="0" w:color="000000"/>
              <w:right w:val="single" w:sz="8" w:space="0" w:color="000000"/>
            </w:tcBorders>
            <w:tcMar>
              <w:top w:w="79" w:type="dxa"/>
              <w:left w:w="79" w:type="dxa"/>
              <w:bottom w:w="79" w:type="dxa"/>
              <w:right w:w="79" w:type="dxa"/>
            </w:tcMar>
          </w:tcPr>
          <w:p w:rsidR="00AE735B" w:rsidRPr="00BB5DE9" w:rsidP="00765195" w14:paraId="359D58D9" w14:textId="77777777">
            <w:pPr>
              <w:autoSpaceDE w:val="0"/>
              <w:autoSpaceDN w:val="0"/>
              <w:adjustRightInd w:val="0"/>
              <w:rPr>
                <w:color w:val="000000"/>
                <w:sz w:val="20"/>
              </w:rPr>
            </w:pPr>
            <w:r w:rsidRPr="00BB5DE9">
              <w:rPr>
                <w:color w:val="000000"/>
                <w:sz w:val="20"/>
              </w:rPr>
              <w:t>30</w:t>
            </w:r>
          </w:p>
          <w:p w:rsidR="00AE735B" w:rsidRPr="00BB5DE9" w:rsidP="00765195" w14:paraId="70665312" w14:textId="77777777">
            <w:pPr>
              <w:autoSpaceDE w:val="0"/>
              <w:autoSpaceDN w:val="0"/>
              <w:adjustRightInd w:val="0"/>
              <w:rPr>
                <w:color w:val="000000"/>
                <w:sz w:val="20"/>
              </w:rPr>
            </w:pPr>
            <w:r w:rsidRPr="00BB5DE9">
              <w:rPr>
                <w:color w:val="000000"/>
                <w:sz w:val="20"/>
              </w:rPr>
              <w:t>5</w:t>
            </w:r>
          </w:p>
          <w:p w:rsidR="00AE735B" w:rsidRPr="00BB5DE9" w:rsidP="00765195" w14:paraId="208DDC5E" w14:textId="77777777">
            <w:pPr>
              <w:autoSpaceDE w:val="0"/>
              <w:autoSpaceDN w:val="0"/>
              <w:adjustRightInd w:val="0"/>
              <w:rPr>
                <w:color w:val="000000"/>
                <w:sz w:val="20"/>
              </w:rPr>
            </w:pPr>
            <w:r w:rsidRPr="00BB5DE9">
              <w:rPr>
                <w:color w:val="000000"/>
                <w:sz w:val="20"/>
              </w:rPr>
              <w:t>10</w:t>
            </w:r>
          </w:p>
        </w:tc>
      </w:tr>
    </w:tbl>
    <w:p w:rsidR="00AE735B" w:rsidRPr="00BB5DE9" w:rsidP="007C60D8" w14:paraId="5D5E02F7" w14:textId="77777777"/>
    <w:p w:rsidR="00AE735B" w:rsidRPr="00BB5DE9" w:rsidP="007C60D8" w14:paraId="7AA4B756" w14:textId="77777777">
      <w:pPr>
        <w:sectPr w:rsidSect="00AE735B">
          <w:pgSz w:w="11894" w:h="15840"/>
          <w:pgMar w:top="1700" w:right="1417" w:bottom="1417" w:left="1417" w:header="720" w:footer="720" w:gutter="0"/>
          <w:cols w:space="720"/>
          <w:noEndnote/>
          <w:docGrid w:linePitch="326"/>
        </w:sectPr>
      </w:pPr>
    </w:p>
    <w:p w:rsidR="00AE735B" w:rsidRPr="00BB5DE9" w:rsidP="007C60D8" w14:paraId="1C1A56E1" w14:textId="77777777">
      <w:pPr>
        <w:pStyle w:val="PageHeadingNotTOC"/>
      </w:pPr>
      <w:r w:rsidRPr="00BB5DE9">
        <w:t>VOTAZIONE FINALE PER APPELLO NOMINALE DA PARTE DELLA COMMISSIONE COMPETENTE PER PARERE</w:t>
      </w:r>
    </w:p>
    <w:tbl>
      <w:tblPr>
        <w:tblW w:w="0" w:type="auto"/>
        <w:tblInd w:w="145" w:type="dxa"/>
        <w:tblBorders>
          <w:top w:val="double" w:sz="2" w:space="0" w:color="000000"/>
          <w:left w:val="double" w:sz="2" w:space="0" w:color="000000"/>
          <w:bottom w:val="double" w:sz="2" w:space="0" w:color="000000"/>
          <w:right w:val="double" w:sz="2" w:space="0" w:color="000000"/>
          <w:insideH w:val="single" w:sz="2" w:space="0" w:color="000000"/>
          <w:insideV w:val="single" w:sz="2" w:space="0" w:color="000000"/>
        </w:tblBorders>
        <w:tblLayout w:type="fixed"/>
        <w:tblCellMar>
          <w:left w:w="145" w:type="dxa"/>
          <w:right w:w="145" w:type="dxa"/>
        </w:tblCellMar>
        <w:tblLook w:val="0000"/>
      </w:tblPr>
      <w:tblGrid>
        <w:gridCol w:w="1701"/>
        <w:gridCol w:w="7371"/>
      </w:tblGrid>
      <w:tr w14:paraId="3BE15321" w14:textId="77777777" w:rsidTr="00765195">
        <w:tblPrEx>
          <w:tblW w:w="0" w:type="auto"/>
          <w:tblInd w:w="145" w:type="dxa"/>
          <w:tblBorders>
            <w:top w:val="double" w:sz="2" w:space="0" w:color="000000"/>
            <w:left w:val="double" w:sz="2" w:space="0" w:color="000000"/>
            <w:bottom w:val="double" w:sz="2" w:space="0" w:color="000000"/>
            <w:right w:val="double" w:sz="2" w:space="0" w:color="000000"/>
            <w:insideH w:val="single" w:sz="2" w:space="0" w:color="000000"/>
            <w:insideV w:val="single" w:sz="2" w:space="0" w:color="000000"/>
          </w:tblBorders>
          <w:tblLayout w:type="fixed"/>
          <w:tblCellMar>
            <w:left w:w="145" w:type="dxa"/>
            <w:right w:w="145" w:type="dxa"/>
          </w:tblCellMar>
          <w:tblLook w:val="0000"/>
        </w:tblPrEx>
        <w:trPr>
          <w:cantSplit/>
        </w:trPr>
        <w:tc>
          <w:tcPr>
            <w:tcW w:w="1701" w:type="dxa"/>
            <w:shd w:val="pct10" w:color="000000" w:fill="FFFFFF"/>
            <w:vAlign w:val="center"/>
          </w:tcPr>
          <w:p w:rsidR="00AE735B" w:rsidRPr="00BB5DE9" w:rsidP="00765195" w14:paraId="3983BA4C" w14:textId="77777777">
            <w:pPr>
              <w:pStyle w:val="RollCallVotes"/>
              <w:rPr>
                <w:lang w:val="it-IT"/>
              </w:rPr>
            </w:pPr>
            <w:r w:rsidRPr="00BB5DE9">
              <w:rPr>
                <w:lang w:val="it-IT"/>
              </w:rPr>
              <w:t>30</w:t>
            </w:r>
          </w:p>
        </w:tc>
        <w:tc>
          <w:tcPr>
            <w:tcW w:w="7371" w:type="dxa"/>
            <w:shd w:val="pct10" w:color="000000" w:fill="FFFFFF"/>
          </w:tcPr>
          <w:p w:rsidR="00AE735B" w:rsidRPr="00BB5DE9" w:rsidP="00765195" w14:paraId="0D8ED72B" w14:textId="77777777">
            <w:pPr>
              <w:pStyle w:val="RollCallSymbols14pt"/>
              <w:rPr>
                <w:lang w:val="it-IT"/>
              </w:rPr>
            </w:pPr>
            <w:r w:rsidRPr="00BB5DE9">
              <w:rPr>
                <w:lang w:val="it-IT"/>
              </w:rPr>
              <w:t>+</w:t>
            </w:r>
          </w:p>
        </w:tc>
      </w:tr>
      <w:tr w14:paraId="41F99797" w14:textId="77777777" w:rsidTr="00765195">
        <w:tblPrEx>
          <w:tblW w:w="0" w:type="auto"/>
          <w:tblInd w:w="145" w:type="dxa"/>
          <w:tblLayout w:type="fixed"/>
          <w:tblCellMar>
            <w:left w:w="145" w:type="dxa"/>
            <w:right w:w="145" w:type="dxa"/>
          </w:tblCellMar>
          <w:tblLook w:val="0000"/>
        </w:tblPrEx>
        <w:trPr>
          <w:cantSplit/>
        </w:trPr>
        <w:tc>
          <w:tcPr>
            <w:tcW w:w="1701" w:type="dxa"/>
            <w:shd w:val="clear" w:color="auto" w:fill="FFFFFF"/>
          </w:tcPr>
          <w:p w:rsidR="00AE735B" w:rsidRPr="00BB5DE9" w:rsidP="00765195" w14:paraId="4E3EEFE8" w14:textId="77777777">
            <w:pPr>
              <w:pStyle w:val="RollCallTable"/>
              <w:rPr>
                <w:lang w:val="it-IT"/>
              </w:rPr>
            </w:pPr>
            <w:r w:rsidRPr="00BB5DE9">
              <w:rPr>
                <w:lang w:val="it-IT"/>
              </w:rPr>
              <w:t>PPE</w:t>
            </w:r>
          </w:p>
        </w:tc>
        <w:tc>
          <w:tcPr>
            <w:tcW w:w="7371" w:type="dxa"/>
            <w:shd w:val="clear" w:color="auto" w:fill="FFFFFF"/>
          </w:tcPr>
          <w:p w:rsidR="00AE735B" w:rsidRPr="00BB5DE9" w:rsidP="00765195" w14:paraId="5F8665BB" w14:textId="77777777">
            <w:pPr>
              <w:pStyle w:val="RollCallTable"/>
              <w:rPr>
                <w:lang w:val="it-IT"/>
              </w:rPr>
            </w:pPr>
            <w:r w:rsidRPr="00BB5DE9">
              <w:rPr>
                <w:lang w:val="it-IT"/>
              </w:rPr>
              <w:t>Peter Agius, Alexander Bernhuber, Daniel Buda, Carmen Crespo Díaz, Salvatore De Meo, Herbert Dorfmann, Krzysztof Hetman, Stefan Köhler, Willemien Koning, Ilia Lazarov, Norbert Lins, Pekka Toveri, Marion Walsmann</w:t>
            </w:r>
          </w:p>
        </w:tc>
      </w:tr>
      <w:tr w14:paraId="607A41EB" w14:textId="77777777" w:rsidTr="00765195">
        <w:tblPrEx>
          <w:tblW w:w="0" w:type="auto"/>
          <w:tblInd w:w="145" w:type="dxa"/>
          <w:tblLayout w:type="fixed"/>
          <w:tblCellMar>
            <w:left w:w="145" w:type="dxa"/>
            <w:right w:w="145" w:type="dxa"/>
          </w:tblCellMar>
          <w:tblLook w:val="0000"/>
        </w:tblPrEx>
        <w:trPr>
          <w:cantSplit/>
        </w:trPr>
        <w:tc>
          <w:tcPr>
            <w:tcW w:w="1701" w:type="dxa"/>
            <w:shd w:val="clear" w:color="auto" w:fill="FFFFFF"/>
          </w:tcPr>
          <w:p w:rsidR="00AE735B" w:rsidRPr="00BB5DE9" w:rsidP="00765195" w14:paraId="1F3961D6" w14:textId="77777777">
            <w:pPr>
              <w:pStyle w:val="RollCallTable"/>
              <w:rPr>
                <w:lang w:val="it-IT"/>
              </w:rPr>
            </w:pPr>
            <w:r w:rsidRPr="00BB5DE9">
              <w:rPr>
                <w:lang w:val="it-IT"/>
              </w:rPr>
              <w:t>PfE</w:t>
            </w:r>
          </w:p>
        </w:tc>
        <w:tc>
          <w:tcPr>
            <w:tcW w:w="7371" w:type="dxa"/>
            <w:shd w:val="clear" w:color="auto" w:fill="FFFFFF"/>
          </w:tcPr>
          <w:p w:rsidR="00AE735B" w:rsidRPr="00BB5DE9" w:rsidP="00765195" w14:paraId="776B0A62" w14:textId="77777777">
            <w:pPr>
              <w:pStyle w:val="RollCallTable"/>
              <w:rPr>
                <w:lang w:val="it-IT"/>
              </w:rPr>
            </w:pPr>
            <w:r w:rsidRPr="00BB5DE9">
              <w:rPr>
                <w:lang w:val="it-IT"/>
              </w:rPr>
              <w:t>Raffaele Stancanelli</w:t>
            </w:r>
          </w:p>
        </w:tc>
      </w:tr>
      <w:tr w14:paraId="1057C388" w14:textId="77777777" w:rsidTr="00765195">
        <w:tblPrEx>
          <w:tblW w:w="0" w:type="auto"/>
          <w:tblInd w:w="145" w:type="dxa"/>
          <w:tblLayout w:type="fixed"/>
          <w:tblCellMar>
            <w:left w:w="145" w:type="dxa"/>
            <w:right w:w="145" w:type="dxa"/>
          </w:tblCellMar>
          <w:tblLook w:val="0000"/>
        </w:tblPrEx>
        <w:trPr>
          <w:cantSplit/>
        </w:trPr>
        <w:tc>
          <w:tcPr>
            <w:tcW w:w="1701" w:type="dxa"/>
            <w:shd w:val="clear" w:color="auto" w:fill="FFFFFF"/>
          </w:tcPr>
          <w:p w:rsidR="00AE735B" w:rsidRPr="00BB5DE9" w:rsidP="00765195" w14:paraId="4D3FB900" w14:textId="77777777">
            <w:pPr>
              <w:pStyle w:val="RollCallTable"/>
              <w:rPr>
                <w:lang w:val="it-IT"/>
              </w:rPr>
            </w:pPr>
            <w:r w:rsidRPr="00BB5DE9">
              <w:rPr>
                <w:lang w:val="it-IT"/>
              </w:rPr>
              <w:t>Renew</w:t>
            </w:r>
          </w:p>
        </w:tc>
        <w:tc>
          <w:tcPr>
            <w:tcW w:w="7371" w:type="dxa"/>
            <w:shd w:val="clear" w:color="auto" w:fill="FFFFFF"/>
          </w:tcPr>
          <w:p w:rsidR="00AE735B" w:rsidRPr="00BB5DE9" w:rsidP="00765195" w14:paraId="20A90CAB" w14:textId="77777777">
            <w:pPr>
              <w:pStyle w:val="RollCallTable"/>
              <w:rPr>
                <w:lang w:val="it-IT"/>
              </w:rPr>
            </w:pPr>
            <w:r w:rsidRPr="00BB5DE9">
              <w:rPr>
                <w:lang w:val="it-IT"/>
              </w:rPr>
              <w:t>Benoit Cassart, Asger Christensen, Barry Cowen, Elsi Katainen, Ciaran Mullooly, Christine Singer</w:t>
            </w:r>
          </w:p>
        </w:tc>
      </w:tr>
      <w:tr w14:paraId="7D798785" w14:textId="77777777" w:rsidTr="00765195">
        <w:tblPrEx>
          <w:tblW w:w="0" w:type="auto"/>
          <w:tblInd w:w="145" w:type="dxa"/>
          <w:tblLayout w:type="fixed"/>
          <w:tblCellMar>
            <w:left w:w="145" w:type="dxa"/>
            <w:right w:w="145" w:type="dxa"/>
          </w:tblCellMar>
          <w:tblLook w:val="0000"/>
        </w:tblPrEx>
        <w:trPr>
          <w:cantSplit/>
        </w:trPr>
        <w:tc>
          <w:tcPr>
            <w:tcW w:w="1701" w:type="dxa"/>
            <w:shd w:val="clear" w:color="auto" w:fill="FFFFFF"/>
          </w:tcPr>
          <w:p w:rsidR="00AE735B" w:rsidRPr="00BB5DE9" w:rsidP="00765195" w14:paraId="11F4EFDB" w14:textId="77777777">
            <w:pPr>
              <w:pStyle w:val="RollCallTable"/>
              <w:rPr>
                <w:lang w:val="it-IT"/>
              </w:rPr>
            </w:pPr>
            <w:r w:rsidRPr="00BB5DE9">
              <w:rPr>
                <w:lang w:val="it-IT"/>
              </w:rPr>
              <w:t>S&amp;D</w:t>
            </w:r>
          </w:p>
        </w:tc>
        <w:tc>
          <w:tcPr>
            <w:tcW w:w="7371" w:type="dxa"/>
            <w:shd w:val="clear" w:color="auto" w:fill="FFFFFF"/>
          </w:tcPr>
          <w:p w:rsidR="00AE735B" w:rsidRPr="00BB5DE9" w:rsidP="00765195" w14:paraId="7CA267EA" w14:textId="77777777">
            <w:pPr>
              <w:pStyle w:val="RollCallTable"/>
              <w:rPr>
                <w:lang w:val="it-IT"/>
              </w:rPr>
            </w:pPr>
            <w:r w:rsidRPr="00BB5DE9">
              <w:rPr>
                <w:lang w:val="it-IT"/>
              </w:rPr>
              <w:t>Stefano Bonaccini, Gheorghe Cârciu, Annalisa Corrado, Cristina Maestre, Ana Catarina Mendes, Dario Nardella, Maria Noichl, Eric Sargiacomo</w:t>
            </w:r>
          </w:p>
        </w:tc>
      </w:tr>
      <w:tr w14:paraId="69ABDAEC" w14:textId="77777777" w:rsidTr="00765195">
        <w:tblPrEx>
          <w:tblW w:w="0" w:type="auto"/>
          <w:tblInd w:w="145" w:type="dxa"/>
          <w:tblLayout w:type="fixed"/>
          <w:tblCellMar>
            <w:left w:w="145" w:type="dxa"/>
            <w:right w:w="145" w:type="dxa"/>
          </w:tblCellMar>
          <w:tblLook w:val="0000"/>
        </w:tblPrEx>
        <w:trPr>
          <w:cantSplit/>
        </w:trPr>
        <w:tc>
          <w:tcPr>
            <w:tcW w:w="1701" w:type="dxa"/>
            <w:shd w:val="clear" w:color="auto" w:fill="FFFFFF"/>
          </w:tcPr>
          <w:p w:rsidR="00AE735B" w:rsidRPr="00BB5DE9" w:rsidP="00765195" w14:paraId="3A5101E9" w14:textId="77777777">
            <w:pPr>
              <w:pStyle w:val="RollCallTable"/>
              <w:rPr>
                <w:lang w:val="it-IT"/>
              </w:rPr>
            </w:pPr>
            <w:r w:rsidRPr="00BB5DE9">
              <w:rPr>
                <w:lang w:val="it-IT"/>
              </w:rPr>
              <w:t>The Left</w:t>
            </w:r>
          </w:p>
        </w:tc>
        <w:tc>
          <w:tcPr>
            <w:tcW w:w="7371" w:type="dxa"/>
            <w:shd w:val="clear" w:color="auto" w:fill="FFFFFF"/>
          </w:tcPr>
          <w:p w:rsidR="00AE735B" w:rsidRPr="00BB5DE9" w:rsidP="00765195" w14:paraId="50C32694" w14:textId="77777777">
            <w:pPr>
              <w:pStyle w:val="RollCallTable"/>
              <w:rPr>
                <w:lang w:val="it-IT"/>
              </w:rPr>
            </w:pPr>
            <w:r w:rsidRPr="00BB5DE9">
              <w:rPr>
                <w:lang w:val="it-IT"/>
              </w:rPr>
              <w:t>Luke Ming Flanagan, Arash Saeidi</w:t>
            </w:r>
          </w:p>
        </w:tc>
      </w:tr>
    </w:tbl>
    <w:p w:rsidR="00AE735B" w:rsidRPr="00BB5DE9" w:rsidP="007C60D8" w14:paraId="00FA83CD" w14:textId="77777777"/>
    <w:tbl>
      <w:tblPr>
        <w:tblW w:w="0" w:type="auto"/>
        <w:tblInd w:w="145" w:type="dxa"/>
        <w:tblBorders>
          <w:top w:val="double" w:sz="2" w:space="0" w:color="000000"/>
          <w:left w:val="double" w:sz="2" w:space="0" w:color="000000"/>
          <w:bottom w:val="double" w:sz="2" w:space="0" w:color="000000"/>
          <w:right w:val="double" w:sz="2" w:space="0" w:color="000000"/>
          <w:insideH w:val="single" w:sz="2" w:space="0" w:color="000000"/>
          <w:insideV w:val="single" w:sz="2" w:space="0" w:color="000000"/>
        </w:tblBorders>
        <w:tblLayout w:type="fixed"/>
        <w:tblCellMar>
          <w:left w:w="145" w:type="dxa"/>
          <w:right w:w="145" w:type="dxa"/>
        </w:tblCellMar>
        <w:tblLook w:val="0000"/>
      </w:tblPr>
      <w:tblGrid>
        <w:gridCol w:w="1701"/>
        <w:gridCol w:w="7371"/>
      </w:tblGrid>
      <w:tr w14:paraId="680AD5F0" w14:textId="77777777" w:rsidTr="00765195">
        <w:tblPrEx>
          <w:tblW w:w="0" w:type="auto"/>
          <w:tblInd w:w="145" w:type="dxa"/>
          <w:tblBorders>
            <w:top w:val="double" w:sz="2" w:space="0" w:color="000000"/>
            <w:left w:val="double" w:sz="2" w:space="0" w:color="000000"/>
            <w:bottom w:val="double" w:sz="2" w:space="0" w:color="000000"/>
            <w:right w:val="double" w:sz="2" w:space="0" w:color="000000"/>
            <w:insideH w:val="single" w:sz="2" w:space="0" w:color="000000"/>
            <w:insideV w:val="single" w:sz="2" w:space="0" w:color="000000"/>
          </w:tblBorders>
          <w:tblLayout w:type="fixed"/>
          <w:tblCellMar>
            <w:left w:w="145" w:type="dxa"/>
            <w:right w:w="145" w:type="dxa"/>
          </w:tblCellMar>
          <w:tblLook w:val="0000"/>
        </w:tblPrEx>
        <w:trPr>
          <w:cantSplit/>
        </w:trPr>
        <w:tc>
          <w:tcPr>
            <w:tcW w:w="1701" w:type="dxa"/>
            <w:shd w:val="pct10" w:color="000000" w:fill="FFFFFF"/>
            <w:vAlign w:val="center"/>
          </w:tcPr>
          <w:p w:rsidR="00AE735B" w:rsidRPr="00BB5DE9" w:rsidP="00765195" w14:paraId="259F10D0" w14:textId="77777777">
            <w:pPr>
              <w:pStyle w:val="RollCallVotes"/>
              <w:rPr>
                <w:lang w:val="it-IT"/>
              </w:rPr>
            </w:pPr>
            <w:r w:rsidRPr="00BB5DE9">
              <w:rPr>
                <w:lang w:val="it-IT"/>
              </w:rPr>
              <w:t>5</w:t>
            </w:r>
          </w:p>
        </w:tc>
        <w:tc>
          <w:tcPr>
            <w:tcW w:w="7371" w:type="dxa"/>
            <w:shd w:val="pct10" w:color="000000" w:fill="FFFFFF"/>
          </w:tcPr>
          <w:p w:rsidR="00AE735B" w:rsidRPr="00BB5DE9" w:rsidP="00765195" w14:paraId="6254BE06" w14:textId="77777777">
            <w:pPr>
              <w:pStyle w:val="RollCallSymbols14pt"/>
              <w:rPr>
                <w:lang w:val="it-IT"/>
              </w:rPr>
            </w:pPr>
            <w:r w:rsidRPr="00BB5DE9">
              <w:rPr>
                <w:lang w:val="it-IT"/>
              </w:rPr>
              <w:t>-</w:t>
            </w:r>
          </w:p>
        </w:tc>
      </w:tr>
      <w:tr w14:paraId="00EB5FD9" w14:textId="77777777" w:rsidTr="00765195">
        <w:tblPrEx>
          <w:tblW w:w="0" w:type="auto"/>
          <w:tblInd w:w="145" w:type="dxa"/>
          <w:tblLayout w:type="fixed"/>
          <w:tblCellMar>
            <w:left w:w="145" w:type="dxa"/>
            <w:right w:w="145" w:type="dxa"/>
          </w:tblCellMar>
          <w:tblLook w:val="0000"/>
        </w:tblPrEx>
        <w:trPr>
          <w:cantSplit/>
        </w:trPr>
        <w:tc>
          <w:tcPr>
            <w:tcW w:w="1701" w:type="dxa"/>
            <w:shd w:val="clear" w:color="auto" w:fill="FFFFFF"/>
          </w:tcPr>
          <w:p w:rsidR="00AE735B" w:rsidRPr="00BB5DE9" w:rsidP="00765195" w14:paraId="02BE53F9" w14:textId="77777777">
            <w:pPr>
              <w:pStyle w:val="RollCallTable"/>
              <w:rPr>
                <w:lang w:val="it-IT"/>
              </w:rPr>
            </w:pPr>
            <w:r w:rsidRPr="00BB5DE9">
              <w:rPr>
                <w:lang w:val="it-IT"/>
              </w:rPr>
              <w:t>ESN</w:t>
            </w:r>
          </w:p>
        </w:tc>
        <w:tc>
          <w:tcPr>
            <w:tcW w:w="7371" w:type="dxa"/>
            <w:shd w:val="clear" w:color="auto" w:fill="FFFFFF"/>
          </w:tcPr>
          <w:p w:rsidR="00AE735B" w:rsidRPr="00BB5DE9" w:rsidP="00765195" w14:paraId="5AA82DA1" w14:textId="77777777">
            <w:pPr>
              <w:pStyle w:val="RollCallTable"/>
              <w:rPr>
                <w:lang w:val="it-IT"/>
              </w:rPr>
            </w:pPr>
            <w:r w:rsidRPr="00BB5DE9">
              <w:rPr>
                <w:lang w:val="it-IT"/>
              </w:rPr>
              <w:t>Arno Bausemer</w:t>
            </w:r>
          </w:p>
        </w:tc>
      </w:tr>
      <w:tr w14:paraId="3754D600" w14:textId="77777777" w:rsidTr="00765195">
        <w:tblPrEx>
          <w:tblW w:w="0" w:type="auto"/>
          <w:tblInd w:w="145" w:type="dxa"/>
          <w:tblLayout w:type="fixed"/>
          <w:tblCellMar>
            <w:left w:w="145" w:type="dxa"/>
            <w:right w:w="145" w:type="dxa"/>
          </w:tblCellMar>
          <w:tblLook w:val="0000"/>
        </w:tblPrEx>
        <w:trPr>
          <w:cantSplit/>
        </w:trPr>
        <w:tc>
          <w:tcPr>
            <w:tcW w:w="1701" w:type="dxa"/>
            <w:shd w:val="clear" w:color="auto" w:fill="FFFFFF"/>
          </w:tcPr>
          <w:p w:rsidR="00AE735B" w:rsidRPr="00BB5DE9" w:rsidP="00765195" w14:paraId="60C8B097" w14:textId="77777777">
            <w:pPr>
              <w:pStyle w:val="RollCallTable"/>
              <w:rPr>
                <w:lang w:val="it-IT"/>
              </w:rPr>
            </w:pPr>
            <w:r w:rsidRPr="00BB5DE9">
              <w:rPr>
                <w:lang w:val="it-IT"/>
              </w:rPr>
              <w:t>Verts/ALE</w:t>
            </w:r>
          </w:p>
        </w:tc>
        <w:tc>
          <w:tcPr>
            <w:tcW w:w="7371" w:type="dxa"/>
            <w:shd w:val="clear" w:color="auto" w:fill="FFFFFF"/>
          </w:tcPr>
          <w:p w:rsidR="00AE735B" w:rsidRPr="00BB5DE9" w:rsidP="00765195" w14:paraId="0E2B89DF" w14:textId="77777777">
            <w:pPr>
              <w:pStyle w:val="RollCallTable"/>
              <w:rPr>
                <w:lang w:val="it-IT"/>
              </w:rPr>
            </w:pPr>
            <w:r w:rsidRPr="00BB5DE9">
              <w:rPr>
                <w:lang w:val="it-IT"/>
              </w:rPr>
              <w:t>Cristina Guarda, Martin Häusling, Nicolae Ștefănuță, Thomas Waitz</w:t>
            </w:r>
          </w:p>
        </w:tc>
      </w:tr>
    </w:tbl>
    <w:p w:rsidR="00AE735B" w:rsidRPr="00BB5DE9" w:rsidP="007C60D8" w14:paraId="4CA29B5C" w14:textId="77777777"/>
    <w:tbl>
      <w:tblPr>
        <w:tblW w:w="0" w:type="auto"/>
        <w:tblInd w:w="145" w:type="dxa"/>
        <w:tblBorders>
          <w:top w:val="double" w:sz="2" w:space="0" w:color="000000"/>
          <w:left w:val="double" w:sz="2" w:space="0" w:color="000000"/>
          <w:bottom w:val="double" w:sz="2" w:space="0" w:color="000000"/>
          <w:right w:val="double" w:sz="2" w:space="0" w:color="000000"/>
          <w:insideH w:val="single" w:sz="2" w:space="0" w:color="000000"/>
          <w:insideV w:val="single" w:sz="2" w:space="0" w:color="000000"/>
        </w:tblBorders>
        <w:tblLayout w:type="fixed"/>
        <w:tblCellMar>
          <w:left w:w="145" w:type="dxa"/>
          <w:right w:w="145" w:type="dxa"/>
        </w:tblCellMar>
        <w:tblLook w:val="0000"/>
      </w:tblPr>
      <w:tblGrid>
        <w:gridCol w:w="1701"/>
        <w:gridCol w:w="7371"/>
      </w:tblGrid>
      <w:tr w14:paraId="3131E455" w14:textId="77777777" w:rsidTr="00765195">
        <w:tblPrEx>
          <w:tblW w:w="0" w:type="auto"/>
          <w:tblInd w:w="145" w:type="dxa"/>
          <w:tblBorders>
            <w:top w:val="double" w:sz="2" w:space="0" w:color="000000"/>
            <w:left w:val="double" w:sz="2" w:space="0" w:color="000000"/>
            <w:bottom w:val="double" w:sz="2" w:space="0" w:color="000000"/>
            <w:right w:val="double" w:sz="2" w:space="0" w:color="000000"/>
            <w:insideH w:val="single" w:sz="2" w:space="0" w:color="000000"/>
            <w:insideV w:val="single" w:sz="2" w:space="0" w:color="000000"/>
          </w:tblBorders>
          <w:tblLayout w:type="fixed"/>
          <w:tblCellMar>
            <w:left w:w="145" w:type="dxa"/>
            <w:right w:w="145" w:type="dxa"/>
          </w:tblCellMar>
          <w:tblLook w:val="0000"/>
        </w:tblPrEx>
        <w:trPr>
          <w:cantSplit/>
        </w:trPr>
        <w:tc>
          <w:tcPr>
            <w:tcW w:w="1701" w:type="dxa"/>
            <w:shd w:val="pct10" w:color="000000" w:fill="FFFFFF"/>
            <w:vAlign w:val="center"/>
          </w:tcPr>
          <w:p w:rsidR="00AE735B" w:rsidRPr="00BB5DE9" w:rsidP="00765195" w14:paraId="152EFEB4" w14:textId="77777777">
            <w:pPr>
              <w:pStyle w:val="RollCallVotes"/>
              <w:rPr>
                <w:lang w:val="it-IT"/>
              </w:rPr>
            </w:pPr>
            <w:r w:rsidRPr="00BB5DE9">
              <w:rPr>
                <w:lang w:val="it-IT"/>
              </w:rPr>
              <w:t>10</w:t>
            </w:r>
          </w:p>
        </w:tc>
        <w:tc>
          <w:tcPr>
            <w:tcW w:w="7371" w:type="dxa"/>
            <w:shd w:val="pct10" w:color="000000" w:fill="FFFFFF"/>
          </w:tcPr>
          <w:p w:rsidR="00AE735B" w:rsidRPr="00BB5DE9" w:rsidP="00765195" w14:paraId="46EDF08B" w14:textId="77777777">
            <w:pPr>
              <w:pStyle w:val="RollCallSymbols14pt"/>
              <w:rPr>
                <w:lang w:val="it-IT"/>
              </w:rPr>
            </w:pPr>
            <w:r w:rsidRPr="00BB5DE9">
              <w:rPr>
                <w:lang w:val="it-IT"/>
              </w:rPr>
              <w:t>0</w:t>
            </w:r>
          </w:p>
        </w:tc>
      </w:tr>
      <w:tr w14:paraId="1294D381" w14:textId="77777777" w:rsidTr="00765195">
        <w:tblPrEx>
          <w:tblW w:w="0" w:type="auto"/>
          <w:tblInd w:w="145" w:type="dxa"/>
          <w:tblLayout w:type="fixed"/>
          <w:tblCellMar>
            <w:left w:w="145" w:type="dxa"/>
            <w:right w:w="145" w:type="dxa"/>
          </w:tblCellMar>
          <w:tblLook w:val="0000"/>
        </w:tblPrEx>
        <w:trPr>
          <w:cantSplit/>
        </w:trPr>
        <w:tc>
          <w:tcPr>
            <w:tcW w:w="1701" w:type="dxa"/>
            <w:shd w:val="clear" w:color="auto" w:fill="FFFFFF"/>
          </w:tcPr>
          <w:p w:rsidR="00AE735B" w:rsidRPr="00BB5DE9" w:rsidP="00765195" w14:paraId="62115091" w14:textId="77777777">
            <w:pPr>
              <w:pStyle w:val="RollCallTable"/>
              <w:rPr>
                <w:lang w:val="it-IT"/>
              </w:rPr>
            </w:pPr>
            <w:r w:rsidRPr="00BB5DE9">
              <w:rPr>
                <w:lang w:val="it-IT"/>
              </w:rPr>
              <w:t>ECR</w:t>
            </w:r>
          </w:p>
        </w:tc>
        <w:tc>
          <w:tcPr>
            <w:tcW w:w="7371" w:type="dxa"/>
            <w:shd w:val="clear" w:color="auto" w:fill="FFFFFF"/>
          </w:tcPr>
          <w:p w:rsidR="00AE735B" w:rsidRPr="00BB5DE9" w:rsidP="00765195" w14:paraId="4D4CB3A6" w14:textId="77777777">
            <w:pPr>
              <w:pStyle w:val="RollCallTable"/>
              <w:rPr>
                <w:lang w:val="it-IT"/>
              </w:rPr>
            </w:pPr>
            <w:r w:rsidRPr="00BB5DE9">
              <w:rPr>
                <w:lang w:val="it-IT"/>
              </w:rPr>
              <w:t>Carlo Fidanza, Bert-Jan Ruissen, Claudiu-Richard Târziu, Jessika van Leeuwen, Veronika Vrecionová</w:t>
            </w:r>
          </w:p>
        </w:tc>
      </w:tr>
      <w:tr w14:paraId="7F81AB26" w14:textId="77777777" w:rsidTr="00765195">
        <w:tblPrEx>
          <w:tblW w:w="0" w:type="auto"/>
          <w:tblInd w:w="145" w:type="dxa"/>
          <w:tblLayout w:type="fixed"/>
          <w:tblCellMar>
            <w:left w:w="145" w:type="dxa"/>
            <w:right w:w="145" w:type="dxa"/>
          </w:tblCellMar>
          <w:tblLook w:val="0000"/>
        </w:tblPrEx>
        <w:trPr>
          <w:cantSplit/>
        </w:trPr>
        <w:tc>
          <w:tcPr>
            <w:tcW w:w="1701" w:type="dxa"/>
            <w:shd w:val="clear" w:color="auto" w:fill="FFFFFF"/>
          </w:tcPr>
          <w:p w:rsidR="00AE735B" w:rsidRPr="00BB5DE9" w:rsidP="00765195" w14:paraId="7282BA6D" w14:textId="77777777">
            <w:pPr>
              <w:pStyle w:val="RollCallTable"/>
              <w:rPr>
                <w:lang w:val="it-IT"/>
              </w:rPr>
            </w:pPr>
            <w:r w:rsidRPr="00BB5DE9">
              <w:rPr>
                <w:lang w:val="it-IT"/>
              </w:rPr>
              <w:t>PfE</w:t>
            </w:r>
          </w:p>
        </w:tc>
        <w:tc>
          <w:tcPr>
            <w:tcW w:w="7371" w:type="dxa"/>
            <w:shd w:val="clear" w:color="auto" w:fill="FFFFFF"/>
          </w:tcPr>
          <w:p w:rsidR="00AE735B" w:rsidRPr="00BB5DE9" w:rsidP="00765195" w14:paraId="1C36DB24" w14:textId="77777777">
            <w:pPr>
              <w:pStyle w:val="RollCallTable"/>
              <w:rPr>
                <w:lang w:val="it-IT"/>
              </w:rPr>
            </w:pPr>
            <w:r w:rsidRPr="00BB5DE9">
              <w:rPr>
                <w:lang w:val="it-IT"/>
              </w:rPr>
              <w:t>Mireia Borrás Pabón, Marie-Luce Brasier-Clain, Csaba Dömötör, Tomáš Kubín, Gilles Pennelle</w:t>
            </w:r>
          </w:p>
        </w:tc>
      </w:tr>
    </w:tbl>
    <w:p w:rsidR="00AE735B" w:rsidRPr="00BB5DE9" w:rsidP="007C60D8" w14:paraId="2C8FBE0D" w14:textId="77777777">
      <w:pPr>
        <w:pStyle w:val="Normal12a"/>
        <w:rPr>
          <w:lang w:val="it-IT"/>
        </w:rPr>
      </w:pPr>
    </w:p>
    <w:p w:rsidR="00AE735B" w:rsidRPr="00BB5DE9" w:rsidP="007C60D8" w14:paraId="217ACC45" w14:textId="77777777">
      <w:r w:rsidRPr="00BB5DE9">
        <w:t>Significato dei simboli utilizzati:</w:t>
      </w:r>
    </w:p>
    <w:p w:rsidR="00AE735B" w:rsidRPr="00BB5DE9" w:rsidP="007C60D8" w14:paraId="7EFB3AD8" w14:textId="77777777">
      <w:pPr>
        <w:pStyle w:val="RollCallTabs"/>
        <w:rPr>
          <w:lang w:val="it-IT"/>
        </w:rPr>
      </w:pPr>
      <w:r w:rsidRPr="00BB5DE9">
        <w:rPr>
          <w:lang w:val="it-IT"/>
        </w:rPr>
        <w:t>+</w:t>
      </w:r>
      <w:r w:rsidRPr="00BB5DE9">
        <w:rPr>
          <w:lang w:val="it-IT"/>
        </w:rPr>
        <w:tab/>
        <w:t>:</w:t>
      </w:r>
      <w:r w:rsidRPr="00BB5DE9">
        <w:rPr>
          <w:lang w:val="it-IT"/>
        </w:rPr>
        <w:tab/>
        <w:t>favorevoli</w:t>
      </w:r>
    </w:p>
    <w:p w:rsidR="00AE735B" w:rsidRPr="00BB5DE9" w:rsidP="007C60D8" w14:paraId="070D7120" w14:textId="77777777">
      <w:pPr>
        <w:pStyle w:val="RollCallTabs"/>
        <w:rPr>
          <w:lang w:val="it-IT"/>
        </w:rPr>
      </w:pPr>
      <w:r w:rsidRPr="00BB5DE9">
        <w:rPr>
          <w:lang w:val="it-IT"/>
        </w:rPr>
        <w:t>-</w:t>
      </w:r>
      <w:r w:rsidRPr="00BB5DE9">
        <w:rPr>
          <w:lang w:val="it-IT"/>
        </w:rPr>
        <w:tab/>
        <w:t>:</w:t>
      </w:r>
      <w:r w:rsidRPr="00BB5DE9">
        <w:rPr>
          <w:lang w:val="it-IT"/>
        </w:rPr>
        <w:tab/>
        <w:t>contrari</w:t>
      </w:r>
    </w:p>
    <w:p w:rsidR="00AE735B" w:rsidRPr="00BB5DE9" w:rsidP="007C60D8" w14:paraId="29B98775" w14:textId="77777777">
      <w:pPr>
        <w:pStyle w:val="RollCallTabs"/>
        <w:rPr>
          <w:lang w:val="it-IT"/>
        </w:rPr>
      </w:pPr>
      <w:r w:rsidRPr="00BB5DE9">
        <w:rPr>
          <w:lang w:val="it-IT"/>
        </w:rPr>
        <w:t>0</w:t>
      </w:r>
      <w:r w:rsidRPr="00BB5DE9">
        <w:rPr>
          <w:lang w:val="it-IT"/>
        </w:rPr>
        <w:tab/>
        <w:t>:</w:t>
      </w:r>
      <w:r w:rsidRPr="00BB5DE9">
        <w:rPr>
          <w:lang w:val="it-IT"/>
        </w:rPr>
        <w:tab/>
        <w:t>astenuti</w:t>
      </w:r>
    </w:p>
    <w:p w:rsidR="00AE735B" w:rsidRPr="00BB5DE9" w:rsidP="007C60D8" w14:paraId="4D8E5B23" w14:textId="77777777"/>
    <w:p w:rsidR="00AE735B" w:rsidRPr="00BB5DE9" w:rsidP="007C60D8" w14:paraId="694B1A11" w14:textId="77777777">
      <w:pPr>
        <w:pStyle w:val="CoverReference"/>
      </w:pPr>
    </w:p>
    <w:p w:rsidR="00AE735B" w:rsidRPr="00BB5DE9" w:rsidP="00AE735B" w14:paraId="225A59EF" w14:textId="77777777">
      <w:pPr>
        <w:rPr>
          <w:snapToGrid/>
          <w:lang w:eastAsia="en-GB"/>
        </w:rPr>
        <w:sectPr w:rsidSect="00AE735B">
          <w:footnotePr>
            <w:numRestart w:val="eachSect"/>
          </w:footnotePr>
          <w:endnotePr>
            <w:numFmt w:val="decimal"/>
          </w:endnotePr>
          <w:pgSz w:w="11906" w:h="16838" w:code="9"/>
          <w:pgMar w:top="1134" w:right="1418" w:bottom="1134" w:left="1418" w:header="1134" w:footer="567" w:gutter="0"/>
          <w:cols w:space="720"/>
          <w:noEndnote/>
          <w:docGrid w:linePitch="326"/>
        </w:sectPr>
      </w:pPr>
    </w:p>
    <w:p w:rsidR="00AE735B" w:rsidRPr="00BB5DE9" w:rsidP="00AE735B" w14:paraId="48898C95" w14:textId="77777777">
      <w:pPr>
        <w:pStyle w:val="Normal24a"/>
        <w:rPr>
          <w:lang w:val="it-IT"/>
        </w:rPr>
      </w:pPr>
      <w:r w:rsidRPr="00BB5DE9">
        <w:rPr>
          <w:rStyle w:val="HideTWBExt"/>
          <w:lang w:val="it-IT"/>
        </w:rPr>
        <w:t>&lt;Date&gt;</w:t>
      </w:r>
      <w:r w:rsidRPr="00BB5DE9">
        <w:rPr>
          <w:rStyle w:val="HideTWBInt"/>
          <w:lang w:val="it-IT"/>
        </w:rPr>
        <w:t>{02/09/2026}</w:t>
      </w:r>
      <w:r w:rsidRPr="00BB5DE9">
        <w:rPr>
          <w:lang w:val="it-IT"/>
        </w:rPr>
        <w:t>2.9.2026</w:t>
      </w:r>
      <w:r w:rsidRPr="00BB5DE9">
        <w:rPr>
          <w:rStyle w:val="HideTWBExt"/>
          <w:lang w:val="it-IT"/>
        </w:rPr>
        <w:t>&lt;/Date&gt;</w:t>
      </w:r>
    </w:p>
    <w:p w:rsidR="00AE735B" w:rsidRPr="00BB5DE9" w:rsidP="00AE735B" w14:paraId="24A059A8" w14:textId="4E041B94">
      <w:pPr>
        <w:pStyle w:val="PageHeading"/>
      </w:pPr>
      <w:r w:rsidRPr="00BB5DE9">
        <w:rPr>
          <w:rStyle w:val="HideTWBExt"/>
          <w:b w:val="0"/>
        </w:rPr>
        <w:t>&lt;CommissionResp&gt;</w:t>
      </w:r>
      <w:bookmarkStart w:id="27" w:name="OpinionToc_9"/>
      <w:bookmarkStart w:id="28" w:name="_Toc243036426"/>
      <w:r w:rsidRPr="00BB5DE9">
        <w:t>PARERE DELLA COMMISSIONE PER LA PESCA</w:t>
      </w:r>
      <w:bookmarkEnd w:id="27"/>
      <w:bookmarkEnd w:id="28"/>
      <w:r w:rsidRPr="00BB5DE9">
        <w:rPr>
          <w:rStyle w:val="HideTWBExt"/>
          <w:b w:val="0"/>
        </w:rPr>
        <w:t>&lt;/CommissionResp&gt;</w:t>
      </w:r>
    </w:p>
    <w:p w:rsidR="00AE735B" w:rsidRPr="00BB5DE9" w:rsidP="00AE735B" w14:paraId="369C3894" w14:textId="77777777">
      <w:pPr>
        <w:pStyle w:val="Normal12a"/>
        <w:rPr>
          <w:lang w:val="it-IT"/>
        </w:rPr>
      </w:pPr>
      <w:r w:rsidRPr="00BB5DE9">
        <w:rPr>
          <w:rStyle w:val="HideTWBExt"/>
          <w:lang w:val="it-IT"/>
        </w:rPr>
        <w:t>&lt;CommissionInt&gt;</w:t>
      </w:r>
      <w:r w:rsidRPr="00BB5DE9">
        <w:rPr>
          <w:lang w:val="it-IT"/>
        </w:rPr>
        <w:t>destinato alla commissione per i bilanci</w:t>
      </w:r>
      <w:r w:rsidRPr="00BB5DE9">
        <w:rPr>
          <w:rStyle w:val="HideTWBExt"/>
          <w:lang w:val="it-IT"/>
        </w:rPr>
        <w:t>&lt;/CommissionInt&gt;</w:t>
      </w:r>
    </w:p>
    <w:p w:rsidR="00AE735B" w:rsidRPr="00BB5DE9" w:rsidP="00AE735B" w14:paraId="22336899" w14:textId="77777777">
      <w:r w:rsidRPr="00BB5DE9">
        <w:rPr>
          <w:rStyle w:val="HideTWBExt"/>
        </w:rPr>
        <w:t>&lt;Titre&gt;</w:t>
      </w:r>
      <w:r w:rsidRPr="00BB5DE9">
        <w:t>sul bilancio generale dell'Unione europea per l'esercizio 2027 – Tutte le sezioni</w:t>
      </w:r>
      <w:r w:rsidRPr="00BB5DE9">
        <w:rPr>
          <w:rStyle w:val="HideTWBExt"/>
        </w:rPr>
        <w:t>&lt;/Titre&gt;</w:t>
      </w:r>
    </w:p>
    <w:p w:rsidR="00AE735B" w:rsidRPr="00BB5DE9" w:rsidP="00AE735B" w14:paraId="29407F77" w14:textId="77777777">
      <w:pPr>
        <w:pStyle w:val="Normal12a"/>
        <w:rPr>
          <w:lang w:val="it-IT"/>
        </w:rPr>
      </w:pPr>
      <w:r w:rsidRPr="00BB5DE9">
        <w:rPr>
          <w:rStyle w:val="HideTWBExt"/>
          <w:lang w:val="it-IT"/>
        </w:rPr>
        <w:t>&lt;DocRef&gt;</w:t>
      </w:r>
      <w:r w:rsidRPr="00BB5DE9">
        <w:rPr>
          <w:lang w:val="it-IT"/>
        </w:rPr>
        <w:t>(2026/0196(BUD))</w:t>
      </w:r>
      <w:r w:rsidRPr="00BB5DE9">
        <w:rPr>
          <w:rStyle w:val="HideTWBExt"/>
          <w:lang w:val="it-IT"/>
        </w:rPr>
        <w:t>&lt;/DocRef&gt;</w:t>
      </w:r>
    </w:p>
    <w:p w:rsidR="00AE735B" w:rsidRPr="00BB5DE9" w:rsidP="00AE735B" w14:paraId="2A66AF74" w14:textId="77777777">
      <w:pPr>
        <w:pStyle w:val="Normal24a"/>
        <w:rPr>
          <w:lang w:val="it-IT"/>
        </w:rPr>
      </w:pPr>
      <w:r w:rsidRPr="00BB5DE9">
        <w:rPr>
          <w:lang w:val="it-IT"/>
        </w:rPr>
        <w:t xml:space="preserve">Relatore per parere: </w:t>
      </w:r>
      <w:r w:rsidRPr="00BB5DE9">
        <w:rPr>
          <w:rStyle w:val="HideTWBExt"/>
          <w:lang w:val="it-IT"/>
        </w:rPr>
        <w:t>&lt;Depute&gt;</w:t>
      </w:r>
      <w:r w:rsidRPr="00BB5DE9">
        <w:rPr>
          <w:lang w:val="it-IT"/>
        </w:rPr>
        <w:t>Giuseppe Lupo</w:t>
      </w:r>
      <w:r w:rsidRPr="00BB5DE9">
        <w:rPr>
          <w:rStyle w:val="HideTWBExt"/>
          <w:lang w:val="it-IT"/>
        </w:rPr>
        <w:t>&lt;/Depute&gt;</w:t>
      </w:r>
    </w:p>
    <w:p w:rsidR="00AE735B" w:rsidRPr="00BB5DE9" w:rsidP="007A2508" w14:paraId="4065C9F6" w14:textId="53CD51CB">
      <w:pPr>
        <w:widowControl/>
        <w:tabs>
          <w:tab w:val="center" w:pos="4677"/>
        </w:tabs>
      </w:pPr>
    </w:p>
    <w:p w:rsidR="00AE735B" w:rsidRPr="00BB5DE9" w:rsidP="007A2508" w14:paraId="1C01AD86" w14:textId="34B94C5A">
      <w:pPr>
        <w:pStyle w:val="PageHeadingNotTOC"/>
      </w:pPr>
      <w:r w:rsidRPr="00BB5DE9">
        <w:t>PARERE</w:t>
      </w:r>
    </w:p>
    <w:p w:rsidR="00AE735B" w:rsidRPr="00BB5DE9" w:rsidP="000C01FF" w14:paraId="076AA847" w14:textId="77777777">
      <w:pPr>
        <w:pStyle w:val="Normal12a"/>
        <w:rPr>
          <w:lang w:val="it-IT"/>
        </w:rPr>
      </w:pPr>
      <w:r w:rsidRPr="00BB5DE9">
        <w:rPr>
          <w:lang w:val="it-IT"/>
        </w:rPr>
        <w:t>La commissione per la pesca invita la commissione per i bilanci, competente per il merito, a includere nella proposta di risoluzione che approverà quanto segue:</w:t>
      </w:r>
    </w:p>
    <w:p w:rsidR="00AE735B" w:rsidRPr="00BB5DE9" w:rsidP="000C01FF" w14:paraId="21C660EB" w14:textId="77777777">
      <w:pPr>
        <w:pStyle w:val="CompromiseParagraph"/>
        <w:tabs>
          <w:tab w:val="clear" w:pos="482"/>
          <w:tab w:val="left" w:pos="709"/>
        </w:tabs>
        <w:ind w:left="567" w:hanging="567"/>
        <w:jc w:val="left"/>
        <w:rPr>
          <w:rFonts w:eastAsia="Times New Roman" w:cs="Times New Roman"/>
          <w:sz w:val="24"/>
          <w:szCs w:val="24"/>
        </w:rPr>
      </w:pPr>
      <w:r w:rsidRPr="00BB5DE9">
        <w:rPr>
          <w:sz w:val="24"/>
        </w:rPr>
        <w:t>1.</w:t>
      </w:r>
      <w:r w:rsidRPr="00BB5DE9">
        <w:rPr>
          <w:sz w:val="24"/>
        </w:rPr>
        <w:tab/>
        <w:t>ricorda il ruolo strategico della politica comune della pesca (PCP) e l'importanza economica, sociale e ambientale che la pesca, l'acquacoltura, la trasformazione e gli affari marittimi rivestono nel garantire la sicurezza alimentare, una sovranità alimentare strategica, ecosistemi marini sani e resilienti, nonché un'economia blu competitiva, sostenibile, resiliente ed equa; ricorda che l'autosufficienza dell'Unione in termini di prodotti alimentari di origine acquatica è tuttora limitata e che settori della pesca, dell'acquacoltura e della trasformazione forti e sostenibili sono essenziali per la sicurezza alimentare e l'autonomia strategica dell'Unione; pone l'accento sull'importanza dei prodotti alimentari di origine acquatica in un regime alimentare sano, poiché sono ricchi di proteine e rappresentano una delle fonti proteiche animali più sostenibili, con una bassa impronta di carbonio, in funzione del metodo di pesca o di produzione;</w:t>
      </w:r>
    </w:p>
    <w:p w:rsidR="00AE735B" w:rsidRPr="00BB5DE9" w:rsidP="000C01FF" w14:paraId="5280E8E4" w14:textId="77777777">
      <w:pPr>
        <w:pStyle w:val="CompromiseParagraph"/>
        <w:tabs>
          <w:tab w:val="clear" w:pos="482"/>
          <w:tab w:val="left" w:pos="709"/>
        </w:tabs>
        <w:ind w:left="567" w:hanging="567"/>
        <w:jc w:val="left"/>
        <w:rPr>
          <w:sz w:val="24"/>
          <w:szCs w:val="24"/>
        </w:rPr>
      </w:pPr>
      <w:r w:rsidRPr="00BB5DE9">
        <w:rPr>
          <w:sz w:val="24"/>
        </w:rPr>
        <w:t>2.</w:t>
      </w:r>
      <w:r w:rsidRPr="00BB5DE9">
        <w:rPr>
          <w:sz w:val="24"/>
        </w:rPr>
        <w:tab/>
        <w:t xml:space="preserve">ricorda che i settori della pesca, dell'acquacoltura e della trasformazione sono pilastri fondamentali del tessuto economico, sociale e culturale delle comunità costiere, insulari e ultraperiferiche dell'Unione e che il Fondo europeo per gli affari marittimi, la pesca e l'acquacoltura (FEAMPA) rimane un programma di finanziamento essenziale per i pescatori, i produttori del settore dell'acquacoltura, il settore della trasformazione nonché per la coesione di tali comunità; pone l'accento sul ruolo fondamentale svolto dalla pesca e dall'acquacoltura nel rafforzamento della competitività e della resilienza dell'Unione, in quanto tali settori garantiscono la sicurezza alimentare, promuovono l'innovazione, contribuiscono alla creazione di posti di lavoro di qualità e rafforzano la resilienza delle comunità costiere, insulari e ultraperiferiche; sottolinea che i pertinenti finanziamenti dell'Unione per il 2027 dovrebbero sostenere gli investimenti, promuovere l'innovazione, anche per quanto riguarda gli attrezzi e i metodi di pesca, semplificare le procedure, contribuire alla decarbonizzazione e alla modernizzazione </w:t>
      </w:r>
      <w:r w:rsidRPr="00BB5DE9">
        <w:rPr>
          <w:sz w:val="24"/>
        </w:rPr>
        <w:t>della flotta peschereccia dell'Unione, garantendo nel contempo un controllo e un monitoraggio efficaci affinché i fondi raggiungano i beneficiari previsti;</w:t>
      </w:r>
    </w:p>
    <w:p w:rsidR="00AE735B" w:rsidRPr="00BB5DE9" w:rsidP="000C01FF" w14:paraId="367364A5" w14:textId="77777777">
      <w:pPr>
        <w:pStyle w:val="CompromiseParagraph"/>
        <w:tabs>
          <w:tab w:val="clear" w:pos="482"/>
          <w:tab w:val="left" w:pos="567"/>
          <w:tab w:val="left" w:pos="709"/>
        </w:tabs>
        <w:ind w:left="567" w:hanging="567"/>
        <w:jc w:val="left"/>
        <w:rPr>
          <w:sz w:val="24"/>
          <w:szCs w:val="24"/>
        </w:rPr>
      </w:pPr>
      <w:r w:rsidRPr="00BB5DE9">
        <w:rPr>
          <w:sz w:val="24"/>
        </w:rPr>
        <w:t>3.</w:t>
      </w:r>
      <w:r w:rsidRPr="00BB5DE9">
        <w:rPr>
          <w:sz w:val="24"/>
        </w:rPr>
        <w:tab/>
        <w:t>osserva che, secondo le stime della Commissione per il 2027, le principali linee di bilancio relative alla pesca, vale a dire il FEAMPA, gli accordi di partenariato per una pesca sostenibile, le organizzazioni regionali di gestione della pesca e l'Agenzia europea di controllo della pesca (EFCA), ammontano a circa 1,016 miliardi di EUR in stanziamenti d'impegno, il che rappresenta un aumento di circa il 2,1 % rispetto al 2026, e a 1,222 miliardi di EUR in stanziamenti di pagamento, cifra che rappresenta un aumento di circa il 10,7 % rispetto al 2026; sottolinea che tali importi devono sostenere la competitività e la resilienza, come anche le esigenze dei settori della pesca e dell'acquacoltura, compresi la raccolta dei dati, il controllo, la governance internazionale degli oceani, la decarbonizzazione, la biodiversità, la promozione di prodotti alimentari di origine acquatica sostenibili, l'innovazione degli attrezzi da pesca, la modernizzazione delle flotte e il ricambio generazionale, nonché le comunità costiere; evidenzia che gli stanziamenti devono essere eseguiti pienamente e rapidamente, alla luce della persistente sottoesecuzione del FEAMPA, e che occorre prestare particolare attenzione alle regioni, alle comunità e ai segmenti di flotta nei bacini marittimi che subiscono le maggiori pressioni strutturali e socioeconomiche; sottolinea che i pescatori, i produttori del settore dell'acquacoltura e le loro organizzazioni rappresentative dovrebbero essere regolarmente consultati, mediante un dialogo strutturato, in sede di definizione e valutazione di tali priorità di bilancio;</w:t>
      </w:r>
    </w:p>
    <w:p w:rsidR="00AE735B" w:rsidRPr="00BB5DE9" w:rsidP="000C01FF" w14:paraId="03E8E46A" w14:textId="77777777">
      <w:pPr>
        <w:pStyle w:val="CompromiseParagraph"/>
        <w:tabs>
          <w:tab w:val="clear" w:pos="482"/>
          <w:tab w:val="left" w:pos="567"/>
          <w:tab w:val="left" w:pos="709"/>
        </w:tabs>
        <w:ind w:left="567" w:hanging="567"/>
        <w:jc w:val="left"/>
        <w:rPr>
          <w:sz w:val="24"/>
          <w:szCs w:val="24"/>
        </w:rPr>
      </w:pPr>
      <w:r w:rsidRPr="00BB5DE9">
        <w:rPr>
          <w:sz w:val="24"/>
        </w:rPr>
        <w:t>4.</w:t>
      </w:r>
      <w:r w:rsidRPr="00BB5DE9">
        <w:rPr>
          <w:sz w:val="24"/>
        </w:rPr>
        <w:tab/>
        <w:t>pone l'accento sul fatto che le pressioni inflazionistiche costanti e l'aumento dei prezzi del carburante, dei costi di manutenzione e di altri costi operativi stanno notevolmente riducendo la sostenibilità e la competitività delle imprese del settore della pesca e dell'acquacoltura; chiede stanziamenti sufficienti per il 2027 destinati a misure di sostegno mirate e una compensazione adeguata, nell'ambito del quadro giuridico applicabile, per far fronte agli aumenti eccezionali dei costi di produzione;</w:t>
      </w:r>
    </w:p>
    <w:p w:rsidR="00AE735B" w:rsidRPr="00BB5DE9" w:rsidP="000C01FF" w14:paraId="188F5B27" w14:textId="77777777">
      <w:pPr>
        <w:pStyle w:val="CompromiseParagraph"/>
        <w:tabs>
          <w:tab w:val="clear" w:pos="482"/>
          <w:tab w:val="left" w:pos="567"/>
          <w:tab w:val="left" w:pos="709"/>
        </w:tabs>
        <w:ind w:left="567" w:hanging="567"/>
        <w:jc w:val="left"/>
        <w:rPr>
          <w:sz w:val="24"/>
          <w:szCs w:val="24"/>
        </w:rPr>
      </w:pPr>
      <w:r w:rsidRPr="00BB5DE9">
        <w:rPr>
          <w:sz w:val="24"/>
        </w:rPr>
        <w:t>5.</w:t>
      </w:r>
      <w:r w:rsidRPr="00BB5DE9">
        <w:rPr>
          <w:sz w:val="24"/>
        </w:rPr>
        <w:tab/>
        <w:t>invita la Commissione a semplificare, razionalizzare e agevolare l'accesso al FEAMPA e agli altri strumenti di finanziamento relativi agli oceani, in particolare per le PMI, i pescatori su piccola scala, i produttori del settore dell'acquacoltura e le organizzazioni di produttori; sottolinea che la semplificazione deve ridurre gli oneri amministrativi superflui, mantenendo nel contempo controlli efficaci ed equilibrati e garanzie in materia di ammissibilità, nonché sostenendo gli obiettivi della PCP;</w:t>
      </w:r>
    </w:p>
    <w:p w:rsidR="00AE735B" w:rsidRPr="00BB5DE9" w:rsidP="000C01FF" w14:paraId="4EA893D3" w14:textId="77777777">
      <w:pPr>
        <w:pStyle w:val="CompromiseParagraph"/>
        <w:tabs>
          <w:tab w:val="clear" w:pos="482"/>
          <w:tab w:val="left" w:pos="567"/>
          <w:tab w:val="left" w:pos="709"/>
        </w:tabs>
        <w:ind w:left="567" w:hanging="567"/>
        <w:jc w:val="left"/>
        <w:rPr>
          <w:sz w:val="24"/>
          <w:szCs w:val="24"/>
        </w:rPr>
      </w:pPr>
      <w:r w:rsidRPr="00BB5DE9">
        <w:rPr>
          <w:sz w:val="24"/>
        </w:rPr>
        <w:t>6.</w:t>
      </w:r>
      <w:r w:rsidRPr="00BB5DE9">
        <w:rPr>
          <w:sz w:val="24"/>
        </w:rPr>
        <w:tab/>
        <w:t xml:space="preserve">sottolinea che, poiché l'attuale periodo di programmazione entra nella fase finale di attuazione del FEAMPA nell'ambito dell'attuale quadro finanziario pluriennale (QFP), la flessibilità disponibile dovrebbe essere utilizzata per consentire la piena attuazione, l'assorbimento e l'uso efficace dei fondi disponibili; invita la Commissione e gli Stati membri a garantirne la tempestiva attuazione e a eliminare gli ostacoli amministrativi superflui affinché i finanziamenti raggiungano gli operatori del settore della pesca e dell'acquacoltura, ad esempio mediante la semplificazione dei requisiti in materia di domanda e comunicazione, procedure di approvazione e di pagamento più rapide e un prefinanziamento adeguato; chiede che la flessibilità disponibile sia utilizzata per le </w:t>
      </w:r>
      <w:r w:rsidRPr="00BB5DE9">
        <w:rPr>
          <w:sz w:val="24"/>
        </w:rPr>
        <w:t>regioni e le comunità che si trovano ad affrontare una crisi grave e prolungata dei rispettivi settori della pesca e dell'acquacoltura; sottolinea che qualsiasi proroga dei termini di attuazione non dovrebbe andare a scapito degli stanziamenti di bilancio destinati alla pesca e all'acquacoltura nell'ambito del prossimo QFP;</w:t>
      </w:r>
    </w:p>
    <w:p w:rsidR="00AE735B" w:rsidRPr="00BB5DE9" w:rsidP="000C01FF" w14:paraId="343BE962" w14:textId="77777777">
      <w:pPr>
        <w:pStyle w:val="CompromiseParagraph"/>
        <w:tabs>
          <w:tab w:val="clear" w:pos="482"/>
          <w:tab w:val="left" w:pos="567"/>
          <w:tab w:val="left" w:pos="709"/>
        </w:tabs>
        <w:ind w:left="567" w:hanging="567"/>
        <w:jc w:val="left"/>
        <w:rPr>
          <w:sz w:val="24"/>
          <w:szCs w:val="24"/>
        </w:rPr>
      </w:pPr>
      <w:r w:rsidRPr="00BB5DE9">
        <w:rPr>
          <w:sz w:val="24"/>
        </w:rPr>
        <w:t>7.</w:t>
      </w:r>
      <w:r w:rsidRPr="00BB5DE9">
        <w:rPr>
          <w:sz w:val="24"/>
        </w:rPr>
        <w:tab/>
        <w:t>accoglie con favore il patto europeo per gli oceani, la proposta di atto legislativo sugli oceani che sarà presentata dalla Commissione nonché le recenti comunicazioni sulle isole e le comunità costiere, ricordando l'importanza che la competitività, la redditività e la sostenibilità dei settori della pesca e dell'acquacoltura rivestono per le economie costiere e la salute degli oceani, nonché le sfide specifiche cui devono far fronte le isole e le comunità costiere, tra cui l'aumento dei costi, i divari in termini di accessibilità, la vulnerabilità climatica e la pressione demografica; evidenzia che le iniziative e le strategie relative agli oceani devono essere sostenute da finanziamenti pubblici specifici e sufficienti nonché da incentivi agli investimenti, devono coinvolgere i pescatori, i produttori del settore dell'acquacoltura, le comunità costiere e gli organismi scientifici, in particolare il Consiglio internazionale per l'esplorazione del mare (CIEM), il Comitato scientifico, tecnico ed economico per la pesca (CSTEP) e gli istituti nazionali di ricerca marina, e dovranno essere accompagnate da strumenti concreti nel prossimo QFP che prevedano il pieno coinvolgimento degli enti locali; insiste affinché nel QFP post-2027 sia mantenuto un fondo specifico per la pesca e l'acquacoltura, con una linea di bilancio separata e chiaramente identificabile e una propria dotazione, al fine di preservare la visibilità, la prevedibilità e l'accessibilità dei finanziamenti dell'Unione per tali settori, e chiede che le sue risorse siano notevolmente aumentate, tenendo conto delle esigenze specifiche delle flotte artigianali in tutta l'Unione; chiede, nell'ambito delle pertinenti linee di bilancio per il 2027, un sostegno adeguato alla cooperazione atlantica in materia di connettività, economia blu sostenibile, resilienza, cooperazione internazionale e governance sostenibile degli oceani;</w:t>
      </w:r>
    </w:p>
    <w:p w:rsidR="00AE735B" w:rsidRPr="00BB5DE9" w:rsidP="000C01FF" w14:paraId="7975255F" w14:textId="77777777">
      <w:pPr>
        <w:pStyle w:val="CompromiseParagraph"/>
        <w:tabs>
          <w:tab w:val="clear" w:pos="482"/>
          <w:tab w:val="left" w:pos="567"/>
          <w:tab w:val="left" w:pos="709"/>
        </w:tabs>
        <w:ind w:left="567" w:hanging="567"/>
        <w:jc w:val="left"/>
        <w:rPr>
          <w:sz w:val="24"/>
          <w:szCs w:val="24"/>
        </w:rPr>
      </w:pPr>
      <w:r w:rsidRPr="00BB5DE9">
        <w:rPr>
          <w:sz w:val="24"/>
        </w:rPr>
        <w:t>8.</w:t>
      </w:r>
      <w:r w:rsidRPr="00BB5DE9">
        <w:rPr>
          <w:sz w:val="24"/>
        </w:rPr>
        <w:tab/>
        <w:t>sottolinea l'importanza di disporre di dati scientifici oggettivi, compresi i dati sociali, ambientali ed economici sull'ambiente marino e i dati relativi agli impatti socioeconomici sulle regioni costiere, insulari e ultraperiferiche, allo scopo di rafforzare una gestione della pesca sostenibile, efficiente sotto il profilo delle risorse e basata sugli ecosistemi; chiede maggiore sostegno da parte dell'Unione e degli Stati membri alle istituzioni scientifiche nella raccolta, nel monitoraggio e nell'analisi dei dati, in particolare nei bacini marittimi soggetti a gravi pressioni ambientali, affinché i pareri scientifici e le valutazioni degli stock possano tenere maggiormente conto del degrado ambientale e delle interazioni multispecie, compresa la predazione, garantendo nel contempo che i relativi requisiti tecnici e amministrativi siano commisurati alle capacità e alle dimensioni delle autorità regionali, e chiede investimenti in attrezzi da pesca e tecnologie innovativi, selettivi, basati su dati scientifici e sostenibili in tutti i segmenti di flotta, al fine di migliorare la selettività e ridurre le catture accessorie indesiderate;</w:t>
      </w:r>
    </w:p>
    <w:p w:rsidR="00AE735B" w:rsidRPr="00BB5DE9" w:rsidP="000C01FF" w14:paraId="1E27A660" w14:textId="77777777">
      <w:pPr>
        <w:pStyle w:val="CompromiseParagraph"/>
        <w:tabs>
          <w:tab w:val="clear" w:pos="482"/>
          <w:tab w:val="left" w:pos="567"/>
          <w:tab w:val="left" w:pos="709"/>
        </w:tabs>
        <w:ind w:left="567" w:hanging="567"/>
        <w:jc w:val="left"/>
        <w:rPr>
          <w:sz w:val="24"/>
          <w:szCs w:val="24"/>
        </w:rPr>
      </w:pPr>
      <w:r w:rsidRPr="00BB5DE9">
        <w:rPr>
          <w:sz w:val="24"/>
        </w:rPr>
        <w:t>9.</w:t>
      </w:r>
      <w:r w:rsidRPr="00BB5DE9">
        <w:rPr>
          <w:sz w:val="24"/>
        </w:rPr>
        <w:tab/>
        <w:t xml:space="preserve">chiede l'istituzione di un osservatorio europeo d'alto mare nell'Atlantico, destinato a migliorare la conoscenza e la comprensione degli ambienti marini profondi e a promuovere un'economia blu sostenibile; ritiene che tale osservatorio dovrebbe aderire e contribuire all'iniziativa dal titolo "OceanEye – Monitoring the blue planet for science, </w:t>
      </w:r>
      <w:r w:rsidRPr="00BB5DE9">
        <w:rPr>
          <w:sz w:val="24"/>
        </w:rPr>
        <w:t>sustainability and society" (OceanEye – Monitoraggio del pianeta blu per la scienza, la sostenibilità e la società) e dovrebbe rafforzare le capacità di osservazione, monitoraggio e condivisione dei dati sugli oceani profondi;</w:t>
      </w:r>
    </w:p>
    <w:p w:rsidR="00AE735B" w:rsidRPr="00BB5DE9" w:rsidP="000C01FF" w14:paraId="722663E6" w14:textId="77777777">
      <w:pPr>
        <w:pStyle w:val="CompromiseParagraph"/>
        <w:tabs>
          <w:tab w:val="clear" w:pos="482"/>
          <w:tab w:val="left" w:pos="567"/>
        </w:tabs>
        <w:ind w:left="567" w:hanging="567"/>
        <w:jc w:val="left"/>
        <w:rPr>
          <w:sz w:val="24"/>
          <w:szCs w:val="24"/>
        </w:rPr>
      </w:pPr>
      <w:r w:rsidRPr="00BB5DE9">
        <w:rPr>
          <w:sz w:val="24"/>
        </w:rPr>
        <w:t>10.</w:t>
      </w:r>
      <w:r w:rsidRPr="00BB5DE9">
        <w:rPr>
          <w:sz w:val="24"/>
        </w:rPr>
        <w:tab/>
        <w:t>sottolinea l'importanza di fornire un sostegno speciale e particolare alla flotta peschereccia artigianale e su piccola scala, segnatamente nelle isole e nelle regioni remote, consentendo nel contempo un sostegno adeguato per il rinnovo di una flotta dell'Unione che invecchia in tutti i suoi segmenti, compresi quelli che hanno raggiunto un'età media superiore a 40 anni; ribadisce che il miglioramento della sicurezza, delle condizioni di lavoro, dell'efficienza energetica, dell'accesso alle possibilità di pesca e della sostenibilità ambientale, compresi l'ammodernamento delle imbarcazioni e, se del caso, il rinnovo che non ne aumenti la capacità di pesca, dovrebbe contribuire al ricambio generazionale e alla sostenibilità economica della pesca su piccola scala e artigianale, prevenendo nel contempo la sovracapacità e la pesca eccessiva; sottolinea che il sostegno all'ammodernamento finalizzato a migliorare la sicurezza e l'efficienza energetica non dovrebbe essere rifiutato esclusivamente per motivi legati alla capacità della flotta laddove gli investimenti non comportino un aumento della capacità di pesca della flotta; chiede la semplificazione delle procedure amministrative e di concessione delle licenze nonché una dotazione finanziaria sufficiente per far sì che le imbarcazioni che svolgono attività di pesca su piccola scala e artigianale possano effettivamente accedere al sostegno destinato all'ammodernamento e al rinnovo delle imbarcazioni; invita la Commissione a valutare, nell'ambito del quadro giuridico applicabile, in che modo la dimensione sociale e legata alla sicurezza e i criteri tecnici relativi alla potenza di propulsione e alla stazza lorda incidono sull'accesso al sostegno, in particolare nelle regioni ultraperiferiche, in modo da agevolare gli investimenti che migliorano la sicurezza, le condizioni di lavoro e l'efficienza energetica senza aumentare la capacità di pesca;</w:t>
      </w:r>
    </w:p>
    <w:p w:rsidR="00AE735B" w:rsidRPr="00BB5DE9" w:rsidP="000C01FF" w14:paraId="45D36325" w14:textId="77777777">
      <w:pPr>
        <w:pStyle w:val="CompromiseParagraph"/>
        <w:tabs>
          <w:tab w:val="clear" w:pos="482"/>
          <w:tab w:val="left" w:pos="567"/>
        </w:tabs>
        <w:ind w:left="567" w:hanging="567"/>
        <w:jc w:val="left"/>
        <w:rPr>
          <w:sz w:val="24"/>
          <w:szCs w:val="24"/>
        </w:rPr>
      </w:pPr>
      <w:r w:rsidRPr="00BB5DE9">
        <w:rPr>
          <w:sz w:val="24"/>
        </w:rPr>
        <w:t>11.</w:t>
      </w:r>
      <w:r w:rsidRPr="00BB5DE9">
        <w:rPr>
          <w:sz w:val="24"/>
        </w:rPr>
        <w:tab/>
        <w:t xml:space="preserve">sottolinea che i cambiamenti climatici, l'inquinamento, la perdita di biodiversità e il propagarsi di nuove specie predatrici esotiche e, a seconda dei casi, l'aumento delle popolazioni di talune specie predatrici protette, come le foche grigie e i cormorani, hanno conseguenze negative sugli ecosistemi marini e sul settore della pesca; chiede un sostegno finanziario adeguato, compreso un sostegno rapido e flessibile in caso di crisi climatiche, ambientali o di mercato che colpiscono i pescatori e i produttori del settore dell'acquacoltura, al fine di rafforzare la resilienza di tali settori; chiede inoltre, nell'ambito del quadro giuridico applicabile, una compensazione rapida e adeguata per la perdita di reddito in caso di arresto temporaneo obbligatorio, calamità naturali, gravi perturbazioni del mercato o danni causati da specie esotiche invasive, nonché un sostegno adeguato in caso di crisi causate da limiti di cattura a lungo termine, volatilità dei prezzi dei carburanti e pressioni sullo spazio marittimo; chiede un sostegno finanziario e tecnico per i pescatori interessati da fermi in tempo reale della pesca, comprese informazioni tempestive, strumenti digitali, compensazioni temporanee ove giustificato e assistenza nell'individuazione di zone di pesca alternative; chiede finanziamenti adeguati, rapidi e flessibili in caso di crisi a titolo del FEAMPA, con un accesso semplificato e un'erogazione prevedibile, nonché sostegno alla ricerca </w:t>
      </w:r>
      <w:r w:rsidRPr="00BB5DE9">
        <w:rPr>
          <w:sz w:val="24"/>
        </w:rPr>
        <w:t>scientifica, alla gestione e al controllo delle specie esotiche invasive, alle misure preventive e alla compensazione per i danni agli attrezzi da pesca e le perdite di reddito;</w:t>
      </w:r>
    </w:p>
    <w:p w:rsidR="00AE735B" w:rsidRPr="00BB5DE9" w:rsidP="000C01FF" w14:paraId="598F4E31" w14:textId="77777777">
      <w:pPr>
        <w:pStyle w:val="CompromiseParagraph"/>
        <w:tabs>
          <w:tab w:val="clear" w:pos="482"/>
          <w:tab w:val="left" w:pos="567"/>
        </w:tabs>
        <w:ind w:left="567" w:hanging="567"/>
        <w:jc w:val="left"/>
        <w:rPr>
          <w:sz w:val="24"/>
          <w:szCs w:val="24"/>
        </w:rPr>
      </w:pPr>
      <w:r w:rsidRPr="00BB5DE9">
        <w:rPr>
          <w:sz w:val="24"/>
        </w:rPr>
        <w:t>12.</w:t>
      </w:r>
      <w:r w:rsidRPr="00BB5DE9">
        <w:rPr>
          <w:sz w:val="24"/>
        </w:rPr>
        <w:tab/>
        <w:t>pone l'accento sul ruolo chiave svolto dalle organizzazioni regionali di gestione della pesca (ORGP) nel garantire una pesca sostenibile in tutto il mondo, nonché sull'importanza di disporre di risorse adeguate affinché l'Unione possa adottare una posizione solida e coordinata nelle riunioni di tali organizzazioni, anche mediante un'adeguata rappresentanza del Parlamento europeo e dei portatori di interessi, in particolare i pescatori; sottolinea che una pesca sostenibile richiede sistemi di monitoraggio, controllo e sorveglianza efficaci e proporzionati; chiede, a tale proposito, risorse sufficienti per l'EFCA, in particolare al fine di rafforzarne la capacità di pattugliare e aggiornare i propri sistemi di sorveglianza;</w:t>
      </w:r>
    </w:p>
    <w:p w:rsidR="00AE735B" w:rsidRPr="00BB5DE9" w:rsidP="000C01FF" w14:paraId="69B7A024" w14:textId="77777777">
      <w:pPr>
        <w:pStyle w:val="CompromiseParagraph"/>
        <w:tabs>
          <w:tab w:val="clear" w:pos="482"/>
          <w:tab w:val="left" w:pos="567"/>
        </w:tabs>
        <w:ind w:left="567" w:hanging="567"/>
        <w:jc w:val="left"/>
        <w:rPr>
          <w:sz w:val="24"/>
          <w:szCs w:val="24"/>
        </w:rPr>
      </w:pPr>
      <w:r w:rsidRPr="00BB5DE9">
        <w:rPr>
          <w:sz w:val="24"/>
        </w:rPr>
        <w:t>13.</w:t>
      </w:r>
      <w:r w:rsidRPr="00BB5DE9">
        <w:rPr>
          <w:sz w:val="24"/>
        </w:rPr>
        <w:tab/>
        <w:t>sottolinea che i pescatori interessati da forti riduzioni dei contingenti, dalle chiusure delle attività di pesca e dal crollo degli stock principali devono ricevere un sostegno di transizione adeguato, tempestivo e prevedibile; chiede finanziamenti sufficienti a titolo del FEAMPA per l'arresto temporaneo e definitivo delle attività di pesca, la diversificazione delle imprese interessate, la riqualificazione e la protezione sociale dei pescatori e dei lavoratori interessati; sottolinea che la pesca e le comunità costiere nei bacini marittimi che si trovano ad affrontare sfide sociali ed economiche eccezionali derivanti dal deterioramento a lungo termine delle risorse ittiche, dal degrado ambientale, dall'eutrofizzazione, dai cambiamenti climatici e dai limiti di cattura a lungo termine richiedono un sostegno finanziario mirato, in particolare quelle più duramente colpite;</w:t>
      </w:r>
    </w:p>
    <w:p w:rsidR="00AE735B" w:rsidRPr="00BB5DE9" w:rsidP="000C01FF" w14:paraId="448765F6" w14:textId="77777777">
      <w:pPr>
        <w:pStyle w:val="CompromiseParagraph"/>
        <w:tabs>
          <w:tab w:val="clear" w:pos="482"/>
          <w:tab w:val="left" w:pos="567"/>
        </w:tabs>
        <w:ind w:left="567" w:hanging="567"/>
        <w:jc w:val="left"/>
        <w:rPr>
          <w:sz w:val="24"/>
          <w:szCs w:val="24"/>
        </w:rPr>
      </w:pPr>
      <w:r w:rsidRPr="00BB5DE9">
        <w:rPr>
          <w:sz w:val="24"/>
        </w:rPr>
        <w:t>14.</w:t>
      </w:r>
      <w:r w:rsidRPr="00BB5DE9">
        <w:rPr>
          <w:sz w:val="24"/>
        </w:rPr>
        <w:tab/>
        <w:t>invita la Commissione e gli Stati membri a migliorare la produzione acquicola sostenibile dell'Unione ponendo rimedio alle strozzature e ai vincoli individuati, accelerando le procedure di concessione delle licenze, nonché riducendo la dipendenza dalle importazioni provenienti da paesi terzi; sottolinea che i finanziamenti e la politica commerciale dell'Unione devono garantire condizioni di parità e la reciprocità, conformemente alle norme dell'OMC, affinché i prodotti della pesca e dell'acquacoltura importati rispettino norme sanitarie, ambientali, sociali e di sostenibilità equivalenti a quelle applicabili nell'Unione; sottolinea che un uso adeguato dei fondi del FEAMPA può contribuire a diversificare e aumentare la produzione acquicola dell'Unione e a promuovere attività complementari come il pescaturismo, sostenendo nel contempo la parità di genere e il ricambio generazionale;</w:t>
      </w:r>
    </w:p>
    <w:p w:rsidR="00AE735B" w:rsidRPr="00BB5DE9" w:rsidP="000C01FF" w14:paraId="195F62E4" w14:textId="77777777">
      <w:pPr>
        <w:pStyle w:val="CompromiseParagraph"/>
        <w:tabs>
          <w:tab w:val="clear" w:pos="482"/>
          <w:tab w:val="left" w:pos="567"/>
        </w:tabs>
        <w:ind w:left="567" w:hanging="567"/>
        <w:jc w:val="left"/>
        <w:rPr>
          <w:sz w:val="24"/>
          <w:szCs w:val="24"/>
        </w:rPr>
      </w:pPr>
      <w:r w:rsidRPr="00BB5DE9">
        <w:rPr>
          <w:sz w:val="24"/>
        </w:rPr>
        <w:t>15.</w:t>
      </w:r>
      <w:r w:rsidRPr="00BB5DE9">
        <w:rPr>
          <w:sz w:val="24"/>
        </w:rPr>
        <w:tab/>
        <w:t xml:space="preserve">chiede un finanziamento mirato per la ricerca, lo sviluppo e la diffusione di sistemi di propulsione a basse emissioni e a zero emissioni, di carburanti alternativi sostenibili e di tecnologie di efficienze energetica adattati ai diversi segmenti della flotta, tipi di pesca e tipi di attrezzi, al fine di ridurre le emissioni e la dipendenza dai combustibili fossili, anche procedendo ai necessari adeguamenti infrastrutturali nei porti dell'Unione, in particolare nelle regioni insulari e ultraperiferiche; sottolinea che la transizione dovrebbe essere neutra sul piano tecnologico, adeguatamente finanziata, sostenibile sotto il profilo economico e tecnico, nonché adattata alle capacità effettive degli </w:t>
      </w:r>
      <w:r w:rsidRPr="00BB5DE9">
        <w:rPr>
          <w:sz w:val="24"/>
        </w:rPr>
        <w:t>operatori, e non dovrebbe imporre costi od obblighi sproporzionati alle imbarcazioni che svolgono attività di pesca su piccola scala e artigianale;</w:t>
      </w:r>
    </w:p>
    <w:p w:rsidR="00AE735B" w:rsidRPr="00BB5DE9" w:rsidP="000C01FF" w14:paraId="7B61741B" w14:textId="77777777">
      <w:pPr>
        <w:pStyle w:val="CompromiseParagraph"/>
        <w:tabs>
          <w:tab w:val="clear" w:pos="482"/>
          <w:tab w:val="left" w:pos="567"/>
        </w:tabs>
        <w:ind w:left="567" w:hanging="567"/>
        <w:jc w:val="left"/>
        <w:rPr>
          <w:sz w:val="24"/>
          <w:szCs w:val="24"/>
        </w:rPr>
      </w:pPr>
      <w:r w:rsidRPr="00BB5DE9">
        <w:rPr>
          <w:sz w:val="24"/>
        </w:rPr>
        <w:t>16.</w:t>
      </w:r>
      <w:r w:rsidRPr="00BB5DE9">
        <w:rPr>
          <w:sz w:val="24"/>
        </w:rPr>
        <w:tab/>
        <w:t>evidenzia che un finanziamento adeguato della formazione e dell'istruzione, in particolare per i giovani e i nuovi pescatori e produttori del settore dell'acquacoltura, come anche una forza lavoro qualificata e diversificata, sono fondamentali per conseguire il ricambio generazionale, che deve altresì garantire la parità di genere; chiede un approccio incentrato sulle nuove generazioni per gli oceani, che sostenga la formazione tecnica, imprenditoriale, digitale e in materia di sicurezza, gli incentivi all'avviamento di nuove imprese e l'accesso al settore per i giovani pescatori e imprenditori del settore dell'acquacoltura, compresi incentivi economici e un sostegno a favore dell'accesso ai finanziamenti, nonché il tutoraggio e il trasferimento intergenerazionale delle imprese di pesca; invita la Commissione a valutare una definizione chiara a livello dell'Unione di "nuovo pescatore" e un sostegno mirato del FEAMPA ai nuovi pescatori, conformemente alla PCP;</w:t>
      </w:r>
    </w:p>
    <w:p w:rsidR="00AE735B" w:rsidRPr="00BB5DE9" w:rsidP="000C01FF" w14:paraId="64B02140" w14:textId="77777777">
      <w:pPr>
        <w:pStyle w:val="CompromiseParagraph"/>
        <w:tabs>
          <w:tab w:val="clear" w:pos="482"/>
          <w:tab w:val="left" w:pos="567"/>
        </w:tabs>
        <w:ind w:left="567" w:hanging="567"/>
        <w:jc w:val="left"/>
        <w:rPr>
          <w:sz w:val="24"/>
          <w:szCs w:val="24"/>
        </w:rPr>
      </w:pPr>
      <w:r w:rsidRPr="00BB5DE9">
        <w:rPr>
          <w:sz w:val="24"/>
        </w:rPr>
        <w:t>17.</w:t>
      </w:r>
      <w:r w:rsidRPr="00BB5DE9">
        <w:rPr>
          <w:sz w:val="24"/>
        </w:rPr>
        <w:tab/>
        <w:t>ribadisce la necessità di prevedere un sostegno finanziario specifico destinato alle comunità costiere, alle isole e alle regioni ultraperiferiche, incentrato in particolare sugli Stati membri con numerose isole, alle isole piccole e remote, nonché alle comunità che devono far fronte a pressioni strutturali e socioeconomiche, compresa un'adeguata compensazione dei costi supplementari per i prodotti della pesca e dell'acquacoltura, conformemente ai trattati; chiede, per le regioni ultraperiferiche, un meccanismo specifico di compensazione dei costi supplementari di carburante, trasporto, approvvigionamento, ghiaccio, manutenzione, stoccaggio, servizi portuali e distribuzione sostenuti dai pescatori, dai produttori del settore dell'acquacoltura e dalle imprese di trasformazione e commercio in tali regioni, anche mediante uno strumento finanziario specifico per la pesca analogo a POSEI; chiede una semplificazione amministrativa, la creazione di appositi sportelli unici e misure volte a eliminare gli ostacoli amministrativi e finanziari cui devono far fronte le organizzazioni di produttori della pesca su piccola scala, i pescatori su piccola scala e i produttori del settore dell'acquacoltura; sottolinea che tale sostegno dovrebbe contribuire a mantenere un'abitazione permanente, l'occupazione, la sicurezza alimentare, nonché la coesione sociale e territoriale delle regioni insulari; chiede un sostegno specifico a favore della modernizzazione, del rafforzamento della resilienza e dello sviluppo sostenibile dei porti di pesca e delle infrastrutture di sbarco, in particolare nelle regioni che dipendono fortemente dalla pesca.</w:t>
      </w:r>
    </w:p>
    <w:p w:rsidR="00AE735B" w:rsidRPr="00BB5DE9" w:rsidP="007A2508" w14:paraId="53F86E63" w14:textId="77777777">
      <w:pPr>
        <w:widowControl/>
        <w:sectPr w:rsidSect="00AE735B">
          <w:headerReference w:type="even" r:id="rId50"/>
          <w:headerReference w:type="default" r:id="rId51"/>
          <w:headerReference w:type="first" r:id="rId52"/>
          <w:footerReference w:type="first" r:id="rId53"/>
          <w:footnotePr>
            <w:numRestart w:val="eachSect"/>
          </w:footnotePr>
          <w:endnotePr>
            <w:numFmt w:val="decimal"/>
          </w:endnotePr>
          <w:pgSz w:w="11906" w:h="16838" w:code="9"/>
          <w:pgMar w:top="1134" w:right="1418" w:bottom="1134" w:left="1418" w:header="1134" w:footer="567" w:gutter="0"/>
          <w:cols w:space="720"/>
          <w:noEndnote/>
          <w:docGrid w:linePitch="326"/>
        </w:sectPr>
      </w:pPr>
    </w:p>
    <w:p w:rsidR="00AE735B" w:rsidRPr="00BB5DE9" w:rsidP="007A2508" w14:paraId="7CAFB982" w14:textId="77777777">
      <w:pPr>
        <w:widowControl/>
      </w:pPr>
    </w:p>
    <w:p w:rsidR="00AE735B" w:rsidRPr="00BB5DE9" w:rsidP="007A2508" w14:paraId="7C6C9F7E" w14:textId="77777777">
      <w:pPr>
        <w:pStyle w:val="PageHeadingNotTOC"/>
      </w:pPr>
      <w:r w:rsidRPr="00BB5DE9">
        <w:t>ALLEGATO: DICHIARAZIONE DEI CONTRIBUTI</w:t>
      </w:r>
    </w:p>
    <w:p w:rsidR="00AE735B" w:rsidRPr="00BB5DE9" w:rsidP="007A2508" w14:paraId="6E2F9AEF" w14:textId="77777777">
      <w:pPr>
        <w:pStyle w:val="Normal24a"/>
        <w:rPr>
          <w:lang w:val="it-IT"/>
        </w:rPr>
      </w:pPr>
      <w:r w:rsidRPr="00BB5DE9">
        <w:rPr>
          <w:rStyle w:val="HideTWBExt"/>
          <w:lang w:val="it-IT"/>
        </w:rPr>
        <w:t>&lt;FootprintIntro&gt;</w:t>
      </w:r>
      <w:r w:rsidRPr="00BB5DE9">
        <w:rPr>
          <w:lang w:val="it-IT"/>
        </w:rPr>
        <w:t>Il relatore per parere dichiara, sotto la sua esclusiva responsabilità, di non aver incluso nel suo parere alcun contributo di rappresentanti di interessi che rientrano nell'ambito di applicazione dell'accordo interistituzionale su un registro per la trasparenza obbligatorio</w:t>
      </w:r>
      <w:r>
        <w:rPr>
          <w:rStyle w:val="FootnoteReference"/>
          <w:lang w:val="it-IT"/>
        </w:rPr>
        <w:footnoteReference w:id="27"/>
      </w:r>
      <w:r w:rsidRPr="00BB5DE9">
        <w:rPr>
          <w:lang w:val="it-IT"/>
        </w:rPr>
        <w:t>, o di rappresentanti delle pubbliche autorità di paesi terzi, incluse le loro missioni diplomatiche e ambasciate, da enumerare nel presente allegato in virtù dell'allegato I, articolo 8, del regolamento.</w:t>
      </w:r>
      <w:r w:rsidRPr="00BB5DE9">
        <w:rPr>
          <w:rStyle w:val="HideTWBExt"/>
          <w:lang w:val="it-IT"/>
        </w:rPr>
        <w:t>&lt;/FootprintIntro&gt;</w:t>
      </w:r>
    </w:p>
    <w:p w:rsidR="00AE735B" w:rsidRPr="00BB5DE9" w:rsidP="007A2508" w14:paraId="3357ADE6" w14:textId="77777777">
      <w:pPr>
        <w:pStyle w:val="NormalHanging12a"/>
      </w:pPr>
    </w:p>
    <w:p w:rsidR="00AE735B" w:rsidRPr="00BB5DE9" w:rsidP="007A2508" w14:paraId="45B719C2" w14:textId="77777777">
      <w:pPr>
        <w:sectPr w:rsidSect="00AE735B">
          <w:footnotePr>
            <w:numRestart w:val="eachSect"/>
          </w:footnotePr>
          <w:endnotePr>
            <w:numFmt w:val="decimal"/>
          </w:endnotePr>
          <w:pgSz w:w="11906" w:h="16838" w:code="9"/>
          <w:pgMar w:top="1134" w:right="1418" w:bottom="1418" w:left="1418" w:header="1134" w:footer="567" w:gutter="0"/>
          <w:cols w:space="720"/>
          <w:noEndnote/>
          <w:docGrid w:linePitch="326"/>
        </w:sectPr>
      </w:pPr>
    </w:p>
    <w:p w:rsidR="00AE735B" w:rsidRPr="00BB5DE9" w:rsidP="007A2508" w14:paraId="1C641313" w14:textId="77777777">
      <w:pPr>
        <w:pStyle w:val="PageHeadingNotTOC"/>
      </w:pPr>
      <w:r w:rsidRPr="00BB5DE9">
        <w:t>INFORMAZIONI SULL'APPROVAZIONE DA PARTE DELLA COMMISSIONE COMPETENTE PER PARERE</w:t>
      </w:r>
    </w:p>
    <w:tbl>
      <w:tblPr>
        <w:tblW w:w="0" w:type="auto"/>
        <w:tblInd w:w="-10" w:type="dxa"/>
        <w:tblLayout w:type="fixed"/>
        <w:tblCellMar>
          <w:left w:w="0" w:type="dxa"/>
          <w:right w:w="0" w:type="dxa"/>
        </w:tblCellMar>
        <w:tblLook w:val="0000"/>
      </w:tblPr>
      <w:tblGrid>
        <w:gridCol w:w="3685"/>
        <w:gridCol w:w="1530"/>
        <w:gridCol w:w="1474"/>
        <w:gridCol w:w="1474"/>
        <w:gridCol w:w="1474"/>
      </w:tblGrid>
      <w:tr w14:paraId="5FF3DDC3" w14:textId="77777777" w:rsidTr="00016267">
        <w:tblPrEx>
          <w:tblW w:w="0" w:type="auto"/>
          <w:tblInd w:w="-10" w:type="dxa"/>
          <w:tblLayout w:type="fixed"/>
          <w:tblCellMar>
            <w:left w:w="0" w:type="dxa"/>
            <w:right w:w="0" w:type="dxa"/>
          </w:tblCellMar>
          <w:tblLook w:val="0000"/>
        </w:tblPrEx>
        <w:tc>
          <w:tcPr>
            <w:tcW w:w="3685" w:type="dxa"/>
            <w:tcBorders>
              <w:top w:val="single" w:sz="8" w:space="0" w:color="000000"/>
              <w:left w:val="single" w:sz="8" w:space="0" w:color="000000"/>
              <w:bottom w:val="single" w:sz="8" w:space="0" w:color="000000"/>
              <w:right w:val="single" w:sz="8" w:space="0" w:color="000000"/>
            </w:tcBorders>
            <w:tcMar>
              <w:top w:w="79" w:type="dxa"/>
              <w:left w:w="79" w:type="dxa"/>
              <w:bottom w:w="79" w:type="dxa"/>
              <w:right w:w="79" w:type="dxa"/>
            </w:tcMar>
          </w:tcPr>
          <w:p w:rsidR="00AE735B" w:rsidRPr="00BB5DE9" w:rsidP="00016267" w14:paraId="463C9373" w14:textId="77777777">
            <w:pPr>
              <w:autoSpaceDE w:val="0"/>
              <w:autoSpaceDN w:val="0"/>
              <w:adjustRightInd w:val="0"/>
              <w:rPr>
                <w:b/>
                <w:bCs/>
                <w:color w:val="000000"/>
                <w:sz w:val="20"/>
              </w:rPr>
            </w:pPr>
            <w:r w:rsidRPr="00BB5DE9">
              <w:rPr>
                <w:b/>
                <w:color w:val="000000"/>
                <w:sz w:val="20"/>
              </w:rPr>
              <w:t>Approvazione</w:t>
            </w:r>
          </w:p>
        </w:tc>
        <w:tc>
          <w:tcPr>
            <w:tcW w:w="1530" w:type="dxa"/>
            <w:tcBorders>
              <w:top w:val="single" w:sz="8" w:space="0" w:color="000000"/>
              <w:left w:val="nil"/>
              <w:bottom w:val="single" w:sz="8" w:space="0" w:color="000000"/>
              <w:right w:val="nil"/>
            </w:tcBorders>
            <w:tcMar>
              <w:top w:w="79" w:type="dxa"/>
              <w:left w:w="79" w:type="dxa"/>
              <w:bottom w:w="79" w:type="dxa"/>
              <w:right w:w="79" w:type="dxa"/>
            </w:tcMar>
          </w:tcPr>
          <w:p w:rsidR="00AE735B" w:rsidRPr="00BB5DE9" w:rsidP="00016267" w14:paraId="1CF16A90" w14:textId="77777777">
            <w:pPr>
              <w:autoSpaceDE w:val="0"/>
              <w:autoSpaceDN w:val="0"/>
              <w:adjustRightInd w:val="0"/>
              <w:rPr>
                <w:color w:val="000000"/>
                <w:sz w:val="20"/>
              </w:rPr>
            </w:pPr>
            <w:r w:rsidRPr="00BB5DE9">
              <w:rPr>
                <w:color w:val="000000"/>
                <w:sz w:val="20"/>
              </w:rPr>
              <w:t>1.9.2026</w:t>
            </w:r>
          </w:p>
        </w:tc>
        <w:tc>
          <w:tcPr>
            <w:tcW w:w="1474" w:type="dxa"/>
            <w:tcBorders>
              <w:top w:val="single" w:sz="8" w:space="0" w:color="000000"/>
              <w:left w:val="nil"/>
              <w:bottom w:val="single" w:sz="8" w:space="0" w:color="000000"/>
              <w:right w:val="nil"/>
            </w:tcBorders>
            <w:tcMar>
              <w:top w:w="79" w:type="dxa"/>
              <w:left w:w="79" w:type="dxa"/>
              <w:bottom w:w="79" w:type="dxa"/>
              <w:right w:w="79" w:type="dxa"/>
            </w:tcMar>
          </w:tcPr>
          <w:p w:rsidR="00AE735B" w:rsidRPr="00BB5DE9" w:rsidP="00016267" w14:paraId="7491CA3C" w14:textId="77777777">
            <w:pPr>
              <w:autoSpaceDE w:val="0"/>
              <w:autoSpaceDN w:val="0"/>
              <w:adjustRightInd w:val="0"/>
              <w:rPr>
                <w:rFonts w:ascii="sans-serif" w:hAnsi="sans-serif" w:cs="sans-serif"/>
                <w:color w:val="000000"/>
              </w:rPr>
            </w:pPr>
          </w:p>
        </w:tc>
        <w:tc>
          <w:tcPr>
            <w:tcW w:w="1474" w:type="dxa"/>
            <w:tcBorders>
              <w:top w:val="single" w:sz="8" w:space="0" w:color="000000"/>
              <w:left w:val="nil"/>
              <w:bottom w:val="single" w:sz="8" w:space="0" w:color="000000"/>
              <w:right w:val="nil"/>
            </w:tcBorders>
            <w:tcMar>
              <w:top w:w="79" w:type="dxa"/>
              <w:left w:w="79" w:type="dxa"/>
              <w:bottom w:w="79" w:type="dxa"/>
              <w:right w:w="79" w:type="dxa"/>
            </w:tcMar>
          </w:tcPr>
          <w:p w:rsidR="00AE735B" w:rsidRPr="00BB5DE9" w:rsidP="00016267" w14:paraId="18085B48" w14:textId="77777777">
            <w:pPr>
              <w:autoSpaceDE w:val="0"/>
              <w:autoSpaceDN w:val="0"/>
              <w:adjustRightInd w:val="0"/>
              <w:rPr>
                <w:rFonts w:ascii="sans-serif" w:hAnsi="sans-serif" w:cs="sans-serif"/>
                <w:color w:val="000000"/>
              </w:rPr>
            </w:pPr>
          </w:p>
        </w:tc>
        <w:tc>
          <w:tcPr>
            <w:tcW w:w="1474" w:type="dxa"/>
            <w:tcBorders>
              <w:top w:val="single" w:sz="8" w:space="0" w:color="000000"/>
              <w:left w:val="nil"/>
              <w:bottom w:val="single" w:sz="8" w:space="0" w:color="000000"/>
              <w:right w:val="single" w:sz="8" w:space="0" w:color="000000"/>
            </w:tcBorders>
            <w:tcMar>
              <w:top w:w="79" w:type="dxa"/>
              <w:left w:w="79" w:type="dxa"/>
              <w:bottom w:w="79" w:type="dxa"/>
              <w:right w:w="79" w:type="dxa"/>
            </w:tcMar>
          </w:tcPr>
          <w:p w:rsidR="00AE735B" w:rsidRPr="00BB5DE9" w:rsidP="00016267" w14:paraId="13A299D3" w14:textId="77777777">
            <w:pPr>
              <w:autoSpaceDE w:val="0"/>
              <w:autoSpaceDN w:val="0"/>
              <w:adjustRightInd w:val="0"/>
              <w:rPr>
                <w:rFonts w:ascii="sans-serif" w:hAnsi="sans-serif" w:cs="sans-serif"/>
                <w:color w:val="000000"/>
              </w:rPr>
            </w:pPr>
          </w:p>
        </w:tc>
      </w:tr>
      <w:tr w14:paraId="0C337AC5" w14:textId="77777777" w:rsidTr="00016267">
        <w:tblPrEx>
          <w:tblW w:w="0" w:type="auto"/>
          <w:tblInd w:w="-10" w:type="dxa"/>
          <w:tblLayout w:type="fixed"/>
          <w:tblCellMar>
            <w:left w:w="0" w:type="dxa"/>
            <w:right w:w="0" w:type="dxa"/>
          </w:tblCellMar>
          <w:tblLook w:val="0000"/>
        </w:tblPrEx>
        <w:tc>
          <w:tcPr>
            <w:tcW w:w="3685" w:type="dxa"/>
            <w:tcBorders>
              <w:top w:val="single" w:sz="8" w:space="0" w:color="000000"/>
              <w:left w:val="single" w:sz="8" w:space="0" w:color="000000"/>
              <w:bottom w:val="single" w:sz="8" w:space="0" w:color="000000"/>
              <w:right w:val="single" w:sz="8" w:space="0" w:color="000000"/>
            </w:tcBorders>
            <w:tcMar>
              <w:top w:w="79" w:type="dxa"/>
              <w:left w:w="79" w:type="dxa"/>
              <w:bottom w:w="79" w:type="dxa"/>
              <w:right w:w="79" w:type="dxa"/>
            </w:tcMar>
          </w:tcPr>
          <w:p w:rsidR="00AE735B" w:rsidRPr="00BB5DE9" w:rsidP="00016267" w14:paraId="298F5ED4" w14:textId="77777777">
            <w:pPr>
              <w:autoSpaceDE w:val="0"/>
              <w:autoSpaceDN w:val="0"/>
              <w:adjustRightInd w:val="0"/>
              <w:rPr>
                <w:b/>
                <w:bCs/>
                <w:color w:val="000000"/>
                <w:sz w:val="20"/>
              </w:rPr>
            </w:pPr>
            <w:r w:rsidRPr="00BB5DE9">
              <w:rPr>
                <w:b/>
                <w:color w:val="000000"/>
                <w:sz w:val="20"/>
              </w:rPr>
              <w:t>Esito della votazione finale</w:t>
            </w:r>
          </w:p>
        </w:tc>
        <w:tc>
          <w:tcPr>
            <w:tcW w:w="1530" w:type="dxa"/>
            <w:tcBorders>
              <w:top w:val="single" w:sz="8" w:space="0" w:color="000000"/>
              <w:left w:val="nil"/>
              <w:bottom w:val="single" w:sz="8" w:space="0" w:color="000000"/>
              <w:right w:val="nil"/>
            </w:tcBorders>
            <w:tcMar>
              <w:top w:w="79" w:type="dxa"/>
              <w:left w:w="79" w:type="dxa"/>
              <w:bottom w:w="79" w:type="dxa"/>
              <w:right w:w="79" w:type="dxa"/>
            </w:tcMar>
          </w:tcPr>
          <w:p w:rsidR="00AE735B" w:rsidRPr="00BB5DE9" w:rsidP="00016267" w14:paraId="7C35AE73" w14:textId="77777777">
            <w:pPr>
              <w:autoSpaceDE w:val="0"/>
              <w:autoSpaceDN w:val="0"/>
              <w:adjustRightInd w:val="0"/>
              <w:rPr>
                <w:color w:val="000000"/>
                <w:sz w:val="20"/>
              </w:rPr>
            </w:pPr>
            <w:r w:rsidRPr="00BB5DE9">
              <w:rPr>
                <w:color w:val="000000"/>
                <w:sz w:val="20"/>
              </w:rPr>
              <w:t>+:</w:t>
            </w:r>
          </w:p>
          <w:p w:rsidR="00AE735B" w:rsidRPr="00BB5DE9" w:rsidP="00016267" w14:paraId="32725DE6" w14:textId="77777777">
            <w:pPr>
              <w:autoSpaceDE w:val="0"/>
              <w:autoSpaceDN w:val="0"/>
              <w:adjustRightInd w:val="0"/>
              <w:rPr>
                <w:color w:val="000000"/>
                <w:sz w:val="20"/>
              </w:rPr>
            </w:pPr>
            <w:r w:rsidRPr="00BB5DE9">
              <w:rPr>
                <w:color w:val="000000"/>
                <w:sz w:val="20"/>
              </w:rPr>
              <w:t>–:</w:t>
            </w:r>
          </w:p>
          <w:p w:rsidR="00AE735B" w:rsidRPr="00BB5DE9" w:rsidP="00016267" w14:paraId="68891E96" w14:textId="77777777">
            <w:pPr>
              <w:autoSpaceDE w:val="0"/>
              <w:autoSpaceDN w:val="0"/>
              <w:adjustRightInd w:val="0"/>
              <w:rPr>
                <w:color w:val="000000"/>
                <w:sz w:val="20"/>
              </w:rPr>
            </w:pPr>
            <w:r w:rsidRPr="00BB5DE9">
              <w:rPr>
                <w:color w:val="000000"/>
                <w:sz w:val="20"/>
              </w:rPr>
              <w:t>0:</w:t>
            </w:r>
          </w:p>
        </w:tc>
        <w:tc>
          <w:tcPr>
            <w:tcW w:w="4422" w:type="dxa"/>
            <w:gridSpan w:val="3"/>
            <w:tcBorders>
              <w:top w:val="single" w:sz="8" w:space="0" w:color="000000"/>
              <w:left w:val="nil"/>
              <w:bottom w:val="single" w:sz="8" w:space="0" w:color="000000"/>
              <w:right w:val="single" w:sz="8" w:space="0" w:color="000000"/>
            </w:tcBorders>
            <w:tcMar>
              <w:top w:w="79" w:type="dxa"/>
              <w:left w:w="79" w:type="dxa"/>
              <w:bottom w:w="79" w:type="dxa"/>
              <w:right w:w="79" w:type="dxa"/>
            </w:tcMar>
          </w:tcPr>
          <w:p w:rsidR="00AE735B" w:rsidRPr="00BB5DE9" w:rsidP="00016267" w14:paraId="6F675F1E" w14:textId="77777777">
            <w:pPr>
              <w:autoSpaceDE w:val="0"/>
              <w:autoSpaceDN w:val="0"/>
              <w:adjustRightInd w:val="0"/>
              <w:rPr>
                <w:color w:val="000000"/>
                <w:sz w:val="20"/>
              </w:rPr>
            </w:pPr>
            <w:r w:rsidRPr="00BB5DE9">
              <w:rPr>
                <w:color w:val="000000"/>
                <w:sz w:val="20"/>
              </w:rPr>
              <w:t>20</w:t>
            </w:r>
          </w:p>
          <w:p w:rsidR="00AE735B" w:rsidRPr="00BB5DE9" w:rsidP="00016267" w14:paraId="6BB9010D" w14:textId="77777777">
            <w:pPr>
              <w:autoSpaceDE w:val="0"/>
              <w:autoSpaceDN w:val="0"/>
              <w:adjustRightInd w:val="0"/>
              <w:rPr>
                <w:color w:val="000000"/>
                <w:sz w:val="20"/>
              </w:rPr>
            </w:pPr>
            <w:r w:rsidRPr="00BB5DE9">
              <w:rPr>
                <w:color w:val="000000"/>
                <w:sz w:val="20"/>
              </w:rPr>
              <w:t>0</w:t>
            </w:r>
          </w:p>
          <w:p w:rsidR="00AE735B" w:rsidRPr="00BB5DE9" w:rsidP="00016267" w14:paraId="336A3301" w14:textId="77777777">
            <w:pPr>
              <w:autoSpaceDE w:val="0"/>
              <w:autoSpaceDN w:val="0"/>
              <w:adjustRightInd w:val="0"/>
              <w:rPr>
                <w:color w:val="000000"/>
                <w:sz w:val="20"/>
              </w:rPr>
            </w:pPr>
            <w:r w:rsidRPr="00BB5DE9">
              <w:rPr>
                <w:color w:val="000000"/>
                <w:sz w:val="20"/>
              </w:rPr>
              <w:t>7</w:t>
            </w:r>
          </w:p>
        </w:tc>
      </w:tr>
    </w:tbl>
    <w:p w:rsidR="00AE735B" w:rsidRPr="00BB5DE9" w:rsidP="007A2508" w14:paraId="2DF97D08" w14:textId="77777777"/>
    <w:p w:rsidR="00AE735B" w:rsidRPr="00BB5DE9" w:rsidP="007A2508" w14:paraId="573E6EDA" w14:textId="77777777">
      <w:pPr>
        <w:sectPr w:rsidSect="00AE735B">
          <w:pgSz w:w="11894" w:h="15840"/>
          <w:pgMar w:top="1700" w:right="1417" w:bottom="1417" w:left="1417" w:header="720" w:footer="720" w:gutter="0"/>
          <w:cols w:space="720"/>
          <w:noEndnote/>
          <w:docGrid w:linePitch="326"/>
        </w:sectPr>
      </w:pPr>
    </w:p>
    <w:p w:rsidR="00AE735B" w:rsidRPr="00BB5DE9" w:rsidP="007A2508" w14:paraId="112F7DF6" w14:textId="77777777">
      <w:pPr>
        <w:pStyle w:val="PageHeadingNotTOC"/>
      </w:pPr>
      <w:r w:rsidRPr="00BB5DE9">
        <w:t>VOTAZIONE FINALE PER APPELLO NOMINALE DA PARTE DELLA COMMISSIONE COMPETENTE PER PARERE</w:t>
      </w:r>
    </w:p>
    <w:tbl>
      <w:tblPr>
        <w:tblW w:w="0" w:type="auto"/>
        <w:tblInd w:w="145" w:type="dxa"/>
        <w:tblBorders>
          <w:top w:val="double" w:sz="2" w:space="0" w:color="000000"/>
          <w:left w:val="double" w:sz="2" w:space="0" w:color="000000"/>
          <w:bottom w:val="double" w:sz="2" w:space="0" w:color="000000"/>
          <w:right w:val="double" w:sz="2" w:space="0" w:color="000000"/>
          <w:insideH w:val="single" w:sz="2" w:space="0" w:color="000000"/>
          <w:insideV w:val="single" w:sz="2" w:space="0" w:color="000000"/>
        </w:tblBorders>
        <w:tblLayout w:type="fixed"/>
        <w:tblCellMar>
          <w:left w:w="145" w:type="dxa"/>
          <w:right w:w="145" w:type="dxa"/>
        </w:tblCellMar>
        <w:tblLook w:val="0000"/>
      </w:tblPr>
      <w:tblGrid>
        <w:gridCol w:w="1701"/>
        <w:gridCol w:w="7371"/>
      </w:tblGrid>
      <w:tr w14:paraId="1944E2B0" w14:textId="77777777" w:rsidTr="00016267">
        <w:tblPrEx>
          <w:tblW w:w="0" w:type="auto"/>
          <w:tblInd w:w="145" w:type="dxa"/>
          <w:tblBorders>
            <w:top w:val="double" w:sz="2" w:space="0" w:color="000000"/>
            <w:left w:val="double" w:sz="2" w:space="0" w:color="000000"/>
            <w:bottom w:val="double" w:sz="2" w:space="0" w:color="000000"/>
            <w:right w:val="double" w:sz="2" w:space="0" w:color="000000"/>
            <w:insideH w:val="single" w:sz="2" w:space="0" w:color="000000"/>
            <w:insideV w:val="single" w:sz="2" w:space="0" w:color="000000"/>
          </w:tblBorders>
          <w:tblLayout w:type="fixed"/>
          <w:tblCellMar>
            <w:left w:w="145" w:type="dxa"/>
            <w:right w:w="145" w:type="dxa"/>
          </w:tblCellMar>
          <w:tblLook w:val="0000"/>
        </w:tblPrEx>
        <w:trPr>
          <w:cantSplit/>
        </w:trPr>
        <w:tc>
          <w:tcPr>
            <w:tcW w:w="1701" w:type="dxa"/>
            <w:shd w:val="pct10" w:color="000000" w:fill="FFFFFF"/>
            <w:vAlign w:val="center"/>
          </w:tcPr>
          <w:p w:rsidR="00AE735B" w:rsidRPr="00BB5DE9" w:rsidP="00016267" w14:paraId="65FFF4E5" w14:textId="77777777">
            <w:pPr>
              <w:pStyle w:val="RollCallVotes"/>
              <w:rPr>
                <w:lang w:val="it-IT"/>
              </w:rPr>
            </w:pPr>
            <w:r w:rsidRPr="00BB5DE9">
              <w:rPr>
                <w:lang w:val="it-IT"/>
              </w:rPr>
              <w:t>20</w:t>
            </w:r>
          </w:p>
        </w:tc>
        <w:tc>
          <w:tcPr>
            <w:tcW w:w="7371" w:type="dxa"/>
            <w:shd w:val="pct10" w:color="000000" w:fill="FFFFFF"/>
          </w:tcPr>
          <w:p w:rsidR="00AE735B" w:rsidRPr="00BB5DE9" w:rsidP="00016267" w14:paraId="2762EDAE" w14:textId="77777777">
            <w:pPr>
              <w:pStyle w:val="RollCallSymbols14pt"/>
              <w:rPr>
                <w:lang w:val="it-IT"/>
              </w:rPr>
            </w:pPr>
            <w:r w:rsidRPr="00BB5DE9">
              <w:rPr>
                <w:lang w:val="it-IT"/>
              </w:rPr>
              <w:t>+</w:t>
            </w:r>
          </w:p>
        </w:tc>
      </w:tr>
      <w:tr w14:paraId="4543A227" w14:textId="77777777" w:rsidTr="00016267">
        <w:tblPrEx>
          <w:tblW w:w="0" w:type="auto"/>
          <w:tblInd w:w="145" w:type="dxa"/>
          <w:tblLayout w:type="fixed"/>
          <w:tblCellMar>
            <w:left w:w="145" w:type="dxa"/>
            <w:right w:w="145" w:type="dxa"/>
          </w:tblCellMar>
          <w:tblLook w:val="0000"/>
        </w:tblPrEx>
        <w:trPr>
          <w:cantSplit/>
        </w:trPr>
        <w:tc>
          <w:tcPr>
            <w:tcW w:w="1701" w:type="dxa"/>
            <w:shd w:val="clear" w:color="auto" w:fill="FFFFFF"/>
          </w:tcPr>
          <w:p w:rsidR="00AE735B" w:rsidRPr="00BB5DE9" w:rsidP="00016267" w14:paraId="02B92F71" w14:textId="77777777">
            <w:pPr>
              <w:pStyle w:val="RollCallTable"/>
              <w:rPr>
                <w:lang w:val="it-IT"/>
              </w:rPr>
            </w:pPr>
            <w:r w:rsidRPr="00BB5DE9">
              <w:rPr>
                <w:lang w:val="it-IT"/>
              </w:rPr>
              <w:t>ECR</w:t>
            </w:r>
          </w:p>
        </w:tc>
        <w:tc>
          <w:tcPr>
            <w:tcW w:w="7371" w:type="dxa"/>
            <w:shd w:val="clear" w:color="auto" w:fill="FFFFFF"/>
          </w:tcPr>
          <w:p w:rsidR="00AE735B" w:rsidRPr="00BB5DE9" w:rsidP="00016267" w14:paraId="155DA9B1" w14:textId="77777777">
            <w:pPr>
              <w:pStyle w:val="RollCallTable"/>
              <w:rPr>
                <w:lang w:val="it-IT"/>
              </w:rPr>
            </w:pPr>
            <w:r w:rsidRPr="00BB5DE9">
              <w:rPr>
                <w:lang w:val="it-IT"/>
              </w:rPr>
              <w:t>Stephen Nikola Bartulica, Carlo Ciccioli, Nora Junco García, Bert-Jan Ruissen</w:t>
            </w:r>
          </w:p>
        </w:tc>
      </w:tr>
      <w:tr w14:paraId="096AE30C" w14:textId="77777777" w:rsidTr="00016267">
        <w:tblPrEx>
          <w:tblW w:w="0" w:type="auto"/>
          <w:tblInd w:w="145" w:type="dxa"/>
          <w:tblLayout w:type="fixed"/>
          <w:tblCellMar>
            <w:left w:w="145" w:type="dxa"/>
            <w:right w:w="145" w:type="dxa"/>
          </w:tblCellMar>
          <w:tblLook w:val="0000"/>
        </w:tblPrEx>
        <w:trPr>
          <w:cantSplit/>
        </w:trPr>
        <w:tc>
          <w:tcPr>
            <w:tcW w:w="1701" w:type="dxa"/>
            <w:shd w:val="clear" w:color="auto" w:fill="FFFFFF"/>
          </w:tcPr>
          <w:p w:rsidR="00AE735B" w:rsidRPr="00BB5DE9" w:rsidP="00016267" w14:paraId="4EB07B26" w14:textId="77777777">
            <w:pPr>
              <w:pStyle w:val="RollCallTable"/>
              <w:rPr>
                <w:lang w:val="it-IT"/>
              </w:rPr>
            </w:pPr>
            <w:r w:rsidRPr="00BB5DE9">
              <w:rPr>
                <w:lang w:val="it-IT"/>
              </w:rPr>
              <w:t>PPE</w:t>
            </w:r>
          </w:p>
        </w:tc>
        <w:tc>
          <w:tcPr>
            <w:tcW w:w="7371" w:type="dxa"/>
            <w:shd w:val="clear" w:color="auto" w:fill="FFFFFF"/>
          </w:tcPr>
          <w:p w:rsidR="00AE735B" w:rsidRPr="00BB5DE9" w:rsidP="00016267" w14:paraId="6371377F" w14:textId="77777777">
            <w:pPr>
              <w:pStyle w:val="RollCallTable"/>
              <w:rPr>
                <w:lang w:val="it-IT"/>
              </w:rPr>
            </w:pPr>
            <w:r w:rsidRPr="00BB5DE9">
              <w:rPr>
                <w:lang w:val="it-IT"/>
              </w:rPr>
              <w:t>Magdalena Adamowicz, Carmen Crespo Díaz, Marco Falcone, Niclas Herbst, Isabelle Le Callennec, Francisco José Millán Mon, Andrey Novakov</w:t>
            </w:r>
          </w:p>
        </w:tc>
      </w:tr>
      <w:tr w14:paraId="671A3CE8" w14:textId="77777777" w:rsidTr="00016267">
        <w:tblPrEx>
          <w:tblW w:w="0" w:type="auto"/>
          <w:tblInd w:w="145" w:type="dxa"/>
          <w:tblLayout w:type="fixed"/>
          <w:tblCellMar>
            <w:left w:w="145" w:type="dxa"/>
            <w:right w:w="145" w:type="dxa"/>
          </w:tblCellMar>
          <w:tblLook w:val="0000"/>
        </w:tblPrEx>
        <w:trPr>
          <w:cantSplit/>
        </w:trPr>
        <w:tc>
          <w:tcPr>
            <w:tcW w:w="1701" w:type="dxa"/>
            <w:shd w:val="clear" w:color="auto" w:fill="FFFFFF"/>
          </w:tcPr>
          <w:p w:rsidR="00AE735B" w:rsidRPr="00BB5DE9" w:rsidP="00016267" w14:paraId="64950A04" w14:textId="77777777">
            <w:pPr>
              <w:pStyle w:val="RollCallTable"/>
              <w:rPr>
                <w:lang w:val="it-IT"/>
              </w:rPr>
            </w:pPr>
            <w:r w:rsidRPr="00BB5DE9">
              <w:rPr>
                <w:lang w:val="it-IT"/>
              </w:rPr>
              <w:t>Renew</w:t>
            </w:r>
          </w:p>
        </w:tc>
        <w:tc>
          <w:tcPr>
            <w:tcW w:w="7371" w:type="dxa"/>
            <w:shd w:val="clear" w:color="auto" w:fill="FFFFFF"/>
          </w:tcPr>
          <w:p w:rsidR="00AE735B" w:rsidRPr="00BB5DE9" w:rsidP="00016267" w14:paraId="44AE204F" w14:textId="77777777">
            <w:pPr>
              <w:pStyle w:val="RollCallTable"/>
              <w:rPr>
                <w:lang w:val="it-IT"/>
              </w:rPr>
            </w:pPr>
            <w:r w:rsidRPr="00BB5DE9">
              <w:rPr>
                <w:lang w:val="it-IT"/>
              </w:rPr>
              <w:t>Oihane Agirregoitia Martínez, Asger Christensen, Barry Cowen</w:t>
            </w:r>
          </w:p>
        </w:tc>
      </w:tr>
      <w:tr w14:paraId="6240893E" w14:textId="77777777" w:rsidTr="00016267">
        <w:tblPrEx>
          <w:tblW w:w="0" w:type="auto"/>
          <w:tblInd w:w="145" w:type="dxa"/>
          <w:tblLayout w:type="fixed"/>
          <w:tblCellMar>
            <w:left w:w="145" w:type="dxa"/>
            <w:right w:w="145" w:type="dxa"/>
          </w:tblCellMar>
          <w:tblLook w:val="0000"/>
        </w:tblPrEx>
        <w:trPr>
          <w:cantSplit/>
        </w:trPr>
        <w:tc>
          <w:tcPr>
            <w:tcW w:w="1701" w:type="dxa"/>
            <w:shd w:val="clear" w:color="auto" w:fill="FFFFFF"/>
          </w:tcPr>
          <w:p w:rsidR="00AE735B" w:rsidRPr="00BB5DE9" w:rsidP="00016267" w14:paraId="749F71AF" w14:textId="77777777">
            <w:pPr>
              <w:pStyle w:val="RollCallTable"/>
              <w:rPr>
                <w:lang w:val="it-IT"/>
              </w:rPr>
            </w:pPr>
            <w:r w:rsidRPr="00BB5DE9">
              <w:rPr>
                <w:lang w:val="it-IT"/>
              </w:rPr>
              <w:t>S&amp;D</w:t>
            </w:r>
          </w:p>
        </w:tc>
        <w:tc>
          <w:tcPr>
            <w:tcW w:w="7371" w:type="dxa"/>
            <w:shd w:val="clear" w:color="auto" w:fill="FFFFFF"/>
          </w:tcPr>
          <w:p w:rsidR="00AE735B" w:rsidRPr="00BB5DE9" w:rsidP="00016267" w14:paraId="23D94BE0" w14:textId="77777777">
            <w:pPr>
              <w:pStyle w:val="RollCallTable"/>
              <w:rPr>
                <w:lang w:val="it-IT"/>
              </w:rPr>
            </w:pPr>
            <w:r w:rsidRPr="00BB5DE9">
              <w:rPr>
                <w:lang w:val="it-IT"/>
              </w:rPr>
              <w:t>Sakis Arnaoutoglou, Thomas Bajada, Sofie Eriksson, Nicolás González Casares, Giuseppe Lupo</w:t>
            </w:r>
          </w:p>
        </w:tc>
      </w:tr>
      <w:tr w14:paraId="7A96AD74" w14:textId="77777777" w:rsidTr="00016267">
        <w:tblPrEx>
          <w:tblW w:w="0" w:type="auto"/>
          <w:tblInd w:w="145" w:type="dxa"/>
          <w:tblLayout w:type="fixed"/>
          <w:tblCellMar>
            <w:left w:w="145" w:type="dxa"/>
            <w:right w:w="145" w:type="dxa"/>
          </w:tblCellMar>
          <w:tblLook w:val="0000"/>
        </w:tblPrEx>
        <w:trPr>
          <w:cantSplit/>
        </w:trPr>
        <w:tc>
          <w:tcPr>
            <w:tcW w:w="1701" w:type="dxa"/>
            <w:shd w:val="clear" w:color="auto" w:fill="FFFFFF"/>
          </w:tcPr>
          <w:p w:rsidR="00AE735B" w:rsidRPr="00BB5DE9" w:rsidP="00016267" w14:paraId="60DE0A8E" w14:textId="77777777">
            <w:pPr>
              <w:pStyle w:val="RollCallTable"/>
              <w:rPr>
                <w:lang w:val="it-IT"/>
              </w:rPr>
            </w:pPr>
            <w:r w:rsidRPr="00BB5DE9">
              <w:rPr>
                <w:lang w:val="it-IT"/>
              </w:rPr>
              <w:t>Verts/ALE</w:t>
            </w:r>
          </w:p>
        </w:tc>
        <w:tc>
          <w:tcPr>
            <w:tcW w:w="7371" w:type="dxa"/>
            <w:shd w:val="clear" w:color="auto" w:fill="FFFFFF"/>
          </w:tcPr>
          <w:p w:rsidR="00AE735B" w:rsidRPr="00BB5DE9" w:rsidP="00016267" w14:paraId="4147CD2A" w14:textId="77777777">
            <w:pPr>
              <w:pStyle w:val="RollCallTable"/>
              <w:rPr>
                <w:lang w:val="it-IT"/>
              </w:rPr>
            </w:pPr>
            <w:r w:rsidRPr="00BB5DE9">
              <w:rPr>
                <w:lang w:val="it-IT"/>
              </w:rPr>
              <w:t>Ana Miranda Paz</w:t>
            </w:r>
          </w:p>
        </w:tc>
      </w:tr>
    </w:tbl>
    <w:p w:rsidR="00AE735B" w:rsidRPr="00BB5DE9" w:rsidP="007A2508" w14:paraId="01893C3F" w14:textId="77777777"/>
    <w:tbl>
      <w:tblPr>
        <w:tblW w:w="0" w:type="auto"/>
        <w:tblInd w:w="145" w:type="dxa"/>
        <w:tblBorders>
          <w:top w:val="double" w:sz="2" w:space="0" w:color="000000"/>
          <w:left w:val="double" w:sz="2" w:space="0" w:color="000000"/>
          <w:bottom w:val="double" w:sz="2" w:space="0" w:color="000000"/>
          <w:right w:val="double" w:sz="2" w:space="0" w:color="000000"/>
          <w:insideH w:val="single" w:sz="2" w:space="0" w:color="000000"/>
          <w:insideV w:val="single" w:sz="2" w:space="0" w:color="000000"/>
        </w:tblBorders>
        <w:tblLayout w:type="fixed"/>
        <w:tblCellMar>
          <w:left w:w="145" w:type="dxa"/>
          <w:right w:w="145" w:type="dxa"/>
        </w:tblCellMar>
        <w:tblLook w:val="0000"/>
      </w:tblPr>
      <w:tblGrid>
        <w:gridCol w:w="1701"/>
        <w:gridCol w:w="7371"/>
      </w:tblGrid>
      <w:tr w14:paraId="339A5C25" w14:textId="77777777" w:rsidTr="00016267">
        <w:tblPrEx>
          <w:tblW w:w="0" w:type="auto"/>
          <w:tblInd w:w="145" w:type="dxa"/>
          <w:tblBorders>
            <w:top w:val="double" w:sz="2" w:space="0" w:color="000000"/>
            <w:left w:val="double" w:sz="2" w:space="0" w:color="000000"/>
            <w:bottom w:val="double" w:sz="2" w:space="0" w:color="000000"/>
            <w:right w:val="double" w:sz="2" w:space="0" w:color="000000"/>
            <w:insideH w:val="single" w:sz="2" w:space="0" w:color="000000"/>
            <w:insideV w:val="single" w:sz="2" w:space="0" w:color="000000"/>
          </w:tblBorders>
          <w:tblLayout w:type="fixed"/>
          <w:tblCellMar>
            <w:left w:w="145" w:type="dxa"/>
            <w:right w:w="145" w:type="dxa"/>
          </w:tblCellMar>
          <w:tblLook w:val="0000"/>
        </w:tblPrEx>
        <w:trPr>
          <w:cantSplit/>
        </w:trPr>
        <w:tc>
          <w:tcPr>
            <w:tcW w:w="1701" w:type="dxa"/>
            <w:shd w:val="pct10" w:color="000000" w:fill="FFFFFF"/>
            <w:vAlign w:val="center"/>
          </w:tcPr>
          <w:p w:rsidR="00AE735B" w:rsidRPr="00BB5DE9" w:rsidP="00016267" w14:paraId="08D8EF2B" w14:textId="77777777">
            <w:pPr>
              <w:pStyle w:val="RollCallVotes"/>
              <w:rPr>
                <w:lang w:val="it-IT"/>
              </w:rPr>
            </w:pPr>
            <w:r w:rsidRPr="00BB5DE9">
              <w:rPr>
                <w:lang w:val="it-IT"/>
              </w:rPr>
              <w:t>0</w:t>
            </w:r>
          </w:p>
        </w:tc>
        <w:tc>
          <w:tcPr>
            <w:tcW w:w="7371" w:type="dxa"/>
            <w:shd w:val="pct10" w:color="000000" w:fill="FFFFFF"/>
          </w:tcPr>
          <w:p w:rsidR="00AE735B" w:rsidRPr="00BB5DE9" w:rsidP="00016267" w14:paraId="055BF388" w14:textId="77777777">
            <w:pPr>
              <w:pStyle w:val="RollCallSymbols14pt"/>
              <w:rPr>
                <w:lang w:val="it-IT"/>
              </w:rPr>
            </w:pPr>
            <w:r w:rsidRPr="00BB5DE9">
              <w:rPr>
                <w:lang w:val="it-IT"/>
              </w:rPr>
              <w:t>-</w:t>
            </w:r>
          </w:p>
        </w:tc>
      </w:tr>
      <w:tr w14:paraId="0ECAAFC4" w14:textId="77777777" w:rsidTr="00016267">
        <w:tblPrEx>
          <w:tblW w:w="0" w:type="auto"/>
          <w:tblInd w:w="145" w:type="dxa"/>
          <w:tblLayout w:type="fixed"/>
          <w:tblCellMar>
            <w:left w:w="145" w:type="dxa"/>
            <w:right w:w="145" w:type="dxa"/>
          </w:tblCellMar>
          <w:tblLook w:val="0000"/>
        </w:tblPrEx>
        <w:trPr>
          <w:cantSplit/>
        </w:trPr>
        <w:tc>
          <w:tcPr>
            <w:tcW w:w="1701" w:type="dxa"/>
            <w:shd w:val="clear" w:color="auto" w:fill="FFFFFF"/>
          </w:tcPr>
          <w:p w:rsidR="00AE735B" w:rsidRPr="00BB5DE9" w:rsidP="00016267" w14:paraId="43CDCE52" w14:textId="77777777">
            <w:pPr>
              <w:pStyle w:val="RollCallTable"/>
              <w:rPr>
                <w:lang w:val="it-IT"/>
              </w:rPr>
            </w:pPr>
          </w:p>
        </w:tc>
        <w:tc>
          <w:tcPr>
            <w:tcW w:w="7371" w:type="dxa"/>
            <w:shd w:val="clear" w:color="auto" w:fill="FFFFFF"/>
          </w:tcPr>
          <w:p w:rsidR="00AE735B" w:rsidRPr="00BB5DE9" w:rsidP="00016267" w14:paraId="4970FDF0" w14:textId="77777777">
            <w:pPr>
              <w:pStyle w:val="RollCallTable"/>
              <w:rPr>
                <w:lang w:val="it-IT"/>
              </w:rPr>
            </w:pPr>
          </w:p>
        </w:tc>
      </w:tr>
    </w:tbl>
    <w:p w:rsidR="00AE735B" w:rsidRPr="00BB5DE9" w:rsidP="007A2508" w14:paraId="10C5A1F0" w14:textId="77777777"/>
    <w:tbl>
      <w:tblPr>
        <w:tblW w:w="0" w:type="auto"/>
        <w:tblInd w:w="145" w:type="dxa"/>
        <w:tblBorders>
          <w:top w:val="double" w:sz="2" w:space="0" w:color="000000"/>
          <w:left w:val="double" w:sz="2" w:space="0" w:color="000000"/>
          <w:bottom w:val="double" w:sz="2" w:space="0" w:color="000000"/>
          <w:right w:val="double" w:sz="2" w:space="0" w:color="000000"/>
          <w:insideH w:val="single" w:sz="2" w:space="0" w:color="000000"/>
          <w:insideV w:val="single" w:sz="2" w:space="0" w:color="000000"/>
        </w:tblBorders>
        <w:tblLayout w:type="fixed"/>
        <w:tblCellMar>
          <w:left w:w="145" w:type="dxa"/>
          <w:right w:w="145" w:type="dxa"/>
        </w:tblCellMar>
        <w:tblLook w:val="0000"/>
      </w:tblPr>
      <w:tblGrid>
        <w:gridCol w:w="1701"/>
        <w:gridCol w:w="7371"/>
      </w:tblGrid>
      <w:tr w14:paraId="24FBBDDD" w14:textId="77777777" w:rsidTr="00016267">
        <w:tblPrEx>
          <w:tblW w:w="0" w:type="auto"/>
          <w:tblInd w:w="145" w:type="dxa"/>
          <w:tblBorders>
            <w:top w:val="double" w:sz="2" w:space="0" w:color="000000"/>
            <w:left w:val="double" w:sz="2" w:space="0" w:color="000000"/>
            <w:bottom w:val="double" w:sz="2" w:space="0" w:color="000000"/>
            <w:right w:val="double" w:sz="2" w:space="0" w:color="000000"/>
            <w:insideH w:val="single" w:sz="2" w:space="0" w:color="000000"/>
            <w:insideV w:val="single" w:sz="2" w:space="0" w:color="000000"/>
          </w:tblBorders>
          <w:tblLayout w:type="fixed"/>
          <w:tblCellMar>
            <w:left w:w="145" w:type="dxa"/>
            <w:right w:w="145" w:type="dxa"/>
          </w:tblCellMar>
          <w:tblLook w:val="0000"/>
        </w:tblPrEx>
        <w:trPr>
          <w:cantSplit/>
        </w:trPr>
        <w:tc>
          <w:tcPr>
            <w:tcW w:w="1701" w:type="dxa"/>
            <w:shd w:val="pct10" w:color="000000" w:fill="FFFFFF"/>
            <w:vAlign w:val="center"/>
          </w:tcPr>
          <w:p w:rsidR="00AE735B" w:rsidRPr="00BB5DE9" w:rsidP="00016267" w14:paraId="08E21C5A" w14:textId="77777777">
            <w:pPr>
              <w:pStyle w:val="RollCallVotes"/>
              <w:rPr>
                <w:lang w:val="it-IT"/>
              </w:rPr>
            </w:pPr>
            <w:r w:rsidRPr="00BB5DE9">
              <w:rPr>
                <w:lang w:val="it-IT"/>
              </w:rPr>
              <w:t>7</w:t>
            </w:r>
          </w:p>
        </w:tc>
        <w:tc>
          <w:tcPr>
            <w:tcW w:w="7371" w:type="dxa"/>
            <w:shd w:val="pct10" w:color="000000" w:fill="FFFFFF"/>
          </w:tcPr>
          <w:p w:rsidR="00AE735B" w:rsidRPr="00BB5DE9" w:rsidP="00016267" w14:paraId="656669F5" w14:textId="77777777">
            <w:pPr>
              <w:pStyle w:val="RollCallSymbols14pt"/>
              <w:rPr>
                <w:lang w:val="it-IT"/>
              </w:rPr>
            </w:pPr>
            <w:r w:rsidRPr="00BB5DE9">
              <w:rPr>
                <w:lang w:val="it-IT"/>
              </w:rPr>
              <w:t>0</w:t>
            </w:r>
          </w:p>
        </w:tc>
      </w:tr>
      <w:tr w14:paraId="17160E85" w14:textId="77777777" w:rsidTr="00016267">
        <w:tblPrEx>
          <w:tblW w:w="0" w:type="auto"/>
          <w:tblInd w:w="145" w:type="dxa"/>
          <w:tblLayout w:type="fixed"/>
          <w:tblCellMar>
            <w:left w:w="145" w:type="dxa"/>
            <w:right w:w="145" w:type="dxa"/>
          </w:tblCellMar>
          <w:tblLook w:val="0000"/>
        </w:tblPrEx>
        <w:trPr>
          <w:cantSplit/>
        </w:trPr>
        <w:tc>
          <w:tcPr>
            <w:tcW w:w="1701" w:type="dxa"/>
            <w:shd w:val="clear" w:color="auto" w:fill="FFFFFF"/>
          </w:tcPr>
          <w:p w:rsidR="00AE735B" w:rsidRPr="00BB5DE9" w:rsidP="00016267" w14:paraId="68AF834D" w14:textId="77777777">
            <w:pPr>
              <w:pStyle w:val="RollCallTable"/>
              <w:rPr>
                <w:lang w:val="it-IT"/>
              </w:rPr>
            </w:pPr>
            <w:r w:rsidRPr="00BB5DE9">
              <w:rPr>
                <w:lang w:val="it-IT"/>
              </w:rPr>
              <w:t>ESN</w:t>
            </w:r>
          </w:p>
        </w:tc>
        <w:tc>
          <w:tcPr>
            <w:tcW w:w="7371" w:type="dxa"/>
            <w:shd w:val="clear" w:color="auto" w:fill="FFFFFF"/>
          </w:tcPr>
          <w:p w:rsidR="00AE735B" w:rsidRPr="00BB5DE9" w:rsidP="00016267" w14:paraId="304D0DC5" w14:textId="77777777">
            <w:pPr>
              <w:pStyle w:val="RollCallTable"/>
              <w:rPr>
                <w:lang w:val="it-IT"/>
              </w:rPr>
            </w:pPr>
            <w:r w:rsidRPr="00BB5DE9">
              <w:rPr>
                <w:lang w:val="it-IT"/>
              </w:rPr>
              <w:t>Siegbert Frank Droese</w:t>
            </w:r>
          </w:p>
        </w:tc>
      </w:tr>
      <w:tr w14:paraId="570B9ADD" w14:textId="77777777" w:rsidTr="00016267">
        <w:tblPrEx>
          <w:tblW w:w="0" w:type="auto"/>
          <w:tblInd w:w="145" w:type="dxa"/>
          <w:tblLayout w:type="fixed"/>
          <w:tblCellMar>
            <w:left w:w="145" w:type="dxa"/>
            <w:right w:w="145" w:type="dxa"/>
          </w:tblCellMar>
          <w:tblLook w:val="0000"/>
        </w:tblPrEx>
        <w:trPr>
          <w:cantSplit/>
        </w:trPr>
        <w:tc>
          <w:tcPr>
            <w:tcW w:w="1701" w:type="dxa"/>
            <w:shd w:val="clear" w:color="auto" w:fill="FFFFFF"/>
          </w:tcPr>
          <w:p w:rsidR="00AE735B" w:rsidRPr="00BB5DE9" w:rsidP="00016267" w14:paraId="4437B086" w14:textId="77777777">
            <w:pPr>
              <w:pStyle w:val="RollCallTable"/>
              <w:rPr>
                <w:lang w:val="it-IT"/>
              </w:rPr>
            </w:pPr>
            <w:r w:rsidRPr="00BB5DE9">
              <w:rPr>
                <w:lang w:val="it-IT"/>
              </w:rPr>
              <w:t>PfE</w:t>
            </w:r>
          </w:p>
        </w:tc>
        <w:tc>
          <w:tcPr>
            <w:tcW w:w="7371" w:type="dxa"/>
            <w:shd w:val="clear" w:color="auto" w:fill="FFFFFF"/>
          </w:tcPr>
          <w:p w:rsidR="00AE735B" w:rsidRPr="00BB5DE9" w:rsidP="00016267" w14:paraId="277BE4F7" w14:textId="77777777">
            <w:pPr>
              <w:pStyle w:val="RollCallTable"/>
              <w:rPr>
                <w:lang w:val="it-IT"/>
              </w:rPr>
            </w:pPr>
            <w:r w:rsidRPr="00BB5DE9">
              <w:rPr>
                <w:lang w:val="it-IT"/>
              </w:rPr>
              <w:t>Ton Diepeveen, France Jamet, Tiago Moreira de Sá</w:t>
            </w:r>
          </w:p>
        </w:tc>
      </w:tr>
      <w:tr w14:paraId="7824D629" w14:textId="77777777" w:rsidTr="00016267">
        <w:tblPrEx>
          <w:tblW w:w="0" w:type="auto"/>
          <w:tblInd w:w="145" w:type="dxa"/>
          <w:tblLayout w:type="fixed"/>
          <w:tblCellMar>
            <w:left w:w="145" w:type="dxa"/>
            <w:right w:w="145" w:type="dxa"/>
          </w:tblCellMar>
          <w:tblLook w:val="0000"/>
        </w:tblPrEx>
        <w:trPr>
          <w:cantSplit/>
        </w:trPr>
        <w:tc>
          <w:tcPr>
            <w:tcW w:w="1701" w:type="dxa"/>
            <w:shd w:val="clear" w:color="auto" w:fill="FFFFFF"/>
          </w:tcPr>
          <w:p w:rsidR="00AE735B" w:rsidRPr="00BB5DE9" w:rsidP="00016267" w14:paraId="734106E5" w14:textId="77777777">
            <w:pPr>
              <w:pStyle w:val="RollCallTable"/>
              <w:rPr>
                <w:lang w:val="it-IT"/>
              </w:rPr>
            </w:pPr>
            <w:r w:rsidRPr="00BB5DE9">
              <w:rPr>
                <w:lang w:val="it-IT"/>
              </w:rPr>
              <w:t>The Left</w:t>
            </w:r>
          </w:p>
        </w:tc>
        <w:tc>
          <w:tcPr>
            <w:tcW w:w="7371" w:type="dxa"/>
            <w:shd w:val="clear" w:color="auto" w:fill="FFFFFF"/>
          </w:tcPr>
          <w:p w:rsidR="00AE735B" w:rsidRPr="00BB5DE9" w:rsidP="00016267" w14:paraId="20B26DA3" w14:textId="77777777">
            <w:pPr>
              <w:pStyle w:val="RollCallTable"/>
              <w:rPr>
                <w:lang w:val="it-IT"/>
              </w:rPr>
            </w:pPr>
            <w:r w:rsidRPr="00BB5DE9">
              <w:rPr>
                <w:lang w:val="it-IT"/>
              </w:rPr>
              <w:t>Luke Ming Flanagan, Emma Fourreau</w:t>
            </w:r>
          </w:p>
        </w:tc>
      </w:tr>
      <w:tr w14:paraId="1E26F0DA" w14:textId="77777777" w:rsidTr="00016267">
        <w:tblPrEx>
          <w:tblW w:w="0" w:type="auto"/>
          <w:tblInd w:w="145" w:type="dxa"/>
          <w:tblLayout w:type="fixed"/>
          <w:tblCellMar>
            <w:left w:w="145" w:type="dxa"/>
            <w:right w:w="145" w:type="dxa"/>
          </w:tblCellMar>
          <w:tblLook w:val="0000"/>
        </w:tblPrEx>
        <w:trPr>
          <w:cantSplit/>
        </w:trPr>
        <w:tc>
          <w:tcPr>
            <w:tcW w:w="1701" w:type="dxa"/>
            <w:shd w:val="clear" w:color="auto" w:fill="FFFFFF"/>
          </w:tcPr>
          <w:p w:rsidR="00AE735B" w:rsidRPr="00BB5DE9" w:rsidP="00016267" w14:paraId="3838DBD4" w14:textId="77777777">
            <w:pPr>
              <w:pStyle w:val="RollCallTable"/>
              <w:rPr>
                <w:lang w:val="it-IT"/>
              </w:rPr>
            </w:pPr>
            <w:r w:rsidRPr="00BB5DE9">
              <w:rPr>
                <w:lang w:val="it-IT"/>
              </w:rPr>
              <w:t>Verts/ALE</w:t>
            </w:r>
          </w:p>
        </w:tc>
        <w:tc>
          <w:tcPr>
            <w:tcW w:w="7371" w:type="dxa"/>
            <w:shd w:val="clear" w:color="auto" w:fill="FFFFFF"/>
          </w:tcPr>
          <w:p w:rsidR="00AE735B" w:rsidRPr="00BB5DE9" w:rsidP="00016267" w14:paraId="78563472" w14:textId="77777777">
            <w:pPr>
              <w:pStyle w:val="RollCallTable"/>
              <w:rPr>
                <w:lang w:val="it-IT"/>
              </w:rPr>
            </w:pPr>
            <w:r w:rsidRPr="00BB5DE9">
              <w:rPr>
                <w:lang w:val="it-IT"/>
              </w:rPr>
              <w:t>Isabella Lövin</w:t>
            </w:r>
          </w:p>
        </w:tc>
      </w:tr>
    </w:tbl>
    <w:p w:rsidR="00AE735B" w:rsidRPr="00BB5DE9" w:rsidP="007A2508" w14:paraId="56F2A35A" w14:textId="77777777">
      <w:pPr>
        <w:pStyle w:val="Normal12a"/>
        <w:rPr>
          <w:lang w:val="it-IT"/>
        </w:rPr>
      </w:pPr>
    </w:p>
    <w:p w:rsidR="00AE735B" w:rsidRPr="00BB5DE9" w:rsidP="007A2508" w14:paraId="35718A77" w14:textId="77777777">
      <w:r w:rsidRPr="00BB5DE9">
        <w:t>Significato dei simboli utilizzati:</w:t>
      </w:r>
    </w:p>
    <w:p w:rsidR="00AE735B" w:rsidRPr="00BB5DE9" w:rsidP="007A2508" w14:paraId="5FD9B7BE" w14:textId="77777777">
      <w:pPr>
        <w:pStyle w:val="RollCallTabs"/>
        <w:rPr>
          <w:lang w:val="it-IT"/>
        </w:rPr>
      </w:pPr>
      <w:r w:rsidRPr="00BB5DE9">
        <w:rPr>
          <w:lang w:val="it-IT"/>
        </w:rPr>
        <w:t>+</w:t>
      </w:r>
      <w:r w:rsidRPr="00BB5DE9">
        <w:rPr>
          <w:lang w:val="it-IT"/>
        </w:rPr>
        <w:tab/>
        <w:t>:</w:t>
      </w:r>
      <w:r w:rsidRPr="00BB5DE9">
        <w:rPr>
          <w:lang w:val="it-IT"/>
        </w:rPr>
        <w:tab/>
        <w:t>favorevoli</w:t>
      </w:r>
    </w:p>
    <w:p w:rsidR="00AE735B" w:rsidRPr="00BB5DE9" w:rsidP="007A2508" w14:paraId="3E6ADCEC" w14:textId="77777777">
      <w:pPr>
        <w:pStyle w:val="RollCallTabs"/>
        <w:rPr>
          <w:lang w:val="it-IT"/>
        </w:rPr>
      </w:pPr>
      <w:r w:rsidRPr="00BB5DE9">
        <w:rPr>
          <w:lang w:val="it-IT"/>
        </w:rPr>
        <w:t>-</w:t>
      </w:r>
      <w:r w:rsidRPr="00BB5DE9">
        <w:rPr>
          <w:lang w:val="it-IT"/>
        </w:rPr>
        <w:tab/>
        <w:t>:</w:t>
      </w:r>
      <w:r w:rsidRPr="00BB5DE9">
        <w:rPr>
          <w:lang w:val="it-IT"/>
        </w:rPr>
        <w:tab/>
        <w:t>contrari</w:t>
      </w:r>
    </w:p>
    <w:p w:rsidR="00AE735B" w:rsidRPr="00BB5DE9" w:rsidP="007A2508" w14:paraId="24AA2EF7" w14:textId="77777777">
      <w:pPr>
        <w:pStyle w:val="RollCallTabs"/>
        <w:rPr>
          <w:lang w:val="it-IT"/>
        </w:rPr>
      </w:pPr>
      <w:r w:rsidRPr="00BB5DE9">
        <w:rPr>
          <w:lang w:val="it-IT"/>
        </w:rPr>
        <w:t>0</w:t>
      </w:r>
      <w:r w:rsidRPr="00BB5DE9">
        <w:rPr>
          <w:lang w:val="it-IT"/>
        </w:rPr>
        <w:tab/>
        <w:t>:</w:t>
      </w:r>
      <w:r w:rsidRPr="00BB5DE9">
        <w:rPr>
          <w:lang w:val="it-IT"/>
        </w:rPr>
        <w:tab/>
        <w:t>astenuti</w:t>
      </w:r>
    </w:p>
    <w:p w:rsidR="00AE735B" w:rsidRPr="00BB5DE9" w:rsidP="007A2508" w14:paraId="2FD87C6B" w14:textId="77777777"/>
    <w:p w:rsidR="00AE735B" w:rsidRPr="00BB5DE9" w:rsidP="007A2508" w14:paraId="1F29E1AD" w14:textId="77777777"/>
    <w:p w:rsidR="00AE735B" w:rsidRPr="00BB5DE9" w:rsidP="007A2508" w14:paraId="24C3644B" w14:textId="77777777">
      <w:pPr>
        <w:pStyle w:val="CoverReference"/>
      </w:pPr>
    </w:p>
    <w:p w:rsidR="00AE735B" w:rsidRPr="00BB5DE9" w:rsidP="00AE735B" w14:paraId="331EC161" w14:textId="77777777">
      <w:pPr>
        <w:rPr>
          <w:snapToGrid/>
          <w:lang w:eastAsia="en-GB"/>
        </w:rPr>
        <w:sectPr w:rsidSect="00AE735B">
          <w:footnotePr>
            <w:numRestart w:val="eachSect"/>
          </w:footnotePr>
          <w:endnotePr>
            <w:numFmt w:val="decimal"/>
          </w:endnotePr>
          <w:pgSz w:w="11906" w:h="16838" w:code="9"/>
          <w:pgMar w:top="1134" w:right="1418" w:bottom="1134" w:left="1418" w:header="1134" w:footer="567" w:gutter="0"/>
          <w:cols w:space="720"/>
          <w:noEndnote/>
          <w:docGrid w:linePitch="326"/>
        </w:sectPr>
      </w:pPr>
    </w:p>
    <w:p w:rsidR="00AE735B" w:rsidRPr="00BB5DE9" w:rsidP="00AE735B" w14:paraId="7D94E4B8" w14:textId="77777777">
      <w:pPr>
        <w:pStyle w:val="Normal24a"/>
        <w:rPr>
          <w:lang w:val="it-IT"/>
        </w:rPr>
      </w:pPr>
      <w:r w:rsidRPr="00BB5DE9">
        <w:rPr>
          <w:rStyle w:val="HideTWBExt"/>
          <w:lang w:val="it-IT"/>
        </w:rPr>
        <w:t>&lt;Date&gt;</w:t>
      </w:r>
      <w:r w:rsidRPr="00BB5DE9">
        <w:rPr>
          <w:rStyle w:val="HideTWBInt"/>
          <w:lang w:val="it-IT"/>
        </w:rPr>
        <w:t>{29/09/2026}</w:t>
      </w:r>
      <w:r w:rsidRPr="00BB5DE9">
        <w:rPr>
          <w:lang w:val="it-IT"/>
        </w:rPr>
        <w:t>29.9.2026</w:t>
      </w:r>
      <w:r w:rsidRPr="00BB5DE9">
        <w:rPr>
          <w:rStyle w:val="HideTWBExt"/>
          <w:lang w:val="it-IT"/>
        </w:rPr>
        <w:t>&lt;/Date&gt;</w:t>
      </w:r>
    </w:p>
    <w:p w:rsidR="00AE735B" w:rsidRPr="00BB5DE9" w:rsidP="00AE735B" w14:paraId="21B37F48" w14:textId="1354BEB7">
      <w:pPr>
        <w:pStyle w:val="PageHeading"/>
      </w:pPr>
      <w:r w:rsidRPr="00BB5DE9">
        <w:rPr>
          <w:rStyle w:val="HideTWBExt"/>
          <w:b w:val="0"/>
        </w:rPr>
        <w:t>&lt;CommissionResp&gt;</w:t>
      </w:r>
      <w:bookmarkStart w:id="29" w:name="OpinionToc_10"/>
      <w:bookmarkStart w:id="30" w:name="_Toc243036427"/>
      <w:r w:rsidRPr="00BB5DE9">
        <w:t>PARERE DELLA COMMISSIONE PER LA CULTURA E L'ISTRUZIONE</w:t>
      </w:r>
      <w:bookmarkEnd w:id="29"/>
      <w:bookmarkEnd w:id="30"/>
      <w:r w:rsidRPr="00BB5DE9">
        <w:rPr>
          <w:rStyle w:val="HideTWBExt"/>
          <w:b w:val="0"/>
        </w:rPr>
        <w:t>&lt;/CommissionResp&gt;</w:t>
      </w:r>
    </w:p>
    <w:p w:rsidR="00AE735B" w:rsidRPr="00BB5DE9" w:rsidP="00AE735B" w14:paraId="7E26A0DA" w14:textId="77777777">
      <w:pPr>
        <w:pStyle w:val="Normal12a"/>
        <w:rPr>
          <w:lang w:val="it-IT"/>
        </w:rPr>
      </w:pPr>
      <w:r w:rsidRPr="00BB5DE9">
        <w:rPr>
          <w:rStyle w:val="HideTWBExt"/>
          <w:lang w:val="it-IT"/>
        </w:rPr>
        <w:t>&lt;CommissionInt&gt;</w:t>
      </w:r>
      <w:r w:rsidRPr="00BB5DE9">
        <w:rPr>
          <w:lang w:val="it-IT"/>
        </w:rPr>
        <w:t>destinato alla commissione per i bilanci</w:t>
      </w:r>
      <w:r w:rsidRPr="00BB5DE9">
        <w:rPr>
          <w:rStyle w:val="HideTWBExt"/>
          <w:lang w:val="it-IT"/>
        </w:rPr>
        <w:t>&lt;/CommissionInt&gt;</w:t>
      </w:r>
    </w:p>
    <w:p w:rsidR="00AE735B" w:rsidRPr="00BB5DE9" w:rsidP="00AE735B" w14:paraId="2AF5D823" w14:textId="77777777">
      <w:r w:rsidRPr="00BB5DE9">
        <w:rPr>
          <w:rStyle w:val="HideTWBExt"/>
        </w:rPr>
        <w:t>&lt;Titre&gt;</w:t>
      </w:r>
      <w:r w:rsidRPr="00BB5DE9">
        <w:t>sul bilancio generale dell'Unione europea per l'esercizio 2027 – tutte le sezioni</w:t>
      </w:r>
      <w:r w:rsidRPr="00BB5DE9">
        <w:rPr>
          <w:rStyle w:val="HideTWBExt"/>
        </w:rPr>
        <w:t>&lt;/Titre&gt;</w:t>
      </w:r>
    </w:p>
    <w:p w:rsidR="00AE735B" w:rsidRPr="00BB5DE9" w:rsidP="00AE735B" w14:paraId="347183D1" w14:textId="77777777">
      <w:pPr>
        <w:pStyle w:val="Normal12a"/>
        <w:rPr>
          <w:lang w:val="it-IT"/>
        </w:rPr>
      </w:pPr>
      <w:r w:rsidRPr="00BB5DE9">
        <w:rPr>
          <w:rStyle w:val="HideTWBExt"/>
          <w:lang w:val="it-IT"/>
        </w:rPr>
        <w:t>&lt;DocRef&gt;</w:t>
      </w:r>
      <w:r w:rsidRPr="00BB5DE9">
        <w:rPr>
          <w:lang w:val="it-IT"/>
        </w:rPr>
        <w:t>(2026/0196(BUD))</w:t>
      </w:r>
      <w:r w:rsidRPr="00BB5DE9">
        <w:rPr>
          <w:rStyle w:val="HideTWBExt"/>
          <w:lang w:val="it-IT"/>
        </w:rPr>
        <w:t>&lt;/DocRef&gt;</w:t>
      </w:r>
    </w:p>
    <w:p w:rsidR="00AE735B" w:rsidRPr="00BB5DE9" w:rsidP="00AE735B" w14:paraId="01DABF3F" w14:textId="77777777">
      <w:pPr>
        <w:pStyle w:val="Normal24a"/>
        <w:rPr>
          <w:lang w:val="it-IT"/>
        </w:rPr>
      </w:pPr>
      <w:r w:rsidRPr="00BB5DE9">
        <w:rPr>
          <w:lang w:val="it-IT"/>
        </w:rPr>
        <w:t xml:space="preserve">Relatore per parere: </w:t>
      </w:r>
      <w:r w:rsidRPr="00BB5DE9">
        <w:rPr>
          <w:rStyle w:val="HideTWBExt"/>
          <w:lang w:val="it-IT"/>
        </w:rPr>
        <w:t>&lt;Depute&gt;</w:t>
      </w:r>
      <w:r w:rsidRPr="00BB5DE9">
        <w:rPr>
          <w:lang w:val="it-IT"/>
        </w:rPr>
        <w:t>Hélder Sousa Silva</w:t>
      </w:r>
      <w:r w:rsidRPr="00BB5DE9">
        <w:rPr>
          <w:rStyle w:val="HideTWBExt"/>
          <w:lang w:val="it-IT"/>
        </w:rPr>
        <w:t>&lt;/Depute&gt;</w:t>
      </w:r>
    </w:p>
    <w:p w:rsidR="00AE735B" w:rsidRPr="00BB5DE9" w:rsidP="00AE735B" w14:paraId="3FE790F4" w14:textId="77777777"/>
    <w:p w:rsidR="00AE735B" w:rsidRPr="00BB5DE9" w:rsidP="00BB2AC1" w14:paraId="31B0BBE8" w14:textId="191A8B65">
      <w:pPr>
        <w:widowControl/>
        <w:tabs>
          <w:tab w:val="center" w:pos="4677"/>
        </w:tabs>
      </w:pPr>
    </w:p>
    <w:p w:rsidR="00AE735B" w:rsidRPr="00BB5DE9" w:rsidP="00764922" w14:paraId="642586E6" w14:textId="18350CFE">
      <w:pPr>
        <w:pStyle w:val="PageHeadingNotTOC"/>
      </w:pPr>
      <w:r w:rsidRPr="00BB5DE9">
        <w:t>PARERE</w:t>
      </w:r>
    </w:p>
    <w:p w:rsidR="00AE735B" w:rsidRPr="00BB5DE9" w:rsidP="00764922" w14:paraId="0EB51AAC" w14:textId="77777777">
      <w:pPr>
        <w:pStyle w:val="Normal12a"/>
        <w:rPr>
          <w:lang w:val="it-IT"/>
        </w:rPr>
      </w:pPr>
      <w:r w:rsidRPr="00BB5DE9">
        <w:rPr>
          <w:lang w:val="it-IT"/>
        </w:rPr>
        <w:t>La commissione per la cultura e l'istruzione invita la commissione per i bilanci, competente per il merito, a includere nella proposta di risoluzione che approverà quanto segue:</w:t>
      </w:r>
    </w:p>
    <w:p w:rsidR="00AE735B" w:rsidRPr="00BB5DE9" w:rsidP="00764922" w14:paraId="54CCE84A" w14:textId="77777777">
      <w:pPr>
        <w:pStyle w:val="NormalHanging12a"/>
        <w:jc w:val="both"/>
      </w:pPr>
      <w:r w:rsidRPr="00BB5DE9">
        <w:t>1.</w:t>
      </w:r>
      <w:r w:rsidRPr="00BB5DE9">
        <w:tab/>
        <w:t>ribadisce la sua posizione di lunga data secondo cui i programmi Erasmus+, Europa creativa e Corpo europeo di solidarietà necessitano di un bilancio adeguato nell'ultimo anno dell'attuale periodo di programmazione per realizzare appieno il loro potenziale e preparare il terreno per il prossimo QFP; deplora, in tale contesto, che nella sua lettura del progetto di bilancio 2027 il Consiglio abbia apportato a tali programmi tagli pari rispettivamente a 159 milioni di EUR, 31,6 milioni di EUR e 0,18 milioni di EUR; sottolinea che qualsiasi riduzione nuocerebbe al buon funzionamento dei programmi e comprometterebbe il loro comprovato contributo alle priorità dell'Unione;</w:t>
      </w:r>
    </w:p>
    <w:p w:rsidR="00AE735B" w:rsidRPr="00BB5DE9" w:rsidP="00764922" w14:paraId="53F83460" w14:textId="77777777">
      <w:pPr>
        <w:pStyle w:val="NormalHanging12a"/>
        <w:jc w:val="both"/>
      </w:pPr>
      <w:r w:rsidRPr="00BB5DE9">
        <w:t xml:space="preserve">2. </w:t>
      </w:r>
      <w:r w:rsidRPr="00BB5DE9">
        <w:tab/>
        <w:t>deplora con forza il tentativo della Commissione di ridurre i finanziamenti di Erasmus+ rispetto alla programmazione finanziaria iniziale per creare un margine supplementare non assegnato nella rubrica 2b; ritiene che il finanziamento di altre priorità non possa andare a scapito della mobilità dei giovani assicurata dal programma dell'Unione più riconoscibile e di maggior successo; chiede, in linea con la dichiarazione comune del Parlamento europeo, del Consiglio e della Commissione del 2020 e con l'accordo interistituzionale del 16 dicembre 2020 sulla disciplina di bilancio, sulla cooperazione in materia di bilancio e sulla sana gestione finanziaria, nonché su nuove risorse proprie, compresa una tabella di marcia verso l'introduzione di nuove risorse proprie</w:t>
      </w:r>
      <w:r>
        <w:rPr>
          <w:rStyle w:val="FootnoteReference"/>
        </w:rPr>
        <w:footnoteReference w:id="28"/>
      </w:r>
      <w:r w:rsidRPr="00BB5DE9">
        <w:t>, secondo cui le spese a copertura dei costi di finanziamento di NextGenerationEU mirano a non ridurre i programmi e i fondi dell'Unione, che tutti i fondi recuperati dal periodo della pandemia (357 milioni di EUR recuperati nel 2024, 2025 e 2026) siano restituiti alla sezione principale del programma e che i fondi destinati alla mobilità ai fini dell'apprendimento siano attuati attraverso agenzie nazionali;</w:t>
      </w:r>
    </w:p>
    <w:p w:rsidR="00AE735B" w:rsidRPr="00BB5DE9" w:rsidP="00764922" w14:paraId="73FE2A60" w14:textId="77777777">
      <w:pPr>
        <w:pStyle w:val="NormalHanging12a"/>
        <w:jc w:val="both"/>
      </w:pPr>
      <w:r w:rsidRPr="00BB5DE9">
        <w:t>3.</w:t>
      </w:r>
      <w:r w:rsidRPr="00BB5DE9">
        <w:tab/>
        <w:t xml:space="preserve">chiede un ulteriore aumento di 50 milioni di EUR per la sezione principale di Erasmus+ </w:t>
      </w:r>
      <w:r w:rsidRPr="00BB5DE9">
        <w:t>(che ha la maggiore capacità di assorbimento dal momento che registra un numero di domande superiore alle disponibilità), in linea con l'impegno politico di migliorare l'inclusione delle organizzazioni più piccole e delle persone con minori opportunità, nonché di tenere conto dell'inflazione e dell'aumento del costo della vita;</w:t>
      </w:r>
    </w:p>
    <w:p w:rsidR="00AE735B" w:rsidRPr="00BB5DE9" w:rsidP="00764922" w14:paraId="78ACAD77" w14:textId="77777777">
      <w:pPr>
        <w:pStyle w:val="NormalHanging12a"/>
        <w:rPr>
          <w:bCs/>
          <w:iCs/>
        </w:rPr>
      </w:pPr>
      <w:r w:rsidRPr="00BB5DE9">
        <w:t>4.</w:t>
      </w:r>
      <w:r w:rsidRPr="00BB5DE9">
        <w:tab/>
        <w:t>sottolinea la necessità di garantire la stabilità dei finanziamenti per iniziative quali le alleanze delle università europee e le accademie degli insegnanti Erasmus+, di salvaguardare iniziative future quali le alleanze delle scuole europee, nonché di sostenere l'attuazione dello spazio europeo dell'istruzione;</w:t>
      </w:r>
    </w:p>
    <w:p w:rsidR="00AE735B" w:rsidRPr="00BB5DE9" w:rsidP="00764922" w14:paraId="1387B388" w14:textId="77777777">
      <w:pPr>
        <w:pStyle w:val="NormalHanging12a"/>
        <w:jc w:val="both"/>
      </w:pPr>
      <w:r w:rsidRPr="00BB5DE9">
        <w:t xml:space="preserve">5. </w:t>
      </w:r>
      <w:r w:rsidRPr="00BB5DE9">
        <w:tab/>
        <w:t>propone aumenti modesti ma importanti per le sezioni di Erasmus+ dedicate alla gioventù e allo sport, pari rispettivamente a 5 milioni di EUR e a 3 milioni di EUR; sottolinea che è necessario mantenere la solidità di tali sezioni, dal momento che sono oggetto di una forte domanda, che supera le disponibilità;</w:t>
      </w:r>
    </w:p>
    <w:p w:rsidR="00AE735B" w:rsidRPr="00BB5DE9" w:rsidP="00764922" w14:paraId="57FF2147" w14:textId="77777777">
      <w:pPr>
        <w:pStyle w:val="NormalHanging12a"/>
        <w:jc w:val="both"/>
      </w:pPr>
      <w:r w:rsidRPr="00BB5DE9">
        <w:t xml:space="preserve">6. </w:t>
      </w:r>
      <w:r w:rsidRPr="00BB5DE9">
        <w:tab/>
        <w:t>sottolinea la necessità di rafforzare il corpo europeo di solidarietà con una dotazione aggiuntiva di 5 milioni di EUR, al fine di consentire a tale programma di piccole dimensioni di avere un impatto ancora più importante offrendo un maggior numero di attività di volontariato e solidarietà, in modo da promuovere la resilienza delle comunità e le risposte alle crisi guidate dai giovani, anche in relazione alla guerra in Ucraina;</w:t>
      </w:r>
    </w:p>
    <w:p w:rsidR="00AE735B" w:rsidRPr="00BB5DE9" w:rsidP="00764922" w14:paraId="71AC7576" w14:textId="77777777">
      <w:pPr>
        <w:pStyle w:val="NormalHanging12a"/>
      </w:pPr>
      <w:r w:rsidRPr="00BB5DE9">
        <w:t>7.</w:t>
      </w:r>
      <w:r w:rsidRPr="00BB5DE9">
        <w:tab/>
        <w:t>insiste che tutte e tre le sezioni di Europa creativa, l'unico programma dell'Unione dedicato ai settori culturali, creativi e audiovisivi, nonché ai mezzi di informazione, dovrebbero beneficiare di aumenti realistici, pari a 7 milioni di EUR per la sezione Cultura, 5 milioni di EUR per la sezione Media e 3 milioni di EUR per la sezione transettoriale; ribadisce che è importante garantire la solidità del programma Europa creativa per sostenere il settore audiovisivo e rafforzare la sua capacità di raggiungere il pubblico a livello transfrontaliero, proteggere la libertà e il pluralismo dei media e garantire l'accesso dei cittadini a informazioni affidabili, nonché per contribuire al conseguimento degli obiettivi della bussola culturale per l'Europa e della recente dichiarazione comune "L'Europa per la cultura – la cultura per l'Europa";</w:t>
      </w:r>
    </w:p>
    <w:p w:rsidR="00AE735B" w:rsidRPr="00BB5DE9" w:rsidP="00764922" w14:paraId="00231373" w14:textId="77777777">
      <w:pPr>
        <w:pStyle w:val="NormalHanging12a"/>
        <w:jc w:val="both"/>
      </w:pPr>
      <w:r w:rsidRPr="00BB5DE9">
        <w:t xml:space="preserve">8. </w:t>
      </w:r>
      <w:r w:rsidRPr="00BB5DE9">
        <w:tab/>
        <w:t>riconosce il ruolo dei progetti pilota e delle azioni preparatorie (PP/AP) in quanto importanti strumenti che consentono ai deputati al Parlamento europeo di testare nuove iniziative; sostiene pertanto i progetti pilota e le azioni preparatorie della commissione CULT che nella procedura di valutazione ottengono i punteggi A e B;</w:t>
      </w:r>
    </w:p>
    <w:p w:rsidR="00AE735B" w:rsidRPr="00BB5DE9" w:rsidP="00764922" w14:paraId="5CADE5B0" w14:textId="77777777">
      <w:pPr>
        <w:pStyle w:val="NormalHanging12a"/>
      </w:pPr>
      <w:r w:rsidRPr="00BB5DE9">
        <w:t>9.</w:t>
      </w:r>
      <w:r w:rsidRPr="00BB5DE9">
        <w:tab/>
        <w:t>evidenzia che la flessibilità e la semplificazione di bilancio devono andare di pari passo con la trasparenza e la responsabilità democratica e non devono indebolire la capacità del Parlamento di esercitare un controllo sulle spese dell'Unione; sottolinea pertanto la necessità di preservare una sufficiente visibilità e tracciabilità dei finanziamenti destinati all'istruzione, alla gioventù, allo sport, alla cultura, ai settori culturali e creativi, all'audiovisivo e ai media durante l'esecuzione del bilancio.</w:t>
      </w:r>
    </w:p>
    <w:p w:rsidR="00AE735B" w:rsidRPr="00BB5DE9" w:rsidP="00764922" w14:paraId="165172A6" w14:textId="77777777"/>
    <w:p w:rsidR="00AE735B" w:rsidRPr="00BB5DE9" w:rsidP="00764922" w14:paraId="4DA806C5" w14:textId="77777777"/>
    <w:p w:rsidR="00AE735B" w:rsidRPr="00BB5DE9" w:rsidP="00764922" w14:paraId="4218A3CF" w14:textId="77777777"/>
    <w:p w:rsidR="00AE735B" w:rsidRPr="00BB5DE9" w:rsidP="00764922" w14:paraId="465119C9" w14:textId="77777777">
      <w:pPr>
        <w:widowControl/>
        <w:sectPr w:rsidSect="00AE735B">
          <w:headerReference w:type="even" r:id="rId54"/>
          <w:headerReference w:type="default" r:id="rId55"/>
          <w:headerReference w:type="first" r:id="rId56"/>
          <w:footerReference w:type="first" r:id="rId57"/>
          <w:footnotePr>
            <w:numRestart w:val="eachSect"/>
          </w:footnotePr>
          <w:endnotePr>
            <w:numFmt w:val="decimal"/>
          </w:endnotePr>
          <w:pgSz w:w="11906" w:h="16838" w:code="9"/>
          <w:pgMar w:top="1134" w:right="1418" w:bottom="1134" w:left="1418" w:header="1134" w:footer="567" w:gutter="0"/>
          <w:cols w:space="720"/>
          <w:noEndnote/>
          <w:docGrid w:linePitch="326"/>
        </w:sectPr>
      </w:pPr>
    </w:p>
    <w:p w:rsidR="00AE735B" w:rsidRPr="00BB5DE9" w:rsidP="00764922" w14:paraId="305708D7" w14:textId="77777777">
      <w:pPr>
        <w:widowControl/>
      </w:pPr>
    </w:p>
    <w:p w:rsidR="00AE735B" w:rsidRPr="00BB5DE9" w:rsidP="00764922" w14:paraId="15FAEB43" w14:textId="77777777">
      <w:pPr>
        <w:pStyle w:val="PageHeadingNotTOC"/>
      </w:pPr>
      <w:r w:rsidRPr="00BB5DE9">
        <w:t>ALLEGATO: DICHIARAZIONE DEI CONTRIBUTI</w:t>
      </w:r>
    </w:p>
    <w:p w:rsidR="00AE735B" w:rsidRPr="00BB5DE9" w:rsidP="00764922" w14:paraId="562023EF" w14:textId="77777777">
      <w:pPr>
        <w:pStyle w:val="Normal24a"/>
        <w:rPr>
          <w:lang w:val="it-IT"/>
        </w:rPr>
      </w:pPr>
      <w:r w:rsidRPr="00BB5DE9">
        <w:rPr>
          <w:rStyle w:val="HideTWBExt"/>
          <w:lang w:val="it-IT"/>
        </w:rPr>
        <w:t>&lt;FootprintIntro&gt;</w:t>
      </w:r>
      <w:r w:rsidRPr="00BB5DE9">
        <w:rPr>
          <w:lang w:val="it-IT"/>
        </w:rPr>
        <w:t>Il relatore per parere dichiara, sotto la sua esclusiva responsabilità, di non aver incluso nel suo parere alcun contributo di rappresentanti di interessi che rientrano nell'ambito di applicazione dell'accordo interistituzionale su un registro per la trasparenza obbligatorio</w:t>
      </w:r>
      <w:r>
        <w:rPr>
          <w:rStyle w:val="FootnoteReference"/>
          <w:lang w:val="it-IT"/>
        </w:rPr>
        <w:footnoteReference w:id="29"/>
      </w:r>
      <w:r w:rsidRPr="00BB5DE9">
        <w:rPr>
          <w:lang w:val="it-IT"/>
        </w:rPr>
        <w:t>, o di rappresentanti delle pubbliche autorità di paesi terzi, incluse le loro missioni diplomatiche e ambasciate, da enumerare nel presente allegato in virtù dell'allegato I, articolo 8, del regolamento.</w:t>
      </w:r>
      <w:r w:rsidRPr="00BB5DE9">
        <w:rPr>
          <w:rStyle w:val="HideTWBExt"/>
          <w:lang w:val="it-IT"/>
        </w:rPr>
        <w:t>&lt;/FootprintIntro&gt;</w:t>
      </w:r>
    </w:p>
    <w:p w:rsidR="00AE735B" w:rsidRPr="00BB5DE9" w:rsidP="00C548D4" w14:paraId="2A0F6350" w14:textId="77777777">
      <w:pPr>
        <w:sectPr w:rsidSect="00AE735B">
          <w:headerReference w:type="even" r:id="rId58"/>
          <w:headerReference w:type="default" r:id="rId59"/>
          <w:headerReference w:type="first" r:id="rId60"/>
          <w:footerReference w:type="first" r:id="rId61"/>
          <w:footnotePr>
            <w:numRestart w:val="eachSect"/>
          </w:footnotePr>
          <w:endnotePr>
            <w:numFmt w:val="decimal"/>
          </w:endnotePr>
          <w:pgSz w:w="11906" w:h="16838" w:code="9"/>
          <w:pgMar w:top="1134" w:right="1418" w:bottom="1418" w:left="1418" w:header="1134" w:footer="567" w:gutter="0"/>
          <w:cols w:space="720"/>
          <w:noEndnote/>
          <w:docGrid w:linePitch="326"/>
        </w:sectPr>
      </w:pPr>
    </w:p>
    <w:p w:rsidR="00AE735B" w:rsidRPr="00BB5DE9" w:rsidP="00C548D4" w14:paraId="2B61C596" w14:textId="77777777">
      <w:pPr>
        <w:pStyle w:val="PageHeadingNotTOC"/>
      </w:pPr>
      <w:r w:rsidRPr="00BB5DE9">
        <w:t>INFORMAZIONI SULL’APPROVAZIONE</w:t>
      </w:r>
      <w:r w:rsidRPr="00BB5DE9">
        <w:br/>
        <w:t>DA PARTE DELLA COMMISSIONE COMPETENTE PER PARERE</w:t>
      </w:r>
    </w:p>
    <w:tbl>
      <w:tblPr>
        <w:tblW w:w="0" w:type="auto"/>
        <w:tblInd w:w="-10" w:type="dxa"/>
        <w:tblLayout w:type="fixed"/>
        <w:tblCellMar>
          <w:left w:w="0" w:type="dxa"/>
          <w:right w:w="0" w:type="dxa"/>
        </w:tblCellMar>
        <w:tblLook w:val="0000"/>
      </w:tblPr>
      <w:tblGrid>
        <w:gridCol w:w="3685"/>
        <w:gridCol w:w="1530"/>
        <w:gridCol w:w="1474"/>
        <w:gridCol w:w="1474"/>
        <w:gridCol w:w="1474"/>
      </w:tblGrid>
      <w:tr w14:paraId="7CF5EC8C" w14:textId="77777777">
        <w:tblPrEx>
          <w:tblW w:w="0" w:type="auto"/>
          <w:tblInd w:w="-10" w:type="dxa"/>
          <w:tblLayout w:type="fixed"/>
          <w:tblCellMar>
            <w:left w:w="0" w:type="dxa"/>
            <w:right w:w="0" w:type="dxa"/>
          </w:tblCellMar>
          <w:tblLook w:val="0000"/>
        </w:tblPrEx>
        <w:tc>
          <w:tcPr>
            <w:tcW w:w="3685" w:type="dxa"/>
            <w:tcBorders>
              <w:top w:val="single" w:sz="8" w:space="0" w:color="000000"/>
              <w:left w:val="single" w:sz="8" w:space="0" w:color="000000"/>
              <w:bottom w:val="single" w:sz="8" w:space="0" w:color="000000"/>
              <w:right w:val="single" w:sz="8" w:space="0" w:color="000000"/>
            </w:tcBorders>
            <w:tcMar>
              <w:top w:w="79" w:type="dxa"/>
              <w:left w:w="79" w:type="dxa"/>
              <w:bottom w:w="79" w:type="dxa"/>
              <w:right w:w="79" w:type="dxa"/>
            </w:tcMar>
          </w:tcPr>
          <w:p w:rsidR="00AE735B" w:rsidRPr="00BB5DE9" w14:paraId="60E5D6F1" w14:textId="77777777">
            <w:pPr>
              <w:autoSpaceDE w:val="0"/>
              <w:autoSpaceDN w:val="0"/>
              <w:adjustRightInd w:val="0"/>
              <w:rPr>
                <w:b/>
                <w:bCs/>
                <w:color w:val="000000"/>
                <w:sz w:val="20"/>
              </w:rPr>
            </w:pPr>
            <w:r w:rsidRPr="00BB5DE9">
              <w:rPr>
                <w:b/>
                <w:color w:val="000000"/>
                <w:sz w:val="20"/>
              </w:rPr>
              <w:t>Approvazione</w:t>
            </w:r>
          </w:p>
        </w:tc>
        <w:tc>
          <w:tcPr>
            <w:tcW w:w="1530" w:type="dxa"/>
            <w:tcBorders>
              <w:top w:val="single" w:sz="8" w:space="0" w:color="000000"/>
              <w:left w:val="nil"/>
              <w:bottom w:val="single" w:sz="8" w:space="0" w:color="000000"/>
              <w:right w:val="nil"/>
            </w:tcBorders>
            <w:tcMar>
              <w:top w:w="79" w:type="dxa"/>
              <w:left w:w="79" w:type="dxa"/>
              <w:bottom w:w="79" w:type="dxa"/>
              <w:right w:w="79" w:type="dxa"/>
            </w:tcMar>
          </w:tcPr>
          <w:p w:rsidR="00AE735B" w:rsidRPr="00BB5DE9" w14:paraId="6C73D861" w14:textId="77777777">
            <w:pPr>
              <w:autoSpaceDE w:val="0"/>
              <w:autoSpaceDN w:val="0"/>
              <w:adjustRightInd w:val="0"/>
              <w:rPr>
                <w:color w:val="000000"/>
                <w:sz w:val="20"/>
              </w:rPr>
            </w:pPr>
            <w:r w:rsidRPr="00BB5DE9">
              <w:rPr>
                <w:color w:val="000000"/>
                <w:sz w:val="20"/>
              </w:rPr>
              <w:t>29.9.2026</w:t>
            </w:r>
          </w:p>
        </w:tc>
        <w:tc>
          <w:tcPr>
            <w:tcW w:w="1474" w:type="dxa"/>
            <w:tcBorders>
              <w:top w:val="single" w:sz="8" w:space="0" w:color="000000"/>
              <w:left w:val="nil"/>
              <w:bottom w:val="single" w:sz="8" w:space="0" w:color="000000"/>
              <w:right w:val="nil"/>
            </w:tcBorders>
            <w:tcMar>
              <w:top w:w="79" w:type="dxa"/>
              <w:left w:w="79" w:type="dxa"/>
              <w:bottom w:w="79" w:type="dxa"/>
              <w:right w:w="79" w:type="dxa"/>
            </w:tcMar>
          </w:tcPr>
          <w:p w:rsidR="00AE735B" w:rsidRPr="00BB5DE9" w14:paraId="3340F29B" w14:textId="77777777">
            <w:pPr>
              <w:autoSpaceDE w:val="0"/>
              <w:autoSpaceDN w:val="0"/>
              <w:adjustRightInd w:val="0"/>
              <w:rPr>
                <w:rFonts w:ascii="sans-serif" w:hAnsi="sans-serif" w:cs="sans-serif"/>
                <w:color w:val="000000"/>
              </w:rPr>
            </w:pPr>
          </w:p>
        </w:tc>
        <w:tc>
          <w:tcPr>
            <w:tcW w:w="1474" w:type="dxa"/>
            <w:tcBorders>
              <w:top w:val="single" w:sz="8" w:space="0" w:color="000000"/>
              <w:left w:val="nil"/>
              <w:bottom w:val="single" w:sz="8" w:space="0" w:color="000000"/>
              <w:right w:val="nil"/>
            </w:tcBorders>
            <w:tcMar>
              <w:top w:w="79" w:type="dxa"/>
              <w:left w:w="79" w:type="dxa"/>
              <w:bottom w:w="79" w:type="dxa"/>
              <w:right w:w="79" w:type="dxa"/>
            </w:tcMar>
          </w:tcPr>
          <w:p w:rsidR="00AE735B" w:rsidRPr="00BB5DE9" w14:paraId="5DA7F767" w14:textId="77777777">
            <w:pPr>
              <w:autoSpaceDE w:val="0"/>
              <w:autoSpaceDN w:val="0"/>
              <w:adjustRightInd w:val="0"/>
              <w:rPr>
                <w:rFonts w:ascii="sans-serif" w:hAnsi="sans-serif" w:cs="sans-serif"/>
                <w:color w:val="000000"/>
              </w:rPr>
            </w:pPr>
          </w:p>
        </w:tc>
        <w:tc>
          <w:tcPr>
            <w:tcW w:w="1474" w:type="dxa"/>
            <w:tcBorders>
              <w:top w:val="single" w:sz="8" w:space="0" w:color="000000"/>
              <w:left w:val="nil"/>
              <w:bottom w:val="single" w:sz="8" w:space="0" w:color="000000"/>
              <w:right w:val="single" w:sz="8" w:space="0" w:color="000000"/>
            </w:tcBorders>
            <w:tcMar>
              <w:top w:w="79" w:type="dxa"/>
              <w:left w:w="79" w:type="dxa"/>
              <w:bottom w:w="79" w:type="dxa"/>
              <w:right w:w="79" w:type="dxa"/>
            </w:tcMar>
          </w:tcPr>
          <w:p w:rsidR="00AE735B" w:rsidRPr="00BB5DE9" w14:paraId="0FCB151E" w14:textId="77777777">
            <w:pPr>
              <w:autoSpaceDE w:val="0"/>
              <w:autoSpaceDN w:val="0"/>
              <w:adjustRightInd w:val="0"/>
              <w:rPr>
                <w:rFonts w:ascii="sans-serif" w:hAnsi="sans-serif" w:cs="sans-serif"/>
                <w:color w:val="000000"/>
              </w:rPr>
            </w:pPr>
          </w:p>
        </w:tc>
      </w:tr>
      <w:tr w14:paraId="719587B5" w14:textId="77777777">
        <w:tblPrEx>
          <w:tblW w:w="0" w:type="auto"/>
          <w:tblInd w:w="-10" w:type="dxa"/>
          <w:tblLayout w:type="fixed"/>
          <w:tblCellMar>
            <w:left w:w="0" w:type="dxa"/>
            <w:right w:w="0" w:type="dxa"/>
          </w:tblCellMar>
          <w:tblLook w:val="0000"/>
        </w:tblPrEx>
        <w:tc>
          <w:tcPr>
            <w:tcW w:w="3685" w:type="dxa"/>
            <w:tcBorders>
              <w:top w:val="single" w:sz="8" w:space="0" w:color="000000"/>
              <w:left w:val="single" w:sz="8" w:space="0" w:color="000000"/>
              <w:bottom w:val="single" w:sz="8" w:space="0" w:color="000000"/>
              <w:right w:val="single" w:sz="8" w:space="0" w:color="000000"/>
            </w:tcBorders>
            <w:tcMar>
              <w:top w:w="79" w:type="dxa"/>
              <w:left w:w="79" w:type="dxa"/>
              <w:bottom w:w="79" w:type="dxa"/>
              <w:right w:w="79" w:type="dxa"/>
            </w:tcMar>
          </w:tcPr>
          <w:p w:rsidR="00AE735B" w:rsidRPr="00BB5DE9" w14:paraId="0180B019" w14:textId="77777777">
            <w:pPr>
              <w:autoSpaceDE w:val="0"/>
              <w:autoSpaceDN w:val="0"/>
              <w:adjustRightInd w:val="0"/>
              <w:rPr>
                <w:b/>
                <w:bCs/>
                <w:color w:val="000000"/>
                <w:sz w:val="20"/>
              </w:rPr>
            </w:pPr>
            <w:r w:rsidRPr="00BB5DE9">
              <w:rPr>
                <w:b/>
                <w:color w:val="000000"/>
                <w:sz w:val="20"/>
              </w:rPr>
              <w:t>Esito della votazione finale</w:t>
            </w:r>
          </w:p>
        </w:tc>
        <w:tc>
          <w:tcPr>
            <w:tcW w:w="1530" w:type="dxa"/>
            <w:tcBorders>
              <w:top w:val="single" w:sz="8" w:space="0" w:color="000000"/>
              <w:left w:val="nil"/>
              <w:bottom w:val="single" w:sz="8" w:space="0" w:color="000000"/>
              <w:right w:val="nil"/>
            </w:tcBorders>
            <w:tcMar>
              <w:top w:w="79" w:type="dxa"/>
              <w:left w:w="79" w:type="dxa"/>
              <w:bottom w:w="79" w:type="dxa"/>
              <w:right w:w="79" w:type="dxa"/>
            </w:tcMar>
          </w:tcPr>
          <w:p w:rsidR="00AE735B" w:rsidRPr="00BB5DE9" w14:paraId="40F05EA9" w14:textId="77777777">
            <w:pPr>
              <w:autoSpaceDE w:val="0"/>
              <w:autoSpaceDN w:val="0"/>
              <w:adjustRightInd w:val="0"/>
              <w:rPr>
                <w:color w:val="000000"/>
                <w:sz w:val="20"/>
              </w:rPr>
            </w:pPr>
            <w:r w:rsidRPr="00BB5DE9">
              <w:rPr>
                <w:color w:val="000000"/>
                <w:sz w:val="20"/>
              </w:rPr>
              <w:t>+:</w:t>
            </w:r>
          </w:p>
          <w:p w:rsidR="00AE735B" w:rsidRPr="00BB5DE9" w14:paraId="606C6058" w14:textId="77777777">
            <w:pPr>
              <w:autoSpaceDE w:val="0"/>
              <w:autoSpaceDN w:val="0"/>
              <w:adjustRightInd w:val="0"/>
              <w:rPr>
                <w:color w:val="000000"/>
                <w:sz w:val="20"/>
              </w:rPr>
            </w:pPr>
            <w:r w:rsidRPr="00BB5DE9">
              <w:rPr>
                <w:color w:val="000000"/>
                <w:sz w:val="20"/>
              </w:rPr>
              <w:t>–:</w:t>
            </w:r>
          </w:p>
          <w:p w:rsidR="00AE735B" w:rsidRPr="00BB5DE9" w14:paraId="38B90B4D" w14:textId="77777777">
            <w:pPr>
              <w:autoSpaceDE w:val="0"/>
              <w:autoSpaceDN w:val="0"/>
              <w:adjustRightInd w:val="0"/>
              <w:rPr>
                <w:color w:val="000000"/>
                <w:sz w:val="20"/>
              </w:rPr>
            </w:pPr>
            <w:r w:rsidRPr="00BB5DE9">
              <w:rPr>
                <w:color w:val="000000"/>
                <w:sz w:val="20"/>
              </w:rPr>
              <w:t>0:</w:t>
            </w:r>
          </w:p>
        </w:tc>
        <w:tc>
          <w:tcPr>
            <w:tcW w:w="4422" w:type="dxa"/>
            <w:gridSpan w:val="3"/>
            <w:tcBorders>
              <w:top w:val="single" w:sz="8" w:space="0" w:color="000000"/>
              <w:left w:val="nil"/>
              <w:bottom w:val="single" w:sz="8" w:space="0" w:color="000000"/>
              <w:right w:val="single" w:sz="8" w:space="0" w:color="000000"/>
            </w:tcBorders>
            <w:tcMar>
              <w:top w:w="79" w:type="dxa"/>
              <w:left w:w="79" w:type="dxa"/>
              <w:bottom w:w="79" w:type="dxa"/>
              <w:right w:w="79" w:type="dxa"/>
            </w:tcMar>
          </w:tcPr>
          <w:p w:rsidR="00AE735B" w:rsidRPr="00BB5DE9" w14:paraId="2DF36210" w14:textId="77777777">
            <w:pPr>
              <w:autoSpaceDE w:val="0"/>
              <w:autoSpaceDN w:val="0"/>
              <w:adjustRightInd w:val="0"/>
              <w:rPr>
                <w:color w:val="000000"/>
                <w:sz w:val="20"/>
              </w:rPr>
            </w:pPr>
            <w:r w:rsidRPr="00BB5DE9">
              <w:rPr>
                <w:color w:val="000000"/>
                <w:sz w:val="20"/>
              </w:rPr>
              <w:t>23</w:t>
            </w:r>
          </w:p>
          <w:p w:rsidR="00AE735B" w:rsidRPr="00BB5DE9" w14:paraId="6D05D886" w14:textId="77777777">
            <w:pPr>
              <w:autoSpaceDE w:val="0"/>
              <w:autoSpaceDN w:val="0"/>
              <w:adjustRightInd w:val="0"/>
              <w:rPr>
                <w:color w:val="000000"/>
                <w:sz w:val="20"/>
              </w:rPr>
            </w:pPr>
            <w:r w:rsidRPr="00BB5DE9">
              <w:rPr>
                <w:color w:val="000000"/>
                <w:sz w:val="20"/>
              </w:rPr>
              <w:t>2</w:t>
            </w:r>
          </w:p>
          <w:p w:rsidR="00AE735B" w:rsidRPr="00BB5DE9" w14:paraId="14508F48" w14:textId="77777777">
            <w:pPr>
              <w:autoSpaceDE w:val="0"/>
              <w:autoSpaceDN w:val="0"/>
              <w:adjustRightInd w:val="0"/>
              <w:rPr>
                <w:color w:val="000000"/>
                <w:sz w:val="20"/>
              </w:rPr>
            </w:pPr>
            <w:r w:rsidRPr="00BB5DE9">
              <w:rPr>
                <w:color w:val="000000"/>
                <w:sz w:val="20"/>
              </w:rPr>
              <w:t>1</w:t>
            </w:r>
          </w:p>
        </w:tc>
      </w:tr>
    </w:tbl>
    <w:p w:rsidR="00AE735B" w:rsidRPr="00BB5DE9" w14:paraId="108420B2" w14:textId="77777777"/>
    <w:p w:rsidR="00AE735B" w:rsidRPr="00BB5DE9" w:rsidP="00764922" w14:paraId="37E6FC8B" w14:textId="77777777">
      <w:pPr>
        <w:sectPr w:rsidSect="00AE735B">
          <w:pgSz w:w="11894" w:h="15840"/>
          <w:pgMar w:top="1700" w:right="1417" w:bottom="1417" w:left="1417" w:header="720" w:footer="720" w:gutter="0"/>
          <w:cols w:space="720"/>
          <w:noEndnote/>
          <w:docGrid w:linePitch="326"/>
        </w:sectPr>
      </w:pPr>
    </w:p>
    <w:p w:rsidR="00AE735B" w:rsidRPr="00BB5DE9" w:rsidP="00764922" w14:paraId="33733CF5" w14:textId="77777777"/>
    <w:p w:rsidR="00AE735B" w:rsidRPr="00BB5DE9" w:rsidP="00C36610" w14:paraId="66F66263" w14:textId="77777777">
      <w:pPr>
        <w:pStyle w:val="PageHeadingNotTOC"/>
      </w:pPr>
      <w:r w:rsidRPr="00BB5DE9">
        <w:t>VOTAZIONE FINALE PER APPELLO NOMINALE</w:t>
      </w:r>
      <w:r w:rsidRPr="00BB5DE9">
        <w:br/>
        <w:t>DA PARTE DELLA COMMISSIONE COMPETENTE PER PARERE</w:t>
      </w:r>
    </w:p>
    <w:tbl>
      <w:tblPr>
        <w:tblW w:w="0" w:type="auto"/>
        <w:tblInd w:w="145" w:type="dxa"/>
        <w:tblBorders>
          <w:top w:val="double" w:sz="2" w:space="0" w:color="000000"/>
          <w:left w:val="double" w:sz="2" w:space="0" w:color="000000"/>
          <w:bottom w:val="double" w:sz="2" w:space="0" w:color="000000"/>
          <w:right w:val="double" w:sz="2" w:space="0" w:color="000000"/>
          <w:insideH w:val="single" w:sz="2" w:space="0" w:color="000000"/>
          <w:insideV w:val="single" w:sz="2" w:space="0" w:color="000000"/>
        </w:tblBorders>
        <w:tblLayout w:type="fixed"/>
        <w:tblCellMar>
          <w:left w:w="145" w:type="dxa"/>
          <w:right w:w="145" w:type="dxa"/>
        </w:tblCellMar>
        <w:tblLook w:val="0000"/>
      </w:tblPr>
      <w:tblGrid>
        <w:gridCol w:w="1701"/>
        <w:gridCol w:w="7371"/>
      </w:tblGrid>
      <w:tr w14:paraId="6B9CFAD2" w14:textId="77777777" w:rsidTr="007C7755">
        <w:tblPrEx>
          <w:tblW w:w="0" w:type="auto"/>
          <w:tblInd w:w="145" w:type="dxa"/>
          <w:tblBorders>
            <w:top w:val="double" w:sz="2" w:space="0" w:color="000000"/>
            <w:left w:val="double" w:sz="2" w:space="0" w:color="000000"/>
            <w:bottom w:val="double" w:sz="2" w:space="0" w:color="000000"/>
            <w:right w:val="double" w:sz="2" w:space="0" w:color="000000"/>
            <w:insideH w:val="single" w:sz="2" w:space="0" w:color="000000"/>
            <w:insideV w:val="single" w:sz="2" w:space="0" w:color="000000"/>
          </w:tblBorders>
          <w:tblLayout w:type="fixed"/>
          <w:tblCellMar>
            <w:left w:w="145" w:type="dxa"/>
            <w:right w:w="145" w:type="dxa"/>
          </w:tblCellMar>
          <w:tblLook w:val="0000"/>
        </w:tblPrEx>
        <w:trPr>
          <w:cantSplit/>
        </w:trPr>
        <w:tc>
          <w:tcPr>
            <w:tcW w:w="1701" w:type="dxa"/>
            <w:shd w:val="pct10" w:color="000000" w:fill="FFFFFF"/>
            <w:vAlign w:val="center"/>
          </w:tcPr>
          <w:p w:rsidR="00AE735B" w:rsidRPr="00BB5DE9" w:rsidP="007C7755" w14:paraId="15295293" w14:textId="77777777">
            <w:pPr>
              <w:pStyle w:val="RollCallVotes"/>
              <w:rPr>
                <w:lang w:val="it-IT"/>
              </w:rPr>
            </w:pPr>
            <w:r w:rsidRPr="00BB5DE9">
              <w:rPr>
                <w:lang w:val="it-IT"/>
              </w:rPr>
              <w:t>23</w:t>
            </w:r>
          </w:p>
        </w:tc>
        <w:tc>
          <w:tcPr>
            <w:tcW w:w="7371" w:type="dxa"/>
            <w:shd w:val="pct10" w:color="000000" w:fill="FFFFFF"/>
          </w:tcPr>
          <w:p w:rsidR="00AE735B" w:rsidRPr="00BB5DE9" w:rsidP="007C7755" w14:paraId="6D518660" w14:textId="77777777">
            <w:pPr>
              <w:pStyle w:val="RollCallSymbols14pt"/>
              <w:rPr>
                <w:lang w:val="it-IT"/>
              </w:rPr>
            </w:pPr>
            <w:r w:rsidRPr="00BB5DE9">
              <w:rPr>
                <w:lang w:val="it-IT"/>
              </w:rPr>
              <w:t>+</w:t>
            </w:r>
          </w:p>
        </w:tc>
      </w:tr>
      <w:tr w14:paraId="3218D86C" w14:textId="77777777" w:rsidTr="007C7755">
        <w:tblPrEx>
          <w:tblW w:w="0" w:type="auto"/>
          <w:tblInd w:w="145" w:type="dxa"/>
          <w:tblLayout w:type="fixed"/>
          <w:tblCellMar>
            <w:left w:w="145" w:type="dxa"/>
            <w:right w:w="145" w:type="dxa"/>
          </w:tblCellMar>
          <w:tblLook w:val="0000"/>
        </w:tblPrEx>
        <w:trPr>
          <w:cantSplit/>
        </w:trPr>
        <w:tc>
          <w:tcPr>
            <w:tcW w:w="1701" w:type="dxa"/>
            <w:shd w:val="clear" w:color="auto" w:fill="FFFFFF"/>
          </w:tcPr>
          <w:p w:rsidR="00AE735B" w:rsidRPr="00BB5DE9" w:rsidP="007C7755" w14:paraId="004F4480" w14:textId="77777777">
            <w:pPr>
              <w:pStyle w:val="RollCallTable"/>
              <w:rPr>
                <w:lang w:val="it-IT"/>
              </w:rPr>
            </w:pPr>
            <w:r w:rsidRPr="00BB5DE9">
              <w:rPr>
                <w:lang w:val="it-IT"/>
              </w:rPr>
              <w:t>ECR</w:t>
            </w:r>
          </w:p>
        </w:tc>
        <w:tc>
          <w:tcPr>
            <w:tcW w:w="7371" w:type="dxa"/>
            <w:shd w:val="clear" w:color="auto" w:fill="FFFFFF"/>
          </w:tcPr>
          <w:p w:rsidR="00AE735B" w:rsidRPr="00BB5DE9" w:rsidP="007C7755" w14:paraId="7C039FDD" w14:textId="77777777">
            <w:pPr>
              <w:pStyle w:val="RollCallTable"/>
              <w:rPr>
                <w:lang w:val="it-IT"/>
              </w:rPr>
            </w:pPr>
            <w:r w:rsidRPr="00BB5DE9">
              <w:rPr>
                <w:lang w:val="it-IT"/>
              </w:rPr>
              <w:t>Lara Magoni, Marco Squarta</w:t>
            </w:r>
          </w:p>
        </w:tc>
      </w:tr>
      <w:tr w14:paraId="1C97CD84" w14:textId="77777777" w:rsidTr="007C7755">
        <w:tblPrEx>
          <w:tblW w:w="0" w:type="auto"/>
          <w:tblInd w:w="145" w:type="dxa"/>
          <w:tblLayout w:type="fixed"/>
          <w:tblCellMar>
            <w:left w:w="145" w:type="dxa"/>
            <w:right w:w="145" w:type="dxa"/>
          </w:tblCellMar>
          <w:tblLook w:val="0000"/>
        </w:tblPrEx>
        <w:trPr>
          <w:cantSplit/>
        </w:trPr>
        <w:tc>
          <w:tcPr>
            <w:tcW w:w="1701" w:type="dxa"/>
            <w:shd w:val="clear" w:color="auto" w:fill="FFFFFF"/>
          </w:tcPr>
          <w:p w:rsidR="00AE735B" w:rsidRPr="00BB5DE9" w:rsidP="007C7755" w14:paraId="7E33881D" w14:textId="77777777">
            <w:pPr>
              <w:pStyle w:val="RollCallTable"/>
              <w:rPr>
                <w:lang w:val="it-IT"/>
              </w:rPr>
            </w:pPr>
            <w:r w:rsidRPr="00BB5DE9">
              <w:rPr>
                <w:lang w:val="it-IT"/>
              </w:rPr>
              <w:t>PPE</w:t>
            </w:r>
          </w:p>
        </w:tc>
        <w:tc>
          <w:tcPr>
            <w:tcW w:w="7371" w:type="dxa"/>
            <w:shd w:val="clear" w:color="auto" w:fill="FFFFFF"/>
          </w:tcPr>
          <w:p w:rsidR="00AE735B" w:rsidRPr="00BB5DE9" w:rsidP="007C7755" w14:paraId="19F9BB6C" w14:textId="77777777">
            <w:pPr>
              <w:pStyle w:val="RollCallTable"/>
              <w:rPr>
                <w:lang w:val="it-IT"/>
              </w:rPr>
            </w:pPr>
            <w:r w:rsidRPr="00BB5DE9">
              <w:rPr>
                <w:lang w:val="it-IT"/>
              </w:rPr>
              <w:t>Pablo Arias Echeverría, Zala Černilec Tomašič, Loucas Fourlas, Giusi Princi, Manuela Ripa, Hélder Sousa Silva, Viktor Weisz, Bogdan Andrzej Zdrojewski</w:t>
            </w:r>
          </w:p>
        </w:tc>
      </w:tr>
      <w:tr w14:paraId="294AF8CD" w14:textId="77777777" w:rsidTr="007C7755">
        <w:tblPrEx>
          <w:tblW w:w="0" w:type="auto"/>
          <w:tblInd w:w="145" w:type="dxa"/>
          <w:tblLayout w:type="fixed"/>
          <w:tblCellMar>
            <w:left w:w="145" w:type="dxa"/>
            <w:right w:w="145" w:type="dxa"/>
          </w:tblCellMar>
          <w:tblLook w:val="0000"/>
        </w:tblPrEx>
        <w:trPr>
          <w:cantSplit/>
        </w:trPr>
        <w:tc>
          <w:tcPr>
            <w:tcW w:w="1701" w:type="dxa"/>
            <w:shd w:val="clear" w:color="auto" w:fill="FFFFFF"/>
          </w:tcPr>
          <w:p w:rsidR="00AE735B" w:rsidRPr="00BB5DE9" w:rsidP="007C7755" w14:paraId="06B40C09" w14:textId="77777777">
            <w:pPr>
              <w:pStyle w:val="RollCallTable"/>
              <w:rPr>
                <w:lang w:val="it-IT"/>
              </w:rPr>
            </w:pPr>
            <w:r w:rsidRPr="00BB5DE9">
              <w:rPr>
                <w:lang w:val="it-IT"/>
              </w:rPr>
              <w:t>Renew</w:t>
            </w:r>
          </w:p>
        </w:tc>
        <w:tc>
          <w:tcPr>
            <w:tcW w:w="7371" w:type="dxa"/>
            <w:shd w:val="clear" w:color="auto" w:fill="FFFFFF"/>
          </w:tcPr>
          <w:p w:rsidR="00AE735B" w:rsidRPr="00BB5DE9" w:rsidP="007C7755" w14:paraId="443E68E5" w14:textId="77777777">
            <w:pPr>
              <w:pStyle w:val="RollCallTable"/>
              <w:rPr>
                <w:lang w:val="it-IT"/>
              </w:rPr>
            </w:pPr>
            <w:r w:rsidRPr="00BB5DE9">
              <w:rPr>
                <w:lang w:val="it-IT"/>
              </w:rPr>
              <w:t>Laurence Farreng, Hristo Petrov, Eugen Tomac</w:t>
            </w:r>
          </w:p>
        </w:tc>
      </w:tr>
      <w:tr w14:paraId="600E5A5E" w14:textId="77777777" w:rsidTr="007C7755">
        <w:tblPrEx>
          <w:tblW w:w="0" w:type="auto"/>
          <w:tblInd w:w="145" w:type="dxa"/>
          <w:tblLayout w:type="fixed"/>
          <w:tblCellMar>
            <w:left w:w="145" w:type="dxa"/>
            <w:right w:w="145" w:type="dxa"/>
          </w:tblCellMar>
          <w:tblLook w:val="0000"/>
        </w:tblPrEx>
        <w:trPr>
          <w:cantSplit/>
        </w:trPr>
        <w:tc>
          <w:tcPr>
            <w:tcW w:w="1701" w:type="dxa"/>
            <w:shd w:val="clear" w:color="auto" w:fill="FFFFFF"/>
          </w:tcPr>
          <w:p w:rsidR="00AE735B" w:rsidRPr="00BB5DE9" w:rsidP="007C7755" w14:paraId="3C37A19F" w14:textId="77777777">
            <w:pPr>
              <w:pStyle w:val="RollCallTable"/>
              <w:rPr>
                <w:lang w:val="it-IT"/>
              </w:rPr>
            </w:pPr>
            <w:r w:rsidRPr="00BB5DE9">
              <w:rPr>
                <w:lang w:val="it-IT"/>
              </w:rPr>
              <w:t>S&amp;D</w:t>
            </w:r>
          </w:p>
        </w:tc>
        <w:tc>
          <w:tcPr>
            <w:tcW w:w="7371" w:type="dxa"/>
            <w:shd w:val="clear" w:color="auto" w:fill="FFFFFF"/>
          </w:tcPr>
          <w:p w:rsidR="00AE735B" w:rsidRPr="00BB5DE9" w:rsidP="007C7755" w14:paraId="3D401FBD" w14:textId="77777777">
            <w:pPr>
              <w:pStyle w:val="RollCallTable"/>
              <w:rPr>
                <w:lang w:val="it-IT"/>
              </w:rPr>
            </w:pPr>
            <w:r w:rsidRPr="00BB5DE9">
              <w:rPr>
                <w:lang w:val="it-IT"/>
              </w:rPr>
              <w:t>Maria Guzenina, Hannes Heide, Emma Rafowicz, Sabrina Repp, Sandro Ruotolo, Joanna Scheuring-Wielgus</w:t>
            </w:r>
          </w:p>
        </w:tc>
      </w:tr>
      <w:tr w14:paraId="42010FEC" w14:textId="77777777" w:rsidTr="007C7755">
        <w:tblPrEx>
          <w:tblW w:w="0" w:type="auto"/>
          <w:tblInd w:w="145" w:type="dxa"/>
          <w:tblLayout w:type="fixed"/>
          <w:tblCellMar>
            <w:left w:w="145" w:type="dxa"/>
            <w:right w:w="145" w:type="dxa"/>
          </w:tblCellMar>
          <w:tblLook w:val="0000"/>
        </w:tblPrEx>
        <w:trPr>
          <w:cantSplit/>
        </w:trPr>
        <w:tc>
          <w:tcPr>
            <w:tcW w:w="1701" w:type="dxa"/>
            <w:shd w:val="clear" w:color="auto" w:fill="FFFFFF"/>
          </w:tcPr>
          <w:p w:rsidR="00AE735B" w:rsidRPr="00BB5DE9" w:rsidP="007C7755" w14:paraId="21ADB7A5" w14:textId="77777777">
            <w:pPr>
              <w:pStyle w:val="RollCallTable"/>
              <w:rPr>
                <w:lang w:val="it-IT"/>
              </w:rPr>
            </w:pPr>
            <w:r w:rsidRPr="00BB5DE9">
              <w:rPr>
                <w:lang w:val="it-IT"/>
              </w:rPr>
              <w:t>The Left</w:t>
            </w:r>
          </w:p>
        </w:tc>
        <w:tc>
          <w:tcPr>
            <w:tcW w:w="7371" w:type="dxa"/>
            <w:shd w:val="clear" w:color="auto" w:fill="FFFFFF"/>
          </w:tcPr>
          <w:p w:rsidR="00AE735B" w:rsidRPr="00BB5DE9" w:rsidP="007C7755" w14:paraId="206AF336" w14:textId="77777777">
            <w:pPr>
              <w:pStyle w:val="RollCallTable"/>
              <w:rPr>
                <w:lang w:val="it-IT"/>
              </w:rPr>
            </w:pPr>
            <w:r w:rsidRPr="00BB5DE9">
              <w:rPr>
                <w:lang w:val="it-IT"/>
              </w:rPr>
              <w:t>Carolina Morace, Nikos Pappas</w:t>
            </w:r>
          </w:p>
        </w:tc>
      </w:tr>
      <w:tr w14:paraId="20784031" w14:textId="77777777" w:rsidTr="007C7755">
        <w:tblPrEx>
          <w:tblW w:w="0" w:type="auto"/>
          <w:tblInd w:w="145" w:type="dxa"/>
          <w:tblLayout w:type="fixed"/>
          <w:tblCellMar>
            <w:left w:w="145" w:type="dxa"/>
            <w:right w:w="145" w:type="dxa"/>
          </w:tblCellMar>
          <w:tblLook w:val="0000"/>
        </w:tblPrEx>
        <w:trPr>
          <w:cantSplit/>
        </w:trPr>
        <w:tc>
          <w:tcPr>
            <w:tcW w:w="1701" w:type="dxa"/>
            <w:shd w:val="clear" w:color="auto" w:fill="FFFFFF"/>
          </w:tcPr>
          <w:p w:rsidR="00AE735B" w:rsidRPr="00BB5DE9" w:rsidP="007C7755" w14:paraId="3DCC9824" w14:textId="77777777">
            <w:pPr>
              <w:pStyle w:val="RollCallTable"/>
              <w:rPr>
                <w:lang w:val="it-IT"/>
              </w:rPr>
            </w:pPr>
            <w:r w:rsidRPr="00BB5DE9">
              <w:rPr>
                <w:lang w:val="it-IT"/>
              </w:rPr>
              <w:t>Verts/ALE</w:t>
            </w:r>
          </w:p>
        </w:tc>
        <w:tc>
          <w:tcPr>
            <w:tcW w:w="7371" w:type="dxa"/>
            <w:shd w:val="clear" w:color="auto" w:fill="FFFFFF"/>
          </w:tcPr>
          <w:p w:rsidR="00AE735B" w:rsidRPr="00BB5DE9" w:rsidP="007C7755" w14:paraId="6CF57AE3" w14:textId="77777777">
            <w:pPr>
              <w:pStyle w:val="RollCallTable"/>
              <w:rPr>
                <w:lang w:val="it-IT"/>
              </w:rPr>
            </w:pPr>
            <w:r w:rsidRPr="00BB5DE9">
              <w:rPr>
                <w:lang w:val="it-IT"/>
              </w:rPr>
              <w:t>Diana Riba i Giner, Nela Riehl</w:t>
            </w:r>
          </w:p>
        </w:tc>
      </w:tr>
    </w:tbl>
    <w:p w:rsidR="00AE735B" w:rsidRPr="00BB5DE9" w:rsidP="00764922" w14:paraId="404356AA" w14:textId="77777777"/>
    <w:tbl>
      <w:tblPr>
        <w:tblW w:w="0" w:type="auto"/>
        <w:tblInd w:w="145" w:type="dxa"/>
        <w:tblBorders>
          <w:top w:val="double" w:sz="2" w:space="0" w:color="000000"/>
          <w:left w:val="double" w:sz="2" w:space="0" w:color="000000"/>
          <w:bottom w:val="double" w:sz="2" w:space="0" w:color="000000"/>
          <w:right w:val="double" w:sz="2" w:space="0" w:color="000000"/>
          <w:insideH w:val="single" w:sz="2" w:space="0" w:color="000000"/>
          <w:insideV w:val="single" w:sz="2" w:space="0" w:color="000000"/>
        </w:tblBorders>
        <w:tblLayout w:type="fixed"/>
        <w:tblCellMar>
          <w:left w:w="145" w:type="dxa"/>
          <w:right w:w="145" w:type="dxa"/>
        </w:tblCellMar>
        <w:tblLook w:val="0000"/>
      </w:tblPr>
      <w:tblGrid>
        <w:gridCol w:w="1701"/>
        <w:gridCol w:w="7371"/>
      </w:tblGrid>
      <w:tr w14:paraId="7F21CAE1" w14:textId="77777777" w:rsidTr="007C7755">
        <w:tblPrEx>
          <w:tblW w:w="0" w:type="auto"/>
          <w:tblInd w:w="145" w:type="dxa"/>
          <w:tblBorders>
            <w:top w:val="double" w:sz="2" w:space="0" w:color="000000"/>
            <w:left w:val="double" w:sz="2" w:space="0" w:color="000000"/>
            <w:bottom w:val="double" w:sz="2" w:space="0" w:color="000000"/>
            <w:right w:val="double" w:sz="2" w:space="0" w:color="000000"/>
            <w:insideH w:val="single" w:sz="2" w:space="0" w:color="000000"/>
            <w:insideV w:val="single" w:sz="2" w:space="0" w:color="000000"/>
          </w:tblBorders>
          <w:tblLayout w:type="fixed"/>
          <w:tblCellMar>
            <w:left w:w="145" w:type="dxa"/>
            <w:right w:w="145" w:type="dxa"/>
          </w:tblCellMar>
          <w:tblLook w:val="0000"/>
        </w:tblPrEx>
        <w:trPr>
          <w:cantSplit/>
        </w:trPr>
        <w:tc>
          <w:tcPr>
            <w:tcW w:w="1701" w:type="dxa"/>
            <w:shd w:val="pct10" w:color="000000" w:fill="FFFFFF"/>
            <w:vAlign w:val="center"/>
          </w:tcPr>
          <w:p w:rsidR="00AE735B" w:rsidRPr="00BB5DE9" w:rsidP="007C7755" w14:paraId="7260A0CE" w14:textId="77777777">
            <w:pPr>
              <w:pStyle w:val="RollCallVotes"/>
              <w:rPr>
                <w:lang w:val="it-IT"/>
              </w:rPr>
            </w:pPr>
            <w:r w:rsidRPr="00BB5DE9">
              <w:rPr>
                <w:lang w:val="it-IT"/>
              </w:rPr>
              <w:t>2</w:t>
            </w:r>
          </w:p>
        </w:tc>
        <w:tc>
          <w:tcPr>
            <w:tcW w:w="7371" w:type="dxa"/>
            <w:shd w:val="pct10" w:color="000000" w:fill="FFFFFF"/>
          </w:tcPr>
          <w:p w:rsidR="00AE735B" w:rsidRPr="00BB5DE9" w:rsidP="007C7755" w14:paraId="0005F201" w14:textId="77777777">
            <w:pPr>
              <w:pStyle w:val="RollCallSymbols14pt"/>
              <w:rPr>
                <w:lang w:val="it-IT"/>
              </w:rPr>
            </w:pPr>
            <w:r w:rsidRPr="00BB5DE9">
              <w:rPr>
                <w:lang w:val="it-IT"/>
              </w:rPr>
              <w:t>-</w:t>
            </w:r>
          </w:p>
        </w:tc>
      </w:tr>
      <w:tr w14:paraId="692721CD" w14:textId="77777777" w:rsidTr="007C7755">
        <w:tblPrEx>
          <w:tblW w:w="0" w:type="auto"/>
          <w:tblInd w:w="145" w:type="dxa"/>
          <w:tblLayout w:type="fixed"/>
          <w:tblCellMar>
            <w:left w:w="145" w:type="dxa"/>
            <w:right w:w="145" w:type="dxa"/>
          </w:tblCellMar>
          <w:tblLook w:val="0000"/>
        </w:tblPrEx>
        <w:trPr>
          <w:cantSplit/>
        </w:trPr>
        <w:tc>
          <w:tcPr>
            <w:tcW w:w="1701" w:type="dxa"/>
            <w:shd w:val="clear" w:color="auto" w:fill="FFFFFF"/>
          </w:tcPr>
          <w:p w:rsidR="00AE735B" w:rsidRPr="00BB5DE9" w:rsidP="007C7755" w14:paraId="4E71149F" w14:textId="77777777">
            <w:pPr>
              <w:pStyle w:val="RollCallTable"/>
              <w:rPr>
                <w:lang w:val="it-IT"/>
              </w:rPr>
            </w:pPr>
            <w:r w:rsidRPr="00BB5DE9">
              <w:rPr>
                <w:lang w:val="it-IT"/>
              </w:rPr>
              <w:t>ESN</w:t>
            </w:r>
          </w:p>
        </w:tc>
        <w:tc>
          <w:tcPr>
            <w:tcW w:w="7371" w:type="dxa"/>
            <w:shd w:val="clear" w:color="auto" w:fill="FFFFFF"/>
          </w:tcPr>
          <w:p w:rsidR="00AE735B" w:rsidRPr="00BB5DE9" w:rsidP="007C7755" w14:paraId="6330FB57" w14:textId="77777777">
            <w:pPr>
              <w:pStyle w:val="RollCallTable"/>
              <w:rPr>
                <w:lang w:val="it-IT"/>
              </w:rPr>
            </w:pPr>
            <w:r w:rsidRPr="00BB5DE9">
              <w:rPr>
                <w:lang w:val="it-IT"/>
              </w:rPr>
              <w:t>Zsuzsanna Borvendég</w:t>
            </w:r>
          </w:p>
        </w:tc>
      </w:tr>
      <w:tr w14:paraId="1A6BE165" w14:textId="77777777" w:rsidTr="007C7755">
        <w:tblPrEx>
          <w:tblW w:w="0" w:type="auto"/>
          <w:tblInd w:w="145" w:type="dxa"/>
          <w:tblLayout w:type="fixed"/>
          <w:tblCellMar>
            <w:left w:w="145" w:type="dxa"/>
            <w:right w:w="145" w:type="dxa"/>
          </w:tblCellMar>
          <w:tblLook w:val="0000"/>
        </w:tblPrEx>
        <w:trPr>
          <w:cantSplit/>
        </w:trPr>
        <w:tc>
          <w:tcPr>
            <w:tcW w:w="1701" w:type="dxa"/>
            <w:shd w:val="clear" w:color="auto" w:fill="FFFFFF"/>
          </w:tcPr>
          <w:p w:rsidR="00AE735B" w:rsidRPr="00BB5DE9" w:rsidP="007C7755" w14:paraId="1D48B694" w14:textId="77777777">
            <w:pPr>
              <w:pStyle w:val="RollCallTable"/>
              <w:rPr>
                <w:lang w:val="it-IT"/>
              </w:rPr>
            </w:pPr>
            <w:r w:rsidRPr="00BB5DE9">
              <w:rPr>
                <w:lang w:val="it-IT"/>
              </w:rPr>
              <w:t>PfE</w:t>
            </w:r>
          </w:p>
        </w:tc>
        <w:tc>
          <w:tcPr>
            <w:tcW w:w="7371" w:type="dxa"/>
            <w:shd w:val="clear" w:color="auto" w:fill="FFFFFF"/>
          </w:tcPr>
          <w:p w:rsidR="00AE735B" w:rsidRPr="00BB5DE9" w:rsidP="007C7755" w14:paraId="0990FDF9" w14:textId="77777777">
            <w:pPr>
              <w:pStyle w:val="RollCallTable"/>
              <w:rPr>
                <w:lang w:val="it-IT"/>
              </w:rPr>
            </w:pPr>
            <w:r w:rsidRPr="00BB5DE9">
              <w:rPr>
                <w:lang w:val="it-IT"/>
              </w:rPr>
              <w:t>Catherine Griset</w:t>
            </w:r>
          </w:p>
        </w:tc>
      </w:tr>
    </w:tbl>
    <w:p w:rsidR="00AE735B" w:rsidRPr="00BB5DE9" w:rsidP="00764922" w14:paraId="37B2B26A" w14:textId="77777777"/>
    <w:tbl>
      <w:tblPr>
        <w:tblW w:w="0" w:type="auto"/>
        <w:tblInd w:w="145" w:type="dxa"/>
        <w:tblBorders>
          <w:top w:val="double" w:sz="2" w:space="0" w:color="000000"/>
          <w:left w:val="double" w:sz="2" w:space="0" w:color="000000"/>
          <w:bottom w:val="double" w:sz="2" w:space="0" w:color="000000"/>
          <w:right w:val="double" w:sz="2" w:space="0" w:color="000000"/>
          <w:insideH w:val="single" w:sz="2" w:space="0" w:color="000000"/>
          <w:insideV w:val="single" w:sz="2" w:space="0" w:color="000000"/>
        </w:tblBorders>
        <w:tblLayout w:type="fixed"/>
        <w:tblCellMar>
          <w:left w:w="145" w:type="dxa"/>
          <w:right w:w="145" w:type="dxa"/>
        </w:tblCellMar>
        <w:tblLook w:val="0000"/>
      </w:tblPr>
      <w:tblGrid>
        <w:gridCol w:w="1701"/>
        <w:gridCol w:w="7371"/>
      </w:tblGrid>
      <w:tr w14:paraId="1F6357FF" w14:textId="77777777" w:rsidTr="007C7755">
        <w:tblPrEx>
          <w:tblW w:w="0" w:type="auto"/>
          <w:tblInd w:w="145" w:type="dxa"/>
          <w:tblBorders>
            <w:top w:val="double" w:sz="2" w:space="0" w:color="000000"/>
            <w:left w:val="double" w:sz="2" w:space="0" w:color="000000"/>
            <w:bottom w:val="double" w:sz="2" w:space="0" w:color="000000"/>
            <w:right w:val="double" w:sz="2" w:space="0" w:color="000000"/>
            <w:insideH w:val="single" w:sz="2" w:space="0" w:color="000000"/>
            <w:insideV w:val="single" w:sz="2" w:space="0" w:color="000000"/>
          </w:tblBorders>
          <w:tblLayout w:type="fixed"/>
          <w:tblCellMar>
            <w:left w:w="145" w:type="dxa"/>
            <w:right w:w="145" w:type="dxa"/>
          </w:tblCellMar>
          <w:tblLook w:val="0000"/>
        </w:tblPrEx>
        <w:trPr>
          <w:cantSplit/>
        </w:trPr>
        <w:tc>
          <w:tcPr>
            <w:tcW w:w="1701" w:type="dxa"/>
            <w:shd w:val="pct10" w:color="000000" w:fill="FFFFFF"/>
            <w:vAlign w:val="center"/>
          </w:tcPr>
          <w:p w:rsidR="00AE735B" w:rsidRPr="00BB5DE9" w:rsidP="007C7755" w14:paraId="5D73545D" w14:textId="77777777">
            <w:pPr>
              <w:pStyle w:val="RollCallVotes"/>
              <w:rPr>
                <w:lang w:val="it-IT"/>
              </w:rPr>
            </w:pPr>
            <w:r w:rsidRPr="00BB5DE9">
              <w:rPr>
                <w:lang w:val="it-IT"/>
              </w:rPr>
              <w:t>1</w:t>
            </w:r>
          </w:p>
        </w:tc>
        <w:tc>
          <w:tcPr>
            <w:tcW w:w="7371" w:type="dxa"/>
            <w:shd w:val="pct10" w:color="000000" w:fill="FFFFFF"/>
          </w:tcPr>
          <w:p w:rsidR="00AE735B" w:rsidRPr="00BB5DE9" w:rsidP="007C7755" w14:paraId="2C78550B" w14:textId="77777777">
            <w:pPr>
              <w:pStyle w:val="RollCallSymbols14pt"/>
              <w:rPr>
                <w:lang w:val="it-IT"/>
              </w:rPr>
            </w:pPr>
            <w:r w:rsidRPr="00BB5DE9">
              <w:rPr>
                <w:lang w:val="it-IT"/>
              </w:rPr>
              <w:t>0</w:t>
            </w:r>
          </w:p>
        </w:tc>
      </w:tr>
      <w:tr w14:paraId="69FA57DA" w14:textId="77777777" w:rsidTr="007C7755">
        <w:tblPrEx>
          <w:tblW w:w="0" w:type="auto"/>
          <w:tblInd w:w="145" w:type="dxa"/>
          <w:tblLayout w:type="fixed"/>
          <w:tblCellMar>
            <w:left w:w="145" w:type="dxa"/>
            <w:right w:w="145" w:type="dxa"/>
          </w:tblCellMar>
          <w:tblLook w:val="0000"/>
        </w:tblPrEx>
        <w:trPr>
          <w:cantSplit/>
        </w:trPr>
        <w:tc>
          <w:tcPr>
            <w:tcW w:w="1701" w:type="dxa"/>
            <w:shd w:val="clear" w:color="auto" w:fill="FFFFFF"/>
          </w:tcPr>
          <w:p w:rsidR="00AE735B" w:rsidRPr="00BB5DE9" w:rsidP="007C7755" w14:paraId="413392AD" w14:textId="77777777">
            <w:pPr>
              <w:pStyle w:val="RollCallTable"/>
              <w:rPr>
                <w:lang w:val="it-IT"/>
              </w:rPr>
            </w:pPr>
            <w:r w:rsidRPr="00BB5DE9">
              <w:rPr>
                <w:lang w:val="it-IT"/>
              </w:rPr>
              <w:t>PfE</w:t>
            </w:r>
          </w:p>
        </w:tc>
        <w:tc>
          <w:tcPr>
            <w:tcW w:w="7371" w:type="dxa"/>
            <w:shd w:val="clear" w:color="auto" w:fill="FFFFFF"/>
          </w:tcPr>
          <w:p w:rsidR="00AE735B" w:rsidRPr="00BB5DE9" w:rsidP="007C7755" w14:paraId="728EC3CC" w14:textId="77777777">
            <w:pPr>
              <w:pStyle w:val="RollCallTable"/>
              <w:rPr>
                <w:lang w:val="it-IT"/>
              </w:rPr>
            </w:pPr>
            <w:r w:rsidRPr="00BB5DE9">
              <w:rPr>
                <w:lang w:val="it-IT"/>
              </w:rPr>
              <w:t>Annamária Vicsek</w:t>
            </w:r>
          </w:p>
        </w:tc>
      </w:tr>
    </w:tbl>
    <w:p w:rsidR="00AE735B" w:rsidRPr="00BB5DE9" w:rsidP="00147FBF" w14:paraId="44093204" w14:textId="77777777">
      <w:pPr>
        <w:pStyle w:val="Normal12a"/>
        <w:rPr>
          <w:lang w:val="it-IT"/>
        </w:rPr>
      </w:pPr>
    </w:p>
    <w:p w:rsidR="00AE735B" w:rsidRPr="00BB5DE9" w:rsidP="00B735E3" w14:paraId="2FD0ABE8" w14:textId="77777777">
      <w:r w:rsidRPr="00BB5DE9">
        <w:t>Significato dei simboli utilizzati:</w:t>
      </w:r>
    </w:p>
    <w:p w:rsidR="00AE735B" w:rsidRPr="00BB5DE9" w:rsidP="003858C5" w14:paraId="735F9EB2" w14:textId="77777777">
      <w:pPr>
        <w:pStyle w:val="RollCallTabs"/>
        <w:rPr>
          <w:lang w:val="it-IT"/>
        </w:rPr>
      </w:pPr>
      <w:r w:rsidRPr="00BB5DE9">
        <w:rPr>
          <w:lang w:val="it-IT"/>
        </w:rPr>
        <w:t>+</w:t>
      </w:r>
      <w:r w:rsidRPr="00BB5DE9">
        <w:rPr>
          <w:lang w:val="it-IT"/>
        </w:rPr>
        <w:tab/>
        <w:t>:</w:t>
      </w:r>
      <w:r w:rsidRPr="00BB5DE9">
        <w:rPr>
          <w:lang w:val="it-IT"/>
        </w:rPr>
        <w:tab/>
        <w:t>favorevoli</w:t>
      </w:r>
    </w:p>
    <w:p w:rsidR="00AE735B" w:rsidRPr="00BB5DE9" w:rsidP="003858C5" w14:paraId="36581471" w14:textId="77777777">
      <w:pPr>
        <w:pStyle w:val="RollCallTabs"/>
        <w:rPr>
          <w:lang w:val="it-IT"/>
        </w:rPr>
      </w:pPr>
      <w:r w:rsidRPr="00BB5DE9">
        <w:rPr>
          <w:lang w:val="it-IT"/>
        </w:rPr>
        <w:t>-</w:t>
      </w:r>
      <w:r w:rsidRPr="00BB5DE9">
        <w:rPr>
          <w:lang w:val="it-IT"/>
        </w:rPr>
        <w:tab/>
        <w:t>:</w:t>
      </w:r>
      <w:r w:rsidRPr="00BB5DE9">
        <w:rPr>
          <w:lang w:val="it-IT"/>
        </w:rPr>
        <w:tab/>
        <w:t>contrari</w:t>
      </w:r>
    </w:p>
    <w:p w:rsidR="00AE735B" w:rsidRPr="00BB5DE9" w:rsidP="003858C5" w14:paraId="6C14FD9A" w14:textId="77777777">
      <w:pPr>
        <w:pStyle w:val="RollCallTabs"/>
        <w:rPr>
          <w:lang w:val="it-IT"/>
        </w:rPr>
      </w:pPr>
      <w:r w:rsidRPr="00BB5DE9">
        <w:rPr>
          <w:lang w:val="it-IT"/>
        </w:rPr>
        <w:t>0</w:t>
      </w:r>
      <w:r w:rsidRPr="00BB5DE9">
        <w:rPr>
          <w:lang w:val="it-IT"/>
        </w:rPr>
        <w:tab/>
        <w:t>:</w:t>
      </w:r>
      <w:r w:rsidRPr="00BB5DE9">
        <w:rPr>
          <w:lang w:val="it-IT"/>
        </w:rPr>
        <w:tab/>
        <w:t>astenuti</w:t>
      </w:r>
    </w:p>
    <w:p w:rsidR="00AE735B" w:rsidRPr="00BB5DE9" w:rsidP="00207509" w14:paraId="7C51F2E1" w14:textId="77777777"/>
    <w:p w:rsidR="00AE735B" w:rsidRPr="00BB5DE9" w:rsidP="00C548D4" w14:paraId="6EDF9E57" w14:textId="77777777"/>
    <w:p w:rsidR="00AE735B" w:rsidRPr="00BB5DE9" w:rsidP="00AE735B" w14:paraId="0170F9C8" w14:textId="77777777">
      <w:pPr>
        <w:rPr>
          <w:snapToGrid/>
          <w:lang w:eastAsia="en-GB"/>
        </w:rPr>
        <w:sectPr w:rsidSect="00AE735B">
          <w:footnotePr>
            <w:numRestart w:val="eachSect"/>
          </w:footnotePr>
          <w:endnotePr>
            <w:numFmt w:val="decimal"/>
          </w:endnotePr>
          <w:pgSz w:w="11906" w:h="16838" w:code="9"/>
          <w:pgMar w:top="1134" w:right="1418" w:bottom="1134" w:left="1418" w:header="1134" w:footer="567" w:gutter="0"/>
          <w:cols w:space="720"/>
          <w:noEndnote/>
          <w:docGrid w:linePitch="326"/>
        </w:sectPr>
      </w:pPr>
    </w:p>
    <w:p w:rsidR="00AE735B" w:rsidRPr="00BB5DE9" w:rsidP="00AE735B" w14:paraId="4AEC1D56" w14:textId="77777777">
      <w:pPr>
        <w:pStyle w:val="Normal24a"/>
        <w:rPr>
          <w:lang w:val="it-IT"/>
        </w:rPr>
      </w:pPr>
      <w:r w:rsidRPr="00BB5DE9">
        <w:rPr>
          <w:rStyle w:val="HideTWBExt"/>
          <w:lang w:val="it-IT"/>
        </w:rPr>
        <w:t>&lt;Date&gt;</w:t>
      </w:r>
      <w:r w:rsidRPr="00BB5DE9">
        <w:rPr>
          <w:rStyle w:val="HideTWBInt"/>
          <w:lang w:val="it-IT"/>
        </w:rPr>
        <w:t>{07/09/2026}</w:t>
      </w:r>
      <w:r w:rsidRPr="00BB5DE9">
        <w:rPr>
          <w:lang w:val="it-IT"/>
        </w:rPr>
        <w:t>7.9.2026</w:t>
      </w:r>
      <w:r w:rsidRPr="00BB5DE9">
        <w:rPr>
          <w:rStyle w:val="HideTWBExt"/>
          <w:lang w:val="it-IT"/>
        </w:rPr>
        <w:t>&lt;/Date&gt;</w:t>
      </w:r>
    </w:p>
    <w:p w:rsidR="00AE735B" w:rsidRPr="00BB5DE9" w:rsidP="00AE735B" w14:paraId="0D1B271D" w14:textId="082DD9A1">
      <w:pPr>
        <w:pStyle w:val="PageHeading"/>
      </w:pPr>
      <w:r w:rsidRPr="00BB5DE9">
        <w:rPr>
          <w:rStyle w:val="HideTWBExt"/>
          <w:b w:val="0"/>
        </w:rPr>
        <w:t>&lt;CommissionResp&gt;</w:t>
      </w:r>
      <w:bookmarkStart w:id="31" w:name="OpinionToc_11"/>
      <w:bookmarkStart w:id="32" w:name="_Toc243036428"/>
      <w:r w:rsidRPr="00BB5DE9">
        <w:t>PARERE DELLA COMMISSIONE PER I DIRITTI DELLE DONNE E L'UGUAGLIANZA DI GENERE</w:t>
      </w:r>
      <w:bookmarkEnd w:id="31"/>
      <w:bookmarkEnd w:id="32"/>
      <w:r w:rsidRPr="00BB5DE9">
        <w:rPr>
          <w:rStyle w:val="HideTWBExt"/>
          <w:b w:val="0"/>
        </w:rPr>
        <w:t>&lt;/CommissionResp&gt;</w:t>
      </w:r>
    </w:p>
    <w:p w:rsidR="00AE735B" w:rsidRPr="00BB5DE9" w:rsidP="00AE735B" w14:paraId="65B849E4" w14:textId="77777777">
      <w:pPr>
        <w:pStyle w:val="Normal12a"/>
        <w:rPr>
          <w:lang w:val="it-IT"/>
        </w:rPr>
      </w:pPr>
      <w:r w:rsidRPr="00BB5DE9">
        <w:rPr>
          <w:rStyle w:val="HideTWBExt"/>
          <w:lang w:val="it-IT"/>
        </w:rPr>
        <w:t>&lt;CommissionInt&gt;</w:t>
      </w:r>
      <w:r w:rsidRPr="00BB5DE9">
        <w:rPr>
          <w:lang w:val="it-IT"/>
        </w:rPr>
        <w:t>destinato alla commissione per i bilanci</w:t>
      </w:r>
      <w:r w:rsidRPr="00BB5DE9">
        <w:rPr>
          <w:rStyle w:val="HideTWBExt"/>
          <w:lang w:val="it-IT"/>
        </w:rPr>
        <w:t>&lt;/CommissionInt&gt;</w:t>
      </w:r>
    </w:p>
    <w:p w:rsidR="00AE735B" w:rsidRPr="00BB5DE9" w:rsidP="00AE735B" w14:paraId="69F79F2B" w14:textId="77777777">
      <w:r w:rsidRPr="00BB5DE9">
        <w:rPr>
          <w:rStyle w:val="HideTWBExt"/>
        </w:rPr>
        <w:t>&lt;Titre&gt;</w:t>
      </w:r>
      <w:r w:rsidRPr="00BB5DE9">
        <w:t>Bilancio generale dell'Unione europea per l'esercizio 2027 – tutte le sezioni</w:t>
      </w:r>
      <w:r w:rsidRPr="00BB5DE9">
        <w:rPr>
          <w:rStyle w:val="HideTWBExt"/>
        </w:rPr>
        <w:t>&lt;/Titre&gt;</w:t>
      </w:r>
    </w:p>
    <w:p w:rsidR="00AE735B" w:rsidRPr="00BB5DE9" w:rsidP="00AE735B" w14:paraId="5BA231AD" w14:textId="77777777">
      <w:pPr>
        <w:pStyle w:val="Normal12a"/>
        <w:rPr>
          <w:lang w:val="it-IT"/>
        </w:rPr>
      </w:pPr>
      <w:r w:rsidRPr="00BB5DE9">
        <w:rPr>
          <w:rStyle w:val="HideTWBExt"/>
          <w:lang w:val="it-IT"/>
        </w:rPr>
        <w:t>&lt;DocRef&gt;</w:t>
      </w:r>
      <w:r w:rsidRPr="00BB5DE9">
        <w:rPr>
          <w:lang w:val="it-IT"/>
        </w:rPr>
        <w:t>(2026/0196(BUD))</w:t>
      </w:r>
      <w:r w:rsidRPr="00BB5DE9">
        <w:rPr>
          <w:rStyle w:val="HideTWBExt"/>
          <w:lang w:val="it-IT"/>
        </w:rPr>
        <w:t>&lt;/DocRef&gt;</w:t>
      </w:r>
    </w:p>
    <w:p w:rsidR="00AE735B" w:rsidRPr="00BB5DE9" w:rsidP="00AE735B" w14:paraId="785899C1" w14:textId="77777777">
      <w:pPr>
        <w:pStyle w:val="Normal24a"/>
        <w:rPr>
          <w:lang w:val="it-IT"/>
        </w:rPr>
      </w:pPr>
      <w:r w:rsidRPr="00BB5DE9">
        <w:rPr>
          <w:lang w:val="it-IT"/>
        </w:rPr>
        <w:t xml:space="preserve">Relatrice per parere: </w:t>
      </w:r>
      <w:r w:rsidRPr="00BB5DE9">
        <w:rPr>
          <w:rStyle w:val="HideTWBExt"/>
          <w:lang w:val="it-IT"/>
        </w:rPr>
        <w:t>&lt;Depute&gt;</w:t>
      </w:r>
      <w:r w:rsidRPr="00BB5DE9">
        <w:rPr>
          <w:lang w:val="it-IT"/>
        </w:rPr>
        <w:t>Raquel García Hermida</w:t>
      </w:r>
      <w:r w:rsidRPr="00BB5DE9">
        <w:rPr>
          <w:lang w:val="it-IT"/>
        </w:rPr>
        <w:noBreakHyphen/>
        <w:t>Van Der Walle</w:t>
      </w:r>
      <w:r w:rsidRPr="00BB5DE9">
        <w:rPr>
          <w:rStyle w:val="HideTWBExt"/>
          <w:lang w:val="it-IT"/>
        </w:rPr>
        <w:t>&lt;/Depute&gt;</w:t>
      </w:r>
    </w:p>
    <w:p w:rsidR="00AE735B" w:rsidRPr="00BB5DE9" w:rsidP="00AE735B" w14:paraId="7A0F6E21" w14:textId="77777777"/>
    <w:p w:rsidR="00AE735B" w:rsidRPr="00BB5DE9" w:rsidP="00BB2AC1" w14:paraId="3D00F348" w14:textId="72CA3BE1">
      <w:pPr>
        <w:widowControl/>
        <w:tabs>
          <w:tab w:val="center" w:pos="4677"/>
        </w:tabs>
      </w:pPr>
    </w:p>
    <w:p w:rsidR="00AE735B" w:rsidRPr="00BB5DE9" w:rsidP="003E06CF" w14:paraId="6881DE68" w14:textId="44A5064F">
      <w:pPr>
        <w:pStyle w:val="PageHeadingNotTOC"/>
      </w:pPr>
      <w:r w:rsidRPr="00BB5DE9">
        <w:t>PARERE</w:t>
      </w:r>
    </w:p>
    <w:p w:rsidR="00AE735B" w:rsidRPr="00BB5DE9" w:rsidP="003E06CF" w14:paraId="593E2009" w14:textId="77777777">
      <w:pPr>
        <w:pStyle w:val="Normal12a"/>
        <w:rPr>
          <w:lang w:val="it-IT"/>
        </w:rPr>
      </w:pPr>
      <w:r w:rsidRPr="00BB5DE9">
        <w:rPr>
          <w:lang w:val="it-IT"/>
        </w:rPr>
        <w:t>La commissione per i diritti delle donne e l'uguaglianza di genere invita la commissione per i bilanci, competente per il merito, a includere nella proposta di risoluzione che approverà quanto segue:</w:t>
      </w:r>
    </w:p>
    <w:p w:rsidR="00AE735B" w:rsidRPr="00BB5DE9" w:rsidP="00470C09" w14:paraId="3F5FD475" w14:textId="77777777">
      <w:pPr>
        <w:pStyle w:val="NormalHanging12a"/>
      </w:pPr>
      <w:r w:rsidRPr="00BB5DE9">
        <w:t>A.</w:t>
      </w:r>
      <w:r w:rsidRPr="00BB5DE9">
        <w:tab/>
        <w:t>considerando che la parità di genere è un valore fondamentale dell'Unione europea e che l'UE si è impegnata a promuovere la parità di genere e l'integrazione della dimensione di genere in tutte le sue azioni, conformemente all'articolo 8 del trattato sul funzionamento dell'Unione europea (TFUE); che i bilanci non sono mai neutri dal punto di vista del genere e devono essere stabiliti con il chiaro obiettivo di contrastare la discriminazione e di rispettare il principio del "non nuocere" in relazione alla parità di genere, per garantire che nessuna delle attività finanziate danneggi, direttamente o indirettamente, la parità di genere; che i bilanci che tengono conto della dimensione di genere dovrebbero essere trasparenti, efficienti e incentrati sul conseguimento di risultati misurabili;</w:t>
      </w:r>
    </w:p>
    <w:p w:rsidR="00AE735B" w:rsidRPr="00BB5DE9" w:rsidP="00470C09" w14:paraId="5A666884" w14:textId="77777777">
      <w:pPr>
        <w:pStyle w:val="NormalHanging12a"/>
        <w:rPr>
          <w:bCs/>
          <w:iCs/>
          <w:szCs w:val="24"/>
        </w:rPr>
      </w:pPr>
      <w:r w:rsidRPr="00BB5DE9">
        <w:t>B.</w:t>
      </w:r>
      <w:r w:rsidRPr="00BB5DE9">
        <w:tab/>
        <w:t>considerando che i movimenti anti-gender organizzati, definiti come movimenti che cercano di minare la parità di genere quale valore fondamentale della democrazia, prendono sempre più di mira la parità di genere, la salute sessuale e riproduttiva e i relativi diritti, l'uguaglianza LGBTQI+ e la non discriminazione, il che costituisce un regresso in materia di parità di genere; che tali attacchi sono spesso legati a pressioni più ampie sulla democrazia, sullo Stato di diritto e sullo spazio civico; che pertanto la parità di genere è anche una questione di resilienza democratica;</w:t>
      </w:r>
    </w:p>
    <w:p w:rsidR="00AE735B" w:rsidRPr="00BB5DE9" w:rsidP="00470C09" w14:paraId="25C46BE4" w14:textId="77777777">
      <w:pPr>
        <w:pStyle w:val="NormalHanging12a"/>
        <w:rPr>
          <w:bCs/>
          <w:iCs/>
        </w:rPr>
      </w:pPr>
      <w:r w:rsidRPr="00BB5DE9">
        <w:t>C.</w:t>
      </w:r>
      <w:r w:rsidRPr="00BB5DE9">
        <w:tab/>
        <w:t xml:space="preserve">considerando che l'Istituto europeo per l'uguaglianza di genere (EIGE) svolge un ruolo fondamentale nel fornire competenze indipendenti, dati comparabili e strumenti pratici per l'integrazione della dimensione di genere, anche contribuendo a garantire che la dimensione di genere sia integrata in tutto il bilancio dell'Unione e in tutte le politiche e i flussi di finanziamento, nonché per una politica in materia di parità di genere basata su dati concreti nell'intera Unione, alla luce delle sfide che le donne e le ragazze si trovano </w:t>
      </w:r>
      <w:r w:rsidRPr="00BB5DE9">
        <w:t>ad affrontare in tutta l'Unione in un clima globale di regresso democratico;</w:t>
      </w:r>
    </w:p>
    <w:p w:rsidR="00AE735B" w:rsidRPr="00BB5DE9" w:rsidP="00470C09" w14:paraId="7B6BDECB" w14:textId="77777777">
      <w:pPr>
        <w:pStyle w:val="NormalHanging12a"/>
      </w:pPr>
      <w:r w:rsidRPr="00BB5DE9">
        <w:t>D.</w:t>
      </w:r>
      <w:r w:rsidRPr="00BB5DE9">
        <w:tab/>
        <w:t>considerando che l'iniziativa dei cittadini europei "La mia voce, la mia scelta: per un aborto sicuro e accessibile" ha raccolto oltre 1,1 milioni di firme valide e ha raggiunto le soglie richieste in 19 Stati membri; che il Parlamento europeo ha espresso il proprio sostegno all'iniziativa nella sua risoluzione del 17 dicembre 2025 e che la Commissione ha risposto positivamente il 26 febbraio 2026; che permangono disparità nell'accesso sicuro e legale all'assistenza all'aborto nell'Unione e che gli ostacoli finanziari continuano a compromettere l'accesso alla salute sessuale e riproduttiva e ai relativi diritti;</w:t>
      </w:r>
    </w:p>
    <w:p w:rsidR="00AE735B" w:rsidRPr="00BB5DE9" w:rsidP="00470C09" w14:paraId="744F1132" w14:textId="77777777">
      <w:pPr>
        <w:pStyle w:val="NormalHanging12a"/>
      </w:pPr>
      <w:r w:rsidRPr="00BB5DE9">
        <w:t>E.</w:t>
      </w:r>
      <w:r w:rsidRPr="00BB5DE9">
        <w:tab/>
        <w:t>considerando che la direttiva (UE) 2024/1385 sulla lotta alla violenza contro le donne e alla violenza domestica deve essere recepita entro il 14 giugno 2027; che la direttiva (UE) 2023/970 sulla trasparenza retributiva doveva essere recepita entro il 7 giugno 2026 e richiede un'applicazione efficace; che la direttiva riveduta sui diritti delle vittime deve essere recepita entro due anni dalla sua entrata in vigore; che l'attuazione tempestiva dipende dagli orientamenti, dalla formazione, dalla raccolta dei dati e dalla cooperazione con la società civile e le parti sociali;</w:t>
      </w:r>
    </w:p>
    <w:p w:rsidR="00AE735B" w:rsidRPr="00BB5DE9" w:rsidP="00470C09" w14:paraId="1853AA52" w14:textId="77777777">
      <w:pPr>
        <w:pStyle w:val="NormalHanging12a"/>
        <w:rPr>
          <w:b/>
          <w:i/>
        </w:rPr>
      </w:pPr>
      <w:r w:rsidRPr="00BB5DE9">
        <w:t>F.</w:t>
      </w:r>
      <w:r w:rsidRPr="00BB5DE9">
        <w:tab/>
        <w:t>considerando che il piano d'azione sulla parità di genere (GAP) III è uno strumento potente per l'azione esterna dell'UE e dovrebbe essere debitamente attuato nel bilancio 2027 per combattere gli attacchi ai diritti delle donne, alla salute sessuale e riproduttiva e ai relativi diritti nonché le pressioni autoritarie; che anche il prossimo GAP IV dovrebbe ambire a contribuire alla parità di genere, alla resilienza democratica, alla pace e allo sviluppo sostenibile;</w:t>
      </w:r>
    </w:p>
    <w:p w:rsidR="00AE735B" w:rsidRPr="00BB5DE9" w:rsidP="00470C09" w14:paraId="5CB9C8B4" w14:textId="77777777">
      <w:pPr>
        <w:pStyle w:val="NormalHanging12a"/>
        <w:rPr>
          <w:b/>
          <w:i/>
        </w:rPr>
      </w:pPr>
      <w:r w:rsidRPr="00BB5DE9">
        <w:t>G.</w:t>
      </w:r>
      <w:r w:rsidRPr="00BB5DE9">
        <w:tab/>
        <w:t>considerando che la distribuzione iniqua dell'assistenza e del lavoro domestico non retribuiti rimane una causa strutturale del divario occupazionale, retributivo e pensionistico di genere;</w:t>
      </w:r>
    </w:p>
    <w:p w:rsidR="00AE735B" w:rsidRPr="00BB5DE9" w:rsidP="00470C09" w14:paraId="5E559514" w14:textId="77777777">
      <w:pPr>
        <w:pStyle w:val="NormalHanging12a"/>
        <w:rPr>
          <w:szCs w:val="24"/>
        </w:rPr>
      </w:pPr>
      <w:r w:rsidRPr="00BB5DE9">
        <w:t>H.</w:t>
      </w:r>
      <w:r w:rsidRPr="00BB5DE9">
        <w:tab/>
        <w:t>considerando che il Parlamento europeo ha ripetutamente chiesto maggiori finanziamenti per l'Istituto europeo per l'uguaglianza di genere (EIGE), la sezione Daphne, la sezione Uguaglianza e diritti del programma Cittadini, uguaglianza, diritti e valori (CERV), le organizzazioni della società civile nell'ambito del programma NDICI, il programma "UE per la salute" e la componente Occupazione e innovazione sociale (EaSI) del FSE+; che il Parlamento ha inoltre chiesto ripetutamente l'integrazione della dimensione di genere nei principali fondi europei quali Orizzonte Europa, la PAC, i fondi di coesione e Next Generation EU;</w:t>
      </w:r>
    </w:p>
    <w:p w:rsidR="00AE735B" w:rsidRPr="00BB5DE9" w:rsidP="00470C09" w14:paraId="14450B7E" w14:textId="77777777">
      <w:pPr>
        <w:pStyle w:val="NormalHanging12a"/>
      </w:pPr>
      <w:r w:rsidRPr="00BB5DE9">
        <w:t>1.</w:t>
      </w:r>
      <w:r w:rsidRPr="00BB5DE9">
        <w:tab/>
        <w:t xml:space="preserve">chiede l'attuazione dell'integrazione della dimensione di genere in tutte le fasi del bilancio; pone in rilievo l'importanza delle valutazioni di impatto di genere ex ante ed ex post quale strumento efficace per promuovere la parità di genere nell'intera Unione; sottolinea l'importanza di destinare e salvaguardare finanziamenti specifici e di stabilire obiettivi specifici per la parità di genere nell'ambito dei programmi del prossimo QFP, al fine di garantire un monitoraggio efficace delle risorse e assicurare che il "principio della parità di genere" costituisca una reale priorità orizzontale in tutti i programmi, anziché un mero aspetto da prendere in considerazione; sottolinea che una prospettiva di genere deve essere integrata nella preparazione, nella concezione, nel monitoraggio e nella valutazione della spesa; ribadisce la necessità di sviluppare ulteriormente la </w:t>
      </w:r>
      <w:r w:rsidRPr="00BB5DE9">
        <w:t>metodologia di monitoraggio del genere, al fine di monitorare il volume complessivo dei finanziamenti dedicati alla parità di genere nel bilancio dell'Unione; sottolinea che la spesa dell'Unione dovrebbe sostenere le pari opportunità e aumentare la partecipazione delle donne all'istruzione, alla formazione e al mercato del lavoro; ribadisce l'importanza della raccolta di dati disaggregati, del monitoraggio e della rendicontazione; chiede la raccolta, la comunicazione e la valutazione obbligatorie di dati comparabili disaggregati per genere per garantire che il bilancio funzioni per tutti e sia flessibile e mirato;</w:t>
      </w:r>
    </w:p>
    <w:p w:rsidR="00AE735B" w:rsidRPr="00BB5DE9" w:rsidP="00470C09" w14:paraId="37D6917A" w14:textId="77777777">
      <w:pPr>
        <w:pStyle w:val="NormalHanging12a"/>
        <w:rPr>
          <w:szCs w:val="24"/>
        </w:rPr>
      </w:pPr>
      <w:r w:rsidRPr="00BB5DE9">
        <w:t>2.</w:t>
      </w:r>
      <w:r w:rsidRPr="00BB5DE9">
        <w:tab/>
        <w:t>ricorda la decisione della Commissione del 26 febbraio 2026 e la risposta positiva all'iniziativa dei cittadini europei "La mia voce, la mia scelta"; chiede alla Commissione di sostenere gli Stati membri, anche attraverso un'adeguata dotazione di bilancio e la messa a disposizione di informazioni e orientamenti, nell'attuazione di tale decisione sull'iniziativa "La mia voce, la mia scelta"; ricorda agli Stati membri di avvalersi pienamente della possibilità di includere le spese per la salute sessuale e riproduttiva e i relativi diritti, incluso l'aborto sicuro e legale, nelle rispettive dotazioni nazionali del FSE+; chiede un aumento del bilancio destinato ai diritti sessuali e riproduttivi in generale e all'accesso al diritto all'aborto nell'ambito del programma "UE per la salute";</w:t>
      </w:r>
    </w:p>
    <w:p w:rsidR="00AE735B" w:rsidRPr="00BB5DE9" w:rsidP="00470C09" w14:paraId="3D97D1B5" w14:textId="77777777">
      <w:pPr>
        <w:pStyle w:val="NormalHanging12a"/>
        <w:rPr>
          <w:bCs/>
          <w:iCs/>
          <w:szCs w:val="24"/>
        </w:rPr>
      </w:pPr>
      <w:r w:rsidRPr="00BB5DE9">
        <w:t>3.</w:t>
      </w:r>
      <w:r w:rsidRPr="00BB5DE9">
        <w:tab/>
        <w:t>sottolinea che l'infertilità rappresenta un'importante sfida per la salute pubblica e che le persone con problemi di infertilità devono spesso far fronte a significativi oneri medici, psicologici e finanziari; invita la Commissione e gli Stati membri a migliorare la parità di accesso alla prevenzione dell'infertilità, alla diagnosi, ai servizi di procreazione medicalmente assistita e al sostegno psicosociale attraverso gli strumenti di finanziamento dell'Unione esistenti, tra cui il FSE+ e "UE per la salute", al fine di ridurre le disuguaglianze tra gli Stati membri;</w:t>
      </w:r>
    </w:p>
    <w:p w:rsidR="00AE735B" w:rsidRPr="00BB5DE9" w:rsidP="00470C09" w14:paraId="0454E52C" w14:textId="77777777">
      <w:pPr>
        <w:pStyle w:val="NormalHanging12a"/>
        <w:rPr>
          <w:bCs/>
          <w:iCs/>
        </w:rPr>
      </w:pPr>
      <w:r w:rsidRPr="00BB5DE9">
        <w:t>4.</w:t>
      </w:r>
      <w:r w:rsidRPr="00BB5DE9">
        <w:tab/>
        <w:t>invita gli Stati membri ad attuare tempestivamente e pienamente la direttiva sulla trasparenza retributiva, la direttiva sulla lotta alla violenza contro le donne e la direttiva riveduta sui diritti delle vittime e chiede finanziamenti sufficienti nel bilancio 2027 per il programma Giustizia, il CERV+, Daphne e il FSE+ al fine di sostenerne l'attuazione; chiede finanziamenti sufficienti per fornire orientamento e formazione agli organismi per la parità; sottolinea che le competenze dell'EIGE e di altre agenzie dell'UE competenti dovrebbero sostenere l'attuazione e il monitoraggio, senza sostituire la responsabilità degli Stati membri di recepire e applicare il diritto dell'Unione;</w:t>
      </w:r>
    </w:p>
    <w:p w:rsidR="00AE735B" w:rsidRPr="00BB5DE9" w:rsidP="00470C09" w14:paraId="47E88959" w14:textId="77777777">
      <w:pPr>
        <w:pStyle w:val="NormalHanging12a"/>
        <w:rPr>
          <w:bCs/>
          <w:iCs/>
          <w:szCs w:val="24"/>
        </w:rPr>
      </w:pPr>
      <w:r w:rsidRPr="00BB5DE9">
        <w:t>5.</w:t>
      </w:r>
      <w:r w:rsidRPr="00BB5DE9">
        <w:tab/>
        <w:t>chiede che il bilancio 2027 salvaguardi un duplice approccio solido nell'ambito di Europa globale: integrazione della dimensione di genere in tutta l'azione esterna e finanziamenti mirati per i diritti delle donne e delle ragazze; insiste affinché il GAP III includa obiettivi misurabili, l'attuazione a livello di paese, relazioni annuali e un chiaro monitoraggio del bilancio, compreso l'obiettivo che l'85 % della spesa esterna contribuisca alla parità di genere e che il 5 % abbia come obiettivo principale la parità di genere; chiede di mantenere gli stessi obiettivi nel prossimo GAP IV;</w:t>
      </w:r>
    </w:p>
    <w:p w:rsidR="00AE735B" w:rsidRPr="00BB5DE9" w:rsidP="00470C09" w14:paraId="3EE9F64C" w14:textId="77777777">
      <w:pPr>
        <w:pStyle w:val="NormalHanging12a"/>
      </w:pPr>
      <w:r w:rsidRPr="00BB5DE9">
        <w:t>6.</w:t>
      </w:r>
      <w:r w:rsidRPr="00BB5DE9">
        <w:tab/>
        <w:t xml:space="preserve">chiede finanziamenti adeguati per rafforzare l'attuazione del piano europeo di lotta contro il cancro, con particolare attenzione al cancro al seno, al cancro delle ovaie e ad altri tumori ginecologici, anche mediante una maggiore sensibilizzazione, il sostegno alla diagnosi precoce, percorsi tempestivi di invio specialistico, un accesso equo ai test e </w:t>
      </w:r>
      <w:r w:rsidRPr="00BB5DE9">
        <w:t>a trattamenti innovativi, riducendo nel contempo le disuguaglianze tra gli Stati membri;</w:t>
      </w:r>
    </w:p>
    <w:p w:rsidR="00AE735B" w:rsidRPr="00BB5DE9" w:rsidP="00470C09" w14:paraId="309A88B8" w14:textId="77777777">
      <w:pPr>
        <w:pStyle w:val="NormalHanging12a"/>
      </w:pPr>
      <w:r w:rsidRPr="00BB5DE9">
        <w:t>7.</w:t>
      </w:r>
      <w:r w:rsidRPr="00BB5DE9">
        <w:tab/>
        <w:t>sottolinea la necessità di finanziamenti adeguati, continui e più elevati per promuovere la parità di genere, nel contesto dell'attuale regresso in materia di parità di genere e di diritti delle donne; chiede il mantenimento e il rafforzamento dei finanziamenti della sezione Daphne nell'ambito del CERV, e chiede di garantire che tale sezione rimanga separata nel prossimo QFP nell'ambito del programma AgoraEU proposto; invita altresì ad aumentare la dotazione complessiva di AgoraEU a 10,72 miliardi di EUR, consentendo di sostenere e finanziare le organizzazioni della società civile attive nel campo dei diritti delle donne, anche per quanto riguarda la salute sessuale e riproduttiva e i relativi diritti; sottolinea l'importanza di destinare almeno il 16 % del bilancio di AgoraEU e della sezione Daphne alle attività volte a prevenire e combattere tutte le forme di violenza di genere; plaude, a tale proposito, all'efficacia del programma Daphne, che dovrebbe costituire un ulteriore motivo per aumentare gli stanziamenti di bilancio nonché un modello di uso oculato del bilancio dell'Unione; invita la Commissione a esaminare la missione principale dei destinatari dei fondi dell'Unione e a bloccare i finanziamenti destinati ad attori che cercano di utilizzare i fondi dell'Unione per reprimere i diritti umani, promuovere sentimenti razzisti, xenofobi, anti-trans e omofobi, attaccare le persone e le famiglie LGBTQI+, limitare l'accesso all'aborto e, in generale, contribuire al degrado dei diritti delle donne e della parità di genere; invita a lottare contro le campagne coordinate volte a minare la parità di genere e la salute sessuale e riproduttiva e i relativi diritti;</w:t>
      </w:r>
    </w:p>
    <w:p w:rsidR="00AE735B" w:rsidRPr="00BB5DE9" w:rsidP="00470C09" w14:paraId="337BBCC8" w14:textId="77777777">
      <w:pPr>
        <w:pStyle w:val="NormalHanging12a"/>
        <w:rPr>
          <w:bCs/>
          <w:iCs/>
        </w:rPr>
      </w:pPr>
      <w:r w:rsidRPr="00BB5DE9">
        <w:t>8.</w:t>
      </w:r>
      <w:r w:rsidRPr="00BB5DE9">
        <w:tab/>
        <w:t>sottolinea l'importanza di impiegare i Fondi strutturali e di investimento europei come il FSE+ per promuovere l'uguaglianza di genere, l'occupazione e l'accesso delle donne al mercato del lavoro, all'assistenza all'infanzia a prezzi abbordabili e a strutture di assistenza a lungo termine, nonché i diritti sessuali e riproduttivi, il diritto all'aborto e l'uguaglianza LGTBIQ+; sottolinea che i programmi di finanziamento dell'Unione dovrebbero sostenere le donne e le ragazze, in particolare attraverso misure che promuovano la partecipazione al mercato del lavoro, l'imprenditorialità, l'istruzione STEM e i settori ad alta crescita; sottolinea che gli investimenti nell'assistenza devono sostenere la partecipazione al mercato del lavoro e una ripartizione più equa dell'assistenza tra donne e uomini; chiede che il bilancio 2027 consenta di dare seguito al lavoro del Parlamento volto a colmare il divario di genere nell'assistenza e accoglie con favore l'annuncio della Commissione di un patto europeo globale per l'assistenza che sarà pubblicato nel 2027, rinnovando in tal modo la strategia europea per l'assistenza quale quadro più ambizioso, coerente e dotato di obiettivi chiari per la parità di genere;</w:t>
      </w:r>
    </w:p>
    <w:p w:rsidR="00AE735B" w:rsidRPr="00BB5DE9" w:rsidP="00470C09" w14:paraId="2D061881" w14:textId="77777777">
      <w:pPr>
        <w:pStyle w:val="NormalHanging12a"/>
        <w:rPr>
          <w:bCs/>
          <w:iCs/>
        </w:rPr>
      </w:pPr>
      <w:r w:rsidRPr="00BB5DE9">
        <w:t>9.</w:t>
      </w:r>
      <w:r w:rsidRPr="00BB5DE9">
        <w:tab/>
        <w:t xml:space="preserve">chiede stanziamenti di bilancio specifici nell'ambito del programma "UE per la salute" per sostenere la ricerca sulle condizioni sanitarie specifiche di genere, comprese quelle relative alla salute sessuale e riproduttiva e ai relativi diritti, la prevenzione, la diagnosi, la consulenza e il sostegno sociale relativi all'infertilità, all'oncofertilità, alla menopausa, all'endometriosi e ai fibromi, nonché l'assistenza sanitaria specifica per le persone transgender, unitamente alla fornitura di assistenza sanitaria e di servizi transfrontalieri di qualità, tempestivi, accessibili e a prezzi abbordabili per garantire l'accesso all'aborto gratuito, sicuro e legale a tutti i cittadini; </w:t>
      </w:r>
    </w:p>
    <w:p w:rsidR="00AE735B" w:rsidRPr="00BB5DE9" w:rsidP="00470C09" w14:paraId="5DE6CA27" w14:textId="77777777">
      <w:pPr>
        <w:pStyle w:val="NormalHanging12a"/>
      </w:pPr>
      <w:r w:rsidRPr="00BB5DE9">
        <w:t>10.</w:t>
      </w:r>
      <w:r w:rsidRPr="00BB5DE9">
        <w:tab/>
        <w:t>ricorda il ruolo cruciale svolto dall'EIGE nel fornire attività di ricerca indipendenti e nel condividere le migliori pratiche al fine di promuovere la parità di genere ed eliminare la discriminazione basata sul genere; invita l'EIGE a continuare a fornire dati di alta qualità, affidabili e comparabili sulla situazione delle donne e delle ragazze in tutta l'Unione; osserva che, per svolgere le proprie funzioni, l'EIGE necessita di finanziamenti adeguati; ricorda che, nel corso degli anni, l'EIGE si è visto affidare notevoli responsabilità aggiuntive a norma di diverse direttive di recente adozione, quali la direttiva (UE) 2023/970 del Parlamento europeo e del Consiglio, del 10 maggio 2023 (direttiva sulla trasparenza retributiva), la direttiva (UE) 2019/1158 del Parlamento europeo e del Consiglio, del 20 giugno 2019 (direttiva sull'equilibrio tra attività professionale e vita familiare), la direttiva (UE) 2024/1499 del Consiglio, del 7 maggio 2024, e la direttiva (UE) 2024/1500 del Parlamento europeo e del Consiglio, del 14 maggio 2024 (direttive sugli organismi per la parità), che richiedono finanziamenti e personale supplementari per lo svolgimento delle attività; ricorda che l'EIGE deve conformarsi al regolamento (UE) 2024/2847 del Parlamento europeo e del Consiglio (il nuovo regolamento dell'UE sulla cibersicurezza), che ha sede in un luogo sensibile data la vicinanza alla Russia e alla Bielorussia, e che può essere interessato da campagne anti-gender, come sopra definite.</w:t>
      </w:r>
    </w:p>
    <w:p w:rsidR="00AE735B" w:rsidRPr="00BB5DE9" w:rsidP="005E5DE5" w14:paraId="79E62A55" w14:textId="77777777">
      <w:pPr>
        <w:sectPr w:rsidSect="00AE735B">
          <w:headerReference w:type="even" r:id="rId62"/>
          <w:headerReference w:type="default" r:id="rId63"/>
          <w:headerReference w:type="first" r:id="rId64"/>
          <w:footerReference w:type="first" r:id="rId65"/>
          <w:footnotePr>
            <w:numRestart w:val="eachSect"/>
          </w:footnotePr>
          <w:endnotePr>
            <w:numFmt w:val="decimal"/>
          </w:endnotePr>
          <w:pgSz w:w="11906" w:h="16838" w:code="9"/>
          <w:pgMar w:top="1134" w:right="1418" w:bottom="1134" w:left="1418" w:header="1134" w:footer="567" w:gutter="0"/>
          <w:cols w:space="720"/>
          <w:noEndnote/>
          <w:docGrid w:linePitch="326"/>
        </w:sectPr>
      </w:pPr>
    </w:p>
    <w:p w:rsidR="00AE735B" w:rsidRPr="00BB5DE9" w:rsidP="00470C09" w14:paraId="0DF2FBDD" w14:textId="77777777">
      <w:pPr>
        <w:pStyle w:val="PageHeadingNotTOC"/>
      </w:pPr>
      <w:r w:rsidRPr="00BB5DE9">
        <w:t>ALLEGATO: DICHIARAZIONE DEI CONTRIBUTI</w:t>
      </w:r>
    </w:p>
    <w:p w:rsidR="00AE735B" w:rsidRPr="00BB5DE9" w:rsidP="00470C09" w14:paraId="3DB4FFDD" w14:textId="2CEC8828">
      <w:pPr>
        <w:pStyle w:val="Normal24a"/>
        <w:rPr>
          <w:lang w:val="it-IT"/>
        </w:rPr>
      </w:pPr>
      <w:r w:rsidRPr="00BB5DE9">
        <w:rPr>
          <w:rStyle w:val="HideTWBExt"/>
          <w:lang w:val="it-IT"/>
        </w:rPr>
        <w:t>&lt;FootprintIntro&gt;</w:t>
      </w:r>
      <w:r w:rsidRPr="00BB5DE9">
        <w:rPr>
          <w:lang w:val="it-IT"/>
        </w:rPr>
        <w:t>La relatrice per parere dichiara, sotto la sua esclusiva responsabilità, di non aver incluso nel suo parere alcun contributo di rappresentanti di interessi che rientrano nell'ambito di applicazione dell'accordo interistituzionale su un registro per la trasparenza obbligatorio</w:t>
      </w:r>
      <w:r>
        <w:rPr>
          <w:rStyle w:val="FootnoteReference"/>
          <w:lang w:val="it-IT"/>
        </w:rPr>
        <w:footnoteReference w:id="30"/>
      </w:r>
      <w:r w:rsidRPr="00BB5DE9">
        <w:rPr>
          <w:lang w:val="it-IT"/>
        </w:rPr>
        <w:t>, o di rappresentanti delle pubbliche autorità di paesi terzi, incluse le loro missioni diplomatiche e ambasciate, da enumerare nel presente allegato in virtù dell'allegato I, articolo 8, del regolamento.</w:t>
      </w:r>
      <w:r w:rsidRPr="00BB5DE9">
        <w:rPr>
          <w:rStyle w:val="HideTWBExt"/>
          <w:lang w:val="it-IT"/>
        </w:rPr>
        <w:t>&lt;/FootprintIntro&gt;</w:t>
      </w:r>
    </w:p>
    <w:p w:rsidR="00AE735B" w:rsidRPr="00BB5DE9" w:rsidP="00470C09" w14:paraId="63C88C10" w14:textId="77777777"/>
    <w:p w:rsidR="00AE735B" w:rsidRPr="00BB5DE9" w:rsidP="00470C09" w14:paraId="1FB2264B" w14:textId="77777777">
      <w:pPr>
        <w:sectPr w:rsidSect="00AE735B">
          <w:pgSz w:w="11894" w:h="15840"/>
          <w:pgMar w:top="1700" w:right="1417" w:bottom="1417" w:left="1417" w:header="720" w:footer="720" w:gutter="0"/>
          <w:cols w:space="720"/>
          <w:noEndnote/>
          <w:docGrid w:linePitch="326"/>
        </w:sectPr>
      </w:pPr>
    </w:p>
    <w:p w:rsidR="00AE735B" w:rsidRPr="00BB5DE9" w:rsidP="005E5DE5" w14:paraId="1073D4FB" w14:textId="77777777">
      <w:pPr>
        <w:pStyle w:val="PageHeadingNotTOC"/>
      </w:pPr>
      <w:r w:rsidRPr="00BB5DE9">
        <w:t>INFORMAZIONI SULL'APPROVAZIONE</w:t>
      </w:r>
      <w:r w:rsidRPr="00BB5DE9">
        <w:br/>
        <w:t>DA PARTE DELLA COMMISSIONE COMPETENTE PER PARERE</w:t>
      </w:r>
    </w:p>
    <w:tbl>
      <w:tblPr>
        <w:tblW w:w="0" w:type="auto"/>
        <w:tblInd w:w="-10" w:type="dxa"/>
        <w:tblLayout w:type="fixed"/>
        <w:tblCellMar>
          <w:left w:w="0" w:type="dxa"/>
          <w:right w:w="0" w:type="dxa"/>
        </w:tblCellMar>
        <w:tblLook w:val="0000"/>
      </w:tblPr>
      <w:tblGrid>
        <w:gridCol w:w="3685"/>
        <w:gridCol w:w="1530"/>
        <w:gridCol w:w="1474"/>
        <w:gridCol w:w="1474"/>
        <w:gridCol w:w="1474"/>
      </w:tblGrid>
      <w:tr w14:paraId="1F46E630" w14:textId="77777777">
        <w:tblPrEx>
          <w:tblW w:w="0" w:type="auto"/>
          <w:tblInd w:w="-10" w:type="dxa"/>
          <w:tblLayout w:type="fixed"/>
          <w:tblCellMar>
            <w:left w:w="0" w:type="dxa"/>
            <w:right w:w="0" w:type="dxa"/>
          </w:tblCellMar>
          <w:tblLook w:val="0000"/>
        </w:tblPrEx>
        <w:tc>
          <w:tcPr>
            <w:tcW w:w="3685" w:type="dxa"/>
            <w:tcBorders>
              <w:top w:val="single" w:sz="8" w:space="0" w:color="000000"/>
              <w:left w:val="single" w:sz="8" w:space="0" w:color="000000"/>
              <w:bottom w:val="single" w:sz="8" w:space="0" w:color="000000"/>
              <w:right w:val="single" w:sz="8" w:space="0" w:color="000000"/>
            </w:tcBorders>
            <w:tcMar>
              <w:top w:w="79" w:type="dxa"/>
              <w:left w:w="79" w:type="dxa"/>
              <w:bottom w:w="79" w:type="dxa"/>
              <w:right w:w="79" w:type="dxa"/>
            </w:tcMar>
          </w:tcPr>
          <w:p w:rsidR="00AE735B" w:rsidRPr="00BB5DE9" w14:paraId="46BE4A78" w14:textId="77777777">
            <w:pPr>
              <w:autoSpaceDE w:val="0"/>
              <w:autoSpaceDN w:val="0"/>
              <w:adjustRightInd w:val="0"/>
              <w:rPr>
                <w:b/>
                <w:bCs/>
                <w:color w:val="000000"/>
                <w:sz w:val="20"/>
              </w:rPr>
            </w:pPr>
            <w:r w:rsidRPr="00BB5DE9">
              <w:rPr>
                <w:b/>
                <w:color w:val="000000"/>
                <w:sz w:val="20"/>
              </w:rPr>
              <w:t>Approvazione</w:t>
            </w:r>
          </w:p>
        </w:tc>
        <w:tc>
          <w:tcPr>
            <w:tcW w:w="1530" w:type="dxa"/>
            <w:tcBorders>
              <w:top w:val="single" w:sz="8" w:space="0" w:color="000000"/>
              <w:left w:val="nil"/>
              <w:bottom w:val="single" w:sz="8" w:space="0" w:color="000000"/>
              <w:right w:val="nil"/>
            </w:tcBorders>
            <w:tcMar>
              <w:top w:w="79" w:type="dxa"/>
              <w:left w:w="79" w:type="dxa"/>
              <w:bottom w:w="79" w:type="dxa"/>
              <w:right w:w="79" w:type="dxa"/>
            </w:tcMar>
          </w:tcPr>
          <w:p w:rsidR="00AE735B" w:rsidRPr="00BB5DE9" w14:paraId="0D3BBAA8" w14:textId="77777777">
            <w:pPr>
              <w:autoSpaceDE w:val="0"/>
              <w:autoSpaceDN w:val="0"/>
              <w:adjustRightInd w:val="0"/>
              <w:rPr>
                <w:color w:val="000000"/>
                <w:sz w:val="20"/>
              </w:rPr>
            </w:pPr>
            <w:r w:rsidRPr="00BB5DE9">
              <w:rPr>
                <w:color w:val="000000"/>
                <w:sz w:val="20"/>
              </w:rPr>
              <w:t>1.9.2026</w:t>
            </w:r>
          </w:p>
        </w:tc>
        <w:tc>
          <w:tcPr>
            <w:tcW w:w="1474" w:type="dxa"/>
            <w:tcBorders>
              <w:top w:val="single" w:sz="8" w:space="0" w:color="000000"/>
              <w:left w:val="nil"/>
              <w:bottom w:val="single" w:sz="8" w:space="0" w:color="000000"/>
              <w:right w:val="nil"/>
            </w:tcBorders>
            <w:tcMar>
              <w:top w:w="79" w:type="dxa"/>
              <w:left w:w="79" w:type="dxa"/>
              <w:bottom w:w="79" w:type="dxa"/>
              <w:right w:w="79" w:type="dxa"/>
            </w:tcMar>
          </w:tcPr>
          <w:p w:rsidR="00AE735B" w:rsidRPr="00BB5DE9" w14:paraId="4774896F" w14:textId="77777777">
            <w:pPr>
              <w:autoSpaceDE w:val="0"/>
              <w:autoSpaceDN w:val="0"/>
              <w:adjustRightInd w:val="0"/>
              <w:rPr>
                <w:rFonts w:ascii="sans-serif" w:hAnsi="sans-serif" w:cs="sans-serif"/>
                <w:color w:val="000000"/>
              </w:rPr>
            </w:pPr>
          </w:p>
        </w:tc>
        <w:tc>
          <w:tcPr>
            <w:tcW w:w="1474" w:type="dxa"/>
            <w:tcBorders>
              <w:top w:val="single" w:sz="8" w:space="0" w:color="000000"/>
              <w:left w:val="nil"/>
              <w:bottom w:val="single" w:sz="8" w:space="0" w:color="000000"/>
              <w:right w:val="nil"/>
            </w:tcBorders>
            <w:tcMar>
              <w:top w:w="79" w:type="dxa"/>
              <w:left w:w="79" w:type="dxa"/>
              <w:bottom w:w="79" w:type="dxa"/>
              <w:right w:w="79" w:type="dxa"/>
            </w:tcMar>
          </w:tcPr>
          <w:p w:rsidR="00AE735B" w:rsidRPr="00BB5DE9" w14:paraId="5CC94F53" w14:textId="77777777">
            <w:pPr>
              <w:autoSpaceDE w:val="0"/>
              <w:autoSpaceDN w:val="0"/>
              <w:adjustRightInd w:val="0"/>
              <w:rPr>
                <w:rFonts w:ascii="sans-serif" w:hAnsi="sans-serif" w:cs="sans-serif"/>
                <w:color w:val="000000"/>
              </w:rPr>
            </w:pPr>
          </w:p>
        </w:tc>
        <w:tc>
          <w:tcPr>
            <w:tcW w:w="1474" w:type="dxa"/>
            <w:tcBorders>
              <w:top w:val="single" w:sz="8" w:space="0" w:color="000000"/>
              <w:left w:val="nil"/>
              <w:bottom w:val="single" w:sz="8" w:space="0" w:color="000000"/>
              <w:right w:val="single" w:sz="8" w:space="0" w:color="000000"/>
            </w:tcBorders>
            <w:tcMar>
              <w:top w:w="79" w:type="dxa"/>
              <w:left w:w="79" w:type="dxa"/>
              <w:bottom w:w="79" w:type="dxa"/>
              <w:right w:w="79" w:type="dxa"/>
            </w:tcMar>
          </w:tcPr>
          <w:p w:rsidR="00AE735B" w:rsidRPr="00BB5DE9" w14:paraId="31F5017D" w14:textId="77777777">
            <w:pPr>
              <w:autoSpaceDE w:val="0"/>
              <w:autoSpaceDN w:val="0"/>
              <w:adjustRightInd w:val="0"/>
              <w:rPr>
                <w:rFonts w:ascii="sans-serif" w:hAnsi="sans-serif" w:cs="sans-serif"/>
                <w:color w:val="000000"/>
              </w:rPr>
            </w:pPr>
          </w:p>
        </w:tc>
      </w:tr>
      <w:tr w14:paraId="10C1A386" w14:textId="77777777">
        <w:tblPrEx>
          <w:tblW w:w="0" w:type="auto"/>
          <w:tblInd w:w="-10" w:type="dxa"/>
          <w:tblLayout w:type="fixed"/>
          <w:tblCellMar>
            <w:left w:w="0" w:type="dxa"/>
            <w:right w:w="0" w:type="dxa"/>
          </w:tblCellMar>
          <w:tblLook w:val="0000"/>
        </w:tblPrEx>
        <w:tc>
          <w:tcPr>
            <w:tcW w:w="3685" w:type="dxa"/>
            <w:tcBorders>
              <w:top w:val="single" w:sz="8" w:space="0" w:color="000000"/>
              <w:left w:val="single" w:sz="8" w:space="0" w:color="000000"/>
              <w:bottom w:val="single" w:sz="8" w:space="0" w:color="000000"/>
              <w:right w:val="single" w:sz="8" w:space="0" w:color="000000"/>
            </w:tcBorders>
            <w:tcMar>
              <w:top w:w="79" w:type="dxa"/>
              <w:left w:w="79" w:type="dxa"/>
              <w:bottom w:w="79" w:type="dxa"/>
              <w:right w:w="79" w:type="dxa"/>
            </w:tcMar>
          </w:tcPr>
          <w:p w:rsidR="00AE735B" w:rsidRPr="00BB5DE9" w14:paraId="7DF987BD" w14:textId="77777777">
            <w:pPr>
              <w:autoSpaceDE w:val="0"/>
              <w:autoSpaceDN w:val="0"/>
              <w:adjustRightInd w:val="0"/>
              <w:rPr>
                <w:b/>
                <w:bCs/>
                <w:color w:val="000000"/>
                <w:sz w:val="20"/>
              </w:rPr>
            </w:pPr>
            <w:r w:rsidRPr="00BB5DE9">
              <w:rPr>
                <w:b/>
                <w:color w:val="000000"/>
                <w:sz w:val="20"/>
              </w:rPr>
              <w:t>Esito della votazione finale</w:t>
            </w:r>
          </w:p>
        </w:tc>
        <w:tc>
          <w:tcPr>
            <w:tcW w:w="1530" w:type="dxa"/>
            <w:tcBorders>
              <w:top w:val="single" w:sz="8" w:space="0" w:color="000000"/>
              <w:left w:val="nil"/>
              <w:bottom w:val="single" w:sz="8" w:space="0" w:color="000000"/>
              <w:right w:val="nil"/>
            </w:tcBorders>
            <w:tcMar>
              <w:top w:w="79" w:type="dxa"/>
              <w:left w:w="79" w:type="dxa"/>
              <w:bottom w:w="79" w:type="dxa"/>
              <w:right w:w="79" w:type="dxa"/>
            </w:tcMar>
          </w:tcPr>
          <w:p w:rsidR="00AE735B" w:rsidRPr="00BB5DE9" w14:paraId="68D968BA" w14:textId="77777777">
            <w:pPr>
              <w:autoSpaceDE w:val="0"/>
              <w:autoSpaceDN w:val="0"/>
              <w:adjustRightInd w:val="0"/>
              <w:rPr>
                <w:color w:val="000000"/>
                <w:sz w:val="20"/>
              </w:rPr>
            </w:pPr>
            <w:r w:rsidRPr="00BB5DE9">
              <w:rPr>
                <w:color w:val="000000"/>
                <w:sz w:val="20"/>
              </w:rPr>
              <w:t>+:</w:t>
            </w:r>
          </w:p>
          <w:p w:rsidR="00AE735B" w:rsidRPr="00BB5DE9" w14:paraId="77938634" w14:textId="77777777">
            <w:pPr>
              <w:autoSpaceDE w:val="0"/>
              <w:autoSpaceDN w:val="0"/>
              <w:adjustRightInd w:val="0"/>
              <w:rPr>
                <w:color w:val="000000"/>
                <w:sz w:val="20"/>
              </w:rPr>
            </w:pPr>
            <w:r w:rsidRPr="00BB5DE9">
              <w:rPr>
                <w:color w:val="000000"/>
                <w:sz w:val="20"/>
              </w:rPr>
              <w:t>–:</w:t>
            </w:r>
          </w:p>
          <w:p w:rsidR="00AE735B" w:rsidRPr="00BB5DE9" w14:paraId="71906289" w14:textId="77777777">
            <w:pPr>
              <w:autoSpaceDE w:val="0"/>
              <w:autoSpaceDN w:val="0"/>
              <w:adjustRightInd w:val="0"/>
              <w:rPr>
                <w:color w:val="000000"/>
                <w:sz w:val="20"/>
              </w:rPr>
            </w:pPr>
            <w:r w:rsidRPr="00BB5DE9">
              <w:rPr>
                <w:color w:val="000000"/>
                <w:sz w:val="20"/>
              </w:rPr>
              <w:t>0:</w:t>
            </w:r>
          </w:p>
        </w:tc>
        <w:tc>
          <w:tcPr>
            <w:tcW w:w="4422" w:type="dxa"/>
            <w:gridSpan w:val="3"/>
            <w:tcBorders>
              <w:top w:val="single" w:sz="8" w:space="0" w:color="000000"/>
              <w:left w:val="nil"/>
              <w:bottom w:val="single" w:sz="8" w:space="0" w:color="000000"/>
              <w:right w:val="single" w:sz="8" w:space="0" w:color="000000"/>
            </w:tcBorders>
            <w:tcMar>
              <w:top w:w="79" w:type="dxa"/>
              <w:left w:w="79" w:type="dxa"/>
              <w:bottom w:w="79" w:type="dxa"/>
              <w:right w:w="79" w:type="dxa"/>
            </w:tcMar>
          </w:tcPr>
          <w:p w:rsidR="00AE735B" w:rsidRPr="00BB5DE9" w14:paraId="4B212678" w14:textId="77777777">
            <w:pPr>
              <w:autoSpaceDE w:val="0"/>
              <w:autoSpaceDN w:val="0"/>
              <w:adjustRightInd w:val="0"/>
              <w:rPr>
                <w:color w:val="000000"/>
                <w:sz w:val="20"/>
              </w:rPr>
            </w:pPr>
            <w:r w:rsidRPr="00BB5DE9">
              <w:rPr>
                <w:color w:val="000000"/>
                <w:sz w:val="20"/>
              </w:rPr>
              <w:t>21</w:t>
            </w:r>
          </w:p>
          <w:p w:rsidR="00AE735B" w:rsidRPr="00BB5DE9" w14:paraId="51CD9772" w14:textId="77777777">
            <w:pPr>
              <w:autoSpaceDE w:val="0"/>
              <w:autoSpaceDN w:val="0"/>
              <w:adjustRightInd w:val="0"/>
              <w:rPr>
                <w:color w:val="000000"/>
                <w:sz w:val="20"/>
              </w:rPr>
            </w:pPr>
            <w:r w:rsidRPr="00BB5DE9">
              <w:rPr>
                <w:color w:val="000000"/>
                <w:sz w:val="20"/>
              </w:rPr>
              <w:t>8</w:t>
            </w:r>
          </w:p>
          <w:p w:rsidR="00AE735B" w:rsidRPr="00BB5DE9" w14:paraId="5737BFB0" w14:textId="77777777">
            <w:pPr>
              <w:autoSpaceDE w:val="0"/>
              <w:autoSpaceDN w:val="0"/>
              <w:adjustRightInd w:val="0"/>
              <w:rPr>
                <w:color w:val="000000"/>
                <w:sz w:val="20"/>
              </w:rPr>
            </w:pPr>
            <w:r w:rsidRPr="00BB5DE9">
              <w:rPr>
                <w:color w:val="000000"/>
                <w:sz w:val="20"/>
              </w:rPr>
              <w:t>1</w:t>
            </w:r>
          </w:p>
        </w:tc>
      </w:tr>
    </w:tbl>
    <w:p w:rsidR="00AE735B" w:rsidRPr="00BB5DE9" w:rsidP="00470C09" w14:paraId="6FAB0453" w14:textId="77777777"/>
    <w:p w:rsidR="00AE735B" w:rsidRPr="00BB5DE9" w:rsidP="005E5DE5" w14:paraId="0ED1CA48" w14:textId="77777777">
      <w:pPr>
        <w:sectPr w:rsidSect="00AE735B">
          <w:pgSz w:w="11894" w:h="15840"/>
          <w:pgMar w:top="1700" w:right="1417" w:bottom="1417" w:left="1417" w:header="720" w:footer="720" w:gutter="0"/>
          <w:cols w:space="720"/>
          <w:noEndnote/>
          <w:docGrid w:linePitch="326"/>
        </w:sectPr>
      </w:pPr>
    </w:p>
    <w:p w:rsidR="00AE735B" w:rsidRPr="00BB5DE9" w:rsidP="00C36610" w14:paraId="2149F5D0" w14:textId="77777777">
      <w:pPr>
        <w:pStyle w:val="PageHeadingNotTOC"/>
      </w:pPr>
      <w:r w:rsidRPr="00BB5DE9">
        <w:t>VOTAZIONE FINALE PER APPELLO NOMINALE</w:t>
      </w:r>
      <w:r w:rsidRPr="00BB5DE9">
        <w:br/>
        <w:t>DA PARTE DELLA COMMISSIONE COMPETENTE PER PARERE</w:t>
      </w:r>
    </w:p>
    <w:tbl>
      <w:tblPr>
        <w:tblW w:w="0" w:type="auto"/>
        <w:tblInd w:w="145" w:type="dxa"/>
        <w:tblBorders>
          <w:top w:val="double" w:sz="2" w:space="0" w:color="000000"/>
          <w:left w:val="double" w:sz="2" w:space="0" w:color="000000"/>
          <w:bottom w:val="double" w:sz="2" w:space="0" w:color="000000"/>
          <w:right w:val="double" w:sz="2" w:space="0" w:color="000000"/>
          <w:insideH w:val="single" w:sz="2" w:space="0" w:color="000000"/>
          <w:insideV w:val="single" w:sz="2" w:space="0" w:color="000000"/>
        </w:tblBorders>
        <w:tblLayout w:type="fixed"/>
        <w:tblCellMar>
          <w:left w:w="145" w:type="dxa"/>
          <w:right w:w="145" w:type="dxa"/>
        </w:tblCellMar>
        <w:tblLook w:val="0000"/>
      </w:tblPr>
      <w:tblGrid>
        <w:gridCol w:w="1701"/>
        <w:gridCol w:w="7371"/>
      </w:tblGrid>
      <w:tr w14:paraId="6E17E5C8" w14:textId="77777777" w:rsidTr="00F0021B">
        <w:tblPrEx>
          <w:tblW w:w="0" w:type="auto"/>
          <w:tblInd w:w="145" w:type="dxa"/>
          <w:tblBorders>
            <w:top w:val="double" w:sz="2" w:space="0" w:color="000000"/>
            <w:left w:val="double" w:sz="2" w:space="0" w:color="000000"/>
            <w:bottom w:val="double" w:sz="2" w:space="0" w:color="000000"/>
            <w:right w:val="double" w:sz="2" w:space="0" w:color="000000"/>
            <w:insideH w:val="single" w:sz="2" w:space="0" w:color="000000"/>
            <w:insideV w:val="single" w:sz="2" w:space="0" w:color="000000"/>
          </w:tblBorders>
          <w:tblLayout w:type="fixed"/>
          <w:tblCellMar>
            <w:left w:w="145" w:type="dxa"/>
            <w:right w:w="145" w:type="dxa"/>
          </w:tblCellMar>
          <w:tblLook w:val="0000"/>
        </w:tblPrEx>
        <w:trPr>
          <w:cantSplit/>
        </w:trPr>
        <w:tc>
          <w:tcPr>
            <w:tcW w:w="1701" w:type="dxa"/>
            <w:shd w:val="pct10" w:color="000000" w:fill="FFFFFF"/>
            <w:vAlign w:val="center"/>
          </w:tcPr>
          <w:p w:rsidR="00AE735B" w:rsidRPr="00BB5DE9" w:rsidP="00F0021B" w14:paraId="2D67F53F" w14:textId="77777777">
            <w:pPr>
              <w:pStyle w:val="RollCallVotes"/>
              <w:rPr>
                <w:lang w:val="it-IT"/>
              </w:rPr>
            </w:pPr>
            <w:r w:rsidRPr="00BB5DE9">
              <w:rPr>
                <w:lang w:val="it-IT"/>
              </w:rPr>
              <w:t>21</w:t>
            </w:r>
          </w:p>
        </w:tc>
        <w:tc>
          <w:tcPr>
            <w:tcW w:w="7371" w:type="dxa"/>
            <w:shd w:val="pct10" w:color="000000" w:fill="FFFFFF"/>
          </w:tcPr>
          <w:p w:rsidR="00AE735B" w:rsidRPr="00BB5DE9" w:rsidP="00F0021B" w14:paraId="08382CB6" w14:textId="77777777">
            <w:pPr>
              <w:pStyle w:val="RollCallSymbols14pt"/>
              <w:rPr>
                <w:lang w:val="it-IT"/>
              </w:rPr>
            </w:pPr>
            <w:r w:rsidRPr="00BB5DE9">
              <w:rPr>
                <w:lang w:val="it-IT"/>
              </w:rPr>
              <w:t>+</w:t>
            </w:r>
          </w:p>
        </w:tc>
      </w:tr>
      <w:tr w14:paraId="08E88CA9" w14:textId="77777777" w:rsidTr="00F0021B">
        <w:tblPrEx>
          <w:tblW w:w="0" w:type="auto"/>
          <w:tblInd w:w="145" w:type="dxa"/>
          <w:tblLayout w:type="fixed"/>
          <w:tblCellMar>
            <w:left w:w="145" w:type="dxa"/>
            <w:right w:w="145" w:type="dxa"/>
          </w:tblCellMar>
          <w:tblLook w:val="0000"/>
        </w:tblPrEx>
        <w:trPr>
          <w:cantSplit/>
        </w:trPr>
        <w:tc>
          <w:tcPr>
            <w:tcW w:w="1701" w:type="dxa"/>
            <w:shd w:val="clear" w:color="auto" w:fill="FFFFFF"/>
          </w:tcPr>
          <w:p w:rsidR="00AE735B" w:rsidRPr="00BB5DE9" w:rsidP="00F0021B" w14:paraId="25D7152E" w14:textId="77777777">
            <w:pPr>
              <w:pStyle w:val="RollCallTable"/>
              <w:rPr>
                <w:lang w:val="it-IT"/>
              </w:rPr>
            </w:pPr>
            <w:r w:rsidRPr="00BB5DE9">
              <w:rPr>
                <w:lang w:val="it-IT"/>
              </w:rPr>
              <w:t>PPE</w:t>
            </w:r>
          </w:p>
        </w:tc>
        <w:tc>
          <w:tcPr>
            <w:tcW w:w="7371" w:type="dxa"/>
            <w:shd w:val="clear" w:color="auto" w:fill="FFFFFF"/>
          </w:tcPr>
          <w:p w:rsidR="00AE735B" w:rsidRPr="00BB5DE9" w:rsidP="00F0021B" w14:paraId="4754525D" w14:textId="77777777">
            <w:pPr>
              <w:pStyle w:val="RollCallTable"/>
              <w:rPr>
                <w:lang w:val="it-IT"/>
              </w:rPr>
            </w:pPr>
            <w:r w:rsidRPr="00BB5DE9">
              <w:rPr>
                <w:lang w:val="it-IT"/>
              </w:rPr>
              <w:t>Regina Doherty, Loucas Fourlas, Ewa Kopacz, Eleonora Meleti</w:t>
            </w:r>
          </w:p>
        </w:tc>
      </w:tr>
      <w:tr w14:paraId="3033FADF" w14:textId="77777777" w:rsidTr="00F0021B">
        <w:tblPrEx>
          <w:tblW w:w="0" w:type="auto"/>
          <w:tblInd w:w="145" w:type="dxa"/>
          <w:tblLayout w:type="fixed"/>
          <w:tblCellMar>
            <w:left w:w="145" w:type="dxa"/>
            <w:right w:w="145" w:type="dxa"/>
          </w:tblCellMar>
          <w:tblLook w:val="0000"/>
        </w:tblPrEx>
        <w:trPr>
          <w:cantSplit/>
        </w:trPr>
        <w:tc>
          <w:tcPr>
            <w:tcW w:w="1701" w:type="dxa"/>
            <w:shd w:val="clear" w:color="auto" w:fill="FFFFFF"/>
          </w:tcPr>
          <w:p w:rsidR="00AE735B" w:rsidRPr="00BB5DE9" w:rsidP="00F0021B" w14:paraId="5C68DED3" w14:textId="77777777">
            <w:pPr>
              <w:pStyle w:val="RollCallTable"/>
              <w:rPr>
                <w:lang w:val="it-IT"/>
              </w:rPr>
            </w:pPr>
            <w:r w:rsidRPr="00BB5DE9">
              <w:rPr>
                <w:lang w:val="it-IT"/>
              </w:rPr>
              <w:t>Renew</w:t>
            </w:r>
          </w:p>
        </w:tc>
        <w:tc>
          <w:tcPr>
            <w:tcW w:w="7371" w:type="dxa"/>
            <w:shd w:val="clear" w:color="auto" w:fill="FFFFFF"/>
          </w:tcPr>
          <w:p w:rsidR="00AE735B" w:rsidRPr="00BB5DE9" w:rsidP="00F0021B" w14:paraId="3E391DAB" w14:textId="77777777">
            <w:pPr>
              <w:pStyle w:val="RollCallTable"/>
              <w:rPr>
                <w:lang w:val="it-IT"/>
              </w:rPr>
            </w:pPr>
            <w:r w:rsidRPr="00BB5DE9">
              <w:rPr>
                <w:lang w:val="it-IT"/>
              </w:rPr>
              <w:t>Abir Al-Sahlani, Valérie Devaux, Lucia Yar</w:t>
            </w:r>
          </w:p>
        </w:tc>
      </w:tr>
      <w:tr w14:paraId="7E11A481" w14:textId="77777777" w:rsidTr="00F0021B">
        <w:tblPrEx>
          <w:tblW w:w="0" w:type="auto"/>
          <w:tblInd w:w="145" w:type="dxa"/>
          <w:tblLayout w:type="fixed"/>
          <w:tblCellMar>
            <w:left w:w="145" w:type="dxa"/>
            <w:right w:w="145" w:type="dxa"/>
          </w:tblCellMar>
          <w:tblLook w:val="0000"/>
        </w:tblPrEx>
        <w:trPr>
          <w:cantSplit/>
        </w:trPr>
        <w:tc>
          <w:tcPr>
            <w:tcW w:w="1701" w:type="dxa"/>
            <w:shd w:val="clear" w:color="auto" w:fill="FFFFFF"/>
          </w:tcPr>
          <w:p w:rsidR="00AE735B" w:rsidRPr="00BB5DE9" w:rsidP="00F0021B" w14:paraId="552BF701" w14:textId="77777777">
            <w:pPr>
              <w:pStyle w:val="RollCallTable"/>
              <w:rPr>
                <w:lang w:val="it-IT"/>
              </w:rPr>
            </w:pPr>
            <w:r w:rsidRPr="00BB5DE9">
              <w:rPr>
                <w:lang w:val="it-IT"/>
              </w:rPr>
              <w:t>S&amp;D</w:t>
            </w:r>
          </w:p>
        </w:tc>
        <w:tc>
          <w:tcPr>
            <w:tcW w:w="7371" w:type="dxa"/>
            <w:shd w:val="clear" w:color="auto" w:fill="FFFFFF"/>
          </w:tcPr>
          <w:p w:rsidR="00AE735B" w:rsidRPr="00BB5DE9" w:rsidP="00F0021B" w14:paraId="12AFD1D5" w14:textId="77777777">
            <w:pPr>
              <w:pStyle w:val="RollCallTable"/>
              <w:rPr>
                <w:lang w:val="it-IT"/>
              </w:rPr>
            </w:pPr>
            <w:r w:rsidRPr="00BB5DE9">
              <w:rPr>
                <w:lang w:val="it-IT"/>
              </w:rPr>
              <w:t>Heléne Fritzon, Lina Gálvez, Elisabeth Grossmann, Alessandra Moretti, Maria Noichl, Joanna Scheuring-Wielgus, Marko Vešligaj, Marianne Vind</w:t>
            </w:r>
          </w:p>
        </w:tc>
      </w:tr>
      <w:tr w14:paraId="485F0175" w14:textId="77777777" w:rsidTr="00F0021B">
        <w:tblPrEx>
          <w:tblW w:w="0" w:type="auto"/>
          <w:tblInd w:w="145" w:type="dxa"/>
          <w:tblLayout w:type="fixed"/>
          <w:tblCellMar>
            <w:left w:w="145" w:type="dxa"/>
            <w:right w:w="145" w:type="dxa"/>
          </w:tblCellMar>
          <w:tblLook w:val="0000"/>
        </w:tblPrEx>
        <w:trPr>
          <w:cantSplit/>
        </w:trPr>
        <w:tc>
          <w:tcPr>
            <w:tcW w:w="1701" w:type="dxa"/>
            <w:shd w:val="clear" w:color="auto" w:fill="FFFFFF"/>
          </w:tcPr>
          <w:p w:rsidR="00AE735B" w:rsidRPr="00BB5DE9" w:rsidP="00F0021B" w14:paraId="05E0D7B0" w14:textId="77777777">
            <w:pPr>
              <w:pStyle w:val="RollCallTable"/>
              <w:rPr>
                <w:lang w:val="it-IT"/>
              </w:rPr>
            </w:pPr>
            <w:r w:rsidRPr="00BB5DE9">
              <w:rPr>
                <w:lang w:val="it-IT"/>
              </w:rPr>
              <w:t>The Left</w:t>
            </w:r>
          </w:p>
        </w:tc>
        <w:tc>
          <w:tcPr>
            <w:tcW w:w="7371" w:type="dxa"/>
            <w:shd w:val="clear" w:color="auto" w:fill="FFFFFF"/>
          </w:tcPr>
          <w:p w:rsidR="00AE735B" w:rsidRPr="00BB5DE9" w:rsidP="00F0021B" w14:paraId="1DBF20EE" w14:textId="77777777">
            <w:pPr>
              <w:pStyle w:val="RollCallTable"/>
              <w:rPr>
                <w:lang w:val="it-IT"/>
              </w:rPr>
            </w:pPr>
            <w:r w:rsidRPr="00BB5DE9">
              <w:rPr>
                <w:lang w:val="it-IT"/>
              </w:rPr>
              <w:t>Hanna Gedin, Elena Kountoura, Carolina Morace</w:t>
            </w:r>
          </w:p>
        </w:tc>
      </w:tr>
      <w:tr w14:paraId="1E3E6AD2" w14:textId="77777777" w:rsidTr="00F0021B">
        <w:tblPrEx>
          <w:tblW w:w="0" w:type="auto"/>
          <w:tblInd w:w="145" w:type="dxa"/>
          <w:tblLayout w:type="fixed"/>
          <w:tblCellMar>
            <w:left w:w="145" w:type="dxa"/>
            <w:right w:w="145" w:type="dxa"/>
          </w:tblCellMar>
          <w:tblLook w:val="0000"/>
        </w:tblPrEx>
        <w:trPr>
          <w:cantSplit/>
        </w:trPr>
        <w:tc>
          <w:tcPr>
            <w:tcW w:w="1701" w:type="dxa"/>
            <w:shd w:val="clear" w:color="auto" w:fill="FFFFFF"/>
          </w:tcPr>
          <w:p w:rsidR="00AE735B" w:rsidRPr="00BB5DE9" w:rsidP="00F0021B" w14:paraId="7FC7CBC7" w14:textId="77777777">
            <w:pPr>
              <w:pStyle w:val="RollCallTable"/>
              <w:rPr>
                <w:lang w:val="it-IT"/>
              </w:rPr>
            </w:pPr>
            <w:r w:rsidRPr="00BB5DE9">
              <w:rPr>
                <w:lang w:val="it-IT"/>
              </w:rPr>
              <w:t>Verts/ALE</w:t>
            </w:r>
          </w:p>
        </w:tc>
        <w:tc>
          <w:tcPr>
            <w:tcW w:w="7371" w:type="dxa"/>
            <w:shd w:val="clear" w:color="auto" w:fill="FFFFFF"/>
          </w:tcPr>
          <w:p w:rsidR="00AE735B" w:rsidRPr="00BB5DE9" w:rsidP="00F0021B" w14:paraId="2EE18F2D" w14:textId="77777777">
            <w:pPr>
              <w:pStyle w:val="RollCallTable"/>
              <w:rPr>
                <w:lang w:val="it-IT"/>
              </w:rPr>
            </w:pPr>
            <w:r w:rsidRPr="00BB5DE9">
              <w:rPr>
                <w:lang w:val="it-IT"/>
              </w:rPr>
              <w:t>Mélissa Camara, Katrin Langensiepen, Anna Strolenberg</w:t>
            </w:r>
          </w:p>
        </w:tc>
      </w:tr>
    </w:tbl>
    <w:p w:rsidR="00AE735B" w:rsidRPr="00BB5DE9" w:rsidP="00470C09" w14:paraId="5B94B9FA" w14:textId="77777777"/>
    <w:tbl>
      <w:tblPr>
        <w:tblW w:w="0" w:type="auto"/>
        <w:tblInd w:w="145" w:type="dxa"/>
        <w:tblBorders>
          <w:top w:val="double" w:sz="2" w:space="0" w:color="000000"/>
          <w:left w:val="double" w:sz="2" w:space="0" w:color="000000"/>
          <w:bottom w:val="double" w:sz="2" w:space="0" w:color="000000"/>
          <w:right w:val="double" w:sz="2" w:space="0" w:color="000000"/>
          <w:insideH w:val="single" w:sz="2" w:space="0" w:color="000000"/>
          <w:insideV w:val="single" w:sz="2" w:space="0" w:color="000000"/>
        </w:tblBorders>
        <w:tblLayout w:type="fixed"/>
        <w:tblCellMar>
          <w:left w:w="145" w:type="dxa"/>
          <w:right w:w="145" w:type="dxa"/>
        </w:tblCellMar>
        <w:tblLook w:val="0000"/>
      </w:tblPr>
      <w:tblGrid>
        <w:gridCol w:w="1701"/>
        <w:gridCol w:w="7371"/>
      </w:tblGrid>
      <w:tr w14:paraId="49F8D17B" w14:textId="77777777" w:rsidTr="00F0021B">
        <w:tblPrEx>
          <w:tblW w:w="0" w:type="auto"/>
          <w:tblInd w:w="145" w:type="dxa"/>
          <w:tblBorders>
            <w:top w:val="double" w:sz="2" w:space="0" w:color="000000"/>
            <w:left w:val="double" w:sz="2" w:space="0" w:color="000000"/>
            <w:bottom w:val="double" w:sz="2" w:space="0" w:color="000000"/>
            <w:right w:val="double" w:sz="2" w:space="0" w:color="000000"/>
            <w:insideH w:val="single" w:sz="2" w:space="0" w:color="000000"/>
            <w:insideV w:val="single" w:sz="2" w:space="0" w:color="000000"/>
          </w:tblBorders>
          <w:tblLayout w:type="fixed"/>
          <w:tblCellMar>
            <w:left w:w="145" w:type="dxa"/>
            <w:right w:w="145" w:type="dxa"/>
          </w:tblCellMar>
          <w:tblLook w:val="0000"/>
        </w:tblPrEx>
        <w:trPr>
          <w:cantSplit/>
        </w:trPr>
        <w:tc>
          <w:tcPr>
            <w:tcW w:w="1701" w:type="dxa"/>
            <w:shd w:val="pct10" w:color="000000" w:fill="FFFFFF"/>
            <w:vAlign w:val="center"/>
          </w:tcPr>
          <w:p w:rsidR="00AE735B" w:rsidRPr="00BB5DE9" w:rsidP="00F0021B" w14:paraId="73AF94CB" w14:textId="77777777">
            <w:pPr>
              <w:pStyle w:val="RollCallVotes"/>
              <w:rPr>
                <w:lang w:val="it-IT"/>
              </w:rPr>
            </w:pPr>
            <w:r w:rsidRPr="00BB5DE9">
              <w:rPr>
                <w:lang w:val="it-IT"/>
              </w:rPr>
              <w:t>8</w:t>
            </w:r>
          </w:p>
        </w:tc>
        <w:tc>
          <w:tcPr>
            <w:tcW w:w="7371" w:type="dxa"/>
            <w:shd w:val="pct10" w:color="000000" w:fill="FFFFFF"/>
          </w:tcPr>
          <w:p w:rsidR="00AE735B" w:rsidRPr="00BB5DE9" w:rsidP="00F0021B" w14:paraId="31EC1BF2" w14:textId="77777777">
            <w:pPr>
              <w:pStyle w:val="RollCallSymbols14pt"/>
              <w:rPr>
                <w:lang w:val="it-IT"/>
              </w:rPr>
            </w:pPr>
            <w:r w:rsidRPr="00BB5DE9">
              <w:rPr>
                <w:lang w:val="it-IT"/>
              </w:rPr>
              <w:t>-</w:t>
            </w:r>
          </w:p>
        </w:tc>
      </w:tr>
      <w:tr w14:paraId="3F919990" w14:textId="77777777" w:rsidTr="00F0021B">
        <w:tblPrEx>
          <w:tblW w:w="0" w:type="auto"/>
          <w:tblInd w:w="145" w:type="dxa"/>
          <w:tblLayout w:type="fixed"/>
          <w:tblCellMar>
            <w:left w:w="145" w:type="dxa"/>
            <w:right w:w="145" w:type="dxa"/>
          </w:tblCellMar>
          <w:tblLook w:val="0000"/>
        </w:tblPrEx>
        <w:trPr>
          <w:cantSplit/>
        </w:trPr>
        <w:tc>
          <w:tcPr>
            <w:tcW w:w="1701" w:type="dxa"/>
            <w:shd w:val="clear" w:color="auto" w:fill="FFFFFF"/>
          </w:tcPr>
          <w:p w:rsidR="00AE735B" w:rsidRPr="00BB5DE9" w:rsidP="00F0021B" w14:paraId="698928DC" w14:textId="77777777">
            <w:pPr>
              <w:pStyle w:val="RollCallTable"/>
              <w:rPr>
                <w:lang w:val="it-IT"/>
              </w:rPr>
            </w:pPr>
            <w:r w:rsidRPr="00BB5DE9">
              <w:rPr>
                <w:lang w:val="it-IT"/>
              </w:rPr>
              <w:t>ECR</w:t>
            </w:r>
          </w:p>
        </w:tc>
        <w:tc>
          <w:tcPr>
            <w:tcW w:w="7371" w:type="dxa"/>
            <w:shd w:val="clear" w:color="auto" w:fill="FFFFFF"/>
          </w:tcPr>
          <w:p w:rsidR="00AE735B" w:rsidRPr="00BB5DE9" w:rsidP="00F0021B" w14:paraId="4DF15D35" w14:textId="77777777">
            <w:pPr>
              <w:pStyle w:val="RollCallTable"/>
              <w:rPr>
                <w:lang w:val="it-IT"/>
              </w:rPr>
            </w:pPr>
            <w:r w:rsidRPr="00BB5DE9">
              <w:rPr>
                <w:lang w:val="it-IT"/>
              </w:rPr>
              <w:t>Chiara Gemma, Laurence Trochu</w:t>
            </w:r>
          </w:p>
        </w:tc>
      </w:tr>
      <w:tr w14:paraId="7042BEDE" w14:textId="77777777" w:rsidTr="00F0021B">
        <w:tblPrEx>
          <w:tblW w:w="0" w:type="auto"/>
          <w:tblInd w:w="145" w:type="dxa"/>
          <w:tblLayout w:type="fixed"/>
          <w:tblCellMar>
            <w:left w:w="145" w:type="dxa"/>
            <w:right w:w="145" w:type="dxa"/>
          </w:tblCellMar>
          <w:tblLook w:val="0000"/>
        </w:tblPrEx>
        <w:trPr>
          <w:cantSplit/>
        </w:trPr>
        <w:tc>
          <w:tcPr>
            <w:tcW w:w="1701" w:type="dxa"/>
            <w:shd w:val="clear" w:color="auto" w:fill="FFFFFF"/>
          </w:tcPr>
          <w:p w:rsidR="00AE735B" w:rsidRPr="00BB5DE9" w:rsidP="00F0021B" w14:paraId="4FBD04F3" w14:textId="77777777">
            <w:pPr>
              <w:pStyle w:val="RollCallTable"/>
              <w:rPr>
                <w:lang w:val="it-IT"/>
              </w:rPr>
            </w:pPr>
            <w:r w:rsidRPr="00BB5DE9">
              <w:rPr>
                <w:lang w:val="it-IT"/>
              </w:rPr>
              <w:t>NI</w:t>
            </w:r>
          </w:p>
        </w:tc>
        <w:tc>
          <w:tcPr>
            <w:tcW w:w="7371" w:type="dxa"/>
            <w:shd w:val="clear" w:color="auto" w:fill="FFFFFF"/>
          </w:tcPr>
          <w:p w:rsidR="00AE735B" w:rsidRPr="00BB5DE9" w:rsidP="00F0021B" w14:paraId="2173BDBD" w14:textId="77777777">
            <w:pPr>
              <w:pStyle w:val="RollCallTable"/>
              <w:rPr>
                <w:lang w:val="it-IT"/>
              </w:rPr>
            </w:pPr>
            <w:r w:rsidRPr="00BB5DE9">
              <w:rPr>
                <w:lang w:val="it-IT"/>
              </w:rPr>
              <w:t>Fernand Kartheiser</w:t>
            </w:r>
          </w:p>
        </w:tc>
      </w:tr>
      <w:tr w14:paraId="52C0C9DD" w14:textId="77777777" w:rsidTr="00F0021B">
        <w:tblPrEx>
          <w:tblW w:w="0" w:type="auto"/>
          <w:tblInd w:w="145" w:type="dxa"/>
          <w:tblLayout w:type="fixed"/>
          <w:tblCellMar>
            <w:left w:w="145" w:type="dxa"/>
            <w:right w:w="145" w:type="dxa"/>
          </w:tblCellMar>
          <w:tblLook w:val="0000"/>
        </w:tblPrEx>
        <w:trPr>
          <w:cantSplit/>
        </w:trPr>
        <w:tc>
          <w:tcPr>
            <w:tcW w:w="1701" w:type="dxa"/>
            <w:shd w:val="clear" w:color="auto" w:fill="FFFFFF"/>
          </w:tcPr>
          <w:p w:rsidR="00AE735B" w:rsidRPr="00BB5DE9" w:rsidP="00F0021B" w14:paraId="4BA1483A" w14:textId="77777777">
            <w:pPr>
              <w:pStyle w:val="RollCallTable"/>
              <w:rPr>
                <w:lang w:val="it-IT"/>
              </w:rPr>
            </w:pPr>
            <w:r w:rsidRPr="00BB5DE9">
              <w:rPr>
                <w:lang w:val="it-IT"/>
              </w:rPr>
              <w:t>PfE</w:t>
            </w:r>
          </w:p>
        </w:tc>
        <w:tc>
          <w:tcPr>
            <w:tcW w:w="7371" w:type="dxa"/>
            <w:shd w:val="clear" w:color="auto" w:fill="FFFFFF"/>
          </w:tcPr>
          <w:p w:rsidR="00AE735B" w:rsidRPr="00BB5DE9" w:rsidP="00F0021B" w14:paraId="055CC366" w14:textId="77777777">
            <w:pPr>
              <w:pStyle w:val="RollCallTable"/>
              <w:rPr>
                <w:lang w:val="it-IT"/>
              </w:rPr>
            </w:pPr>
            <w:r w:rsidRPr="00BB5DE9">
              <w:rPr>
                <w:lang w:val="it-IT"/>
              </w:rPr>
              <w:t>Barbara Bonte, Elisabeth Dieringer, Viktória Ferenc, Sebastian Kruis, Margarita de la Pisa Carrión</w:t>
            </w:r>
          </w:p>
        </w:tc>
      </w:tr>
    </w:tbl>
    <w:p w:rsidR="00AE735B" w:rsidRPr="00BB5DE9" w:rsidP="00470C09" w14:paraId="490D0AC3" w14:textId="77777777"/>
    <w:tbl>
      <w:tblPr>
        <w:tblW w:w="0" w:type="auto"/>
        <w:tblInd w:w="145" w:type="dxa"/>
        <w:tblBorders>
          <w:top w:val="double" w:sz="2" w:space="0" w:color="000000"/>
          <w:left w:val="double" w:sz="2" w:space="0" w:color="000000"/>
          <w:bottom w:val="double" w:sz="2" w:space="0" w:color="000000"/>
          <w:right w:val="double" w:sz="2" w:space="0" w:color="000000"/>
          <w:insideH w:val="single" w:sz="2" w:space="0" w:color="000000"/>
          <w:insideV w:val="single" w:sz="2" w:space="0" w:color="000000"/>
        </w:tblBorders>
        <w:tblLayout w:type="fixed"/>
        <w:tblCellMar>
          <w:left w:w="145" w:type="dxa"/>
          <w:right w:w="145" w:type="dxa"/>
        </w:tblCellMar>
        <w:tblLook w:val="0000"/>
      </w:tblPr>
      <w:tblGrid>
        <w:gridCol w:w="1701"/>
        <w:gridCol w:w="7371"/>
      </w:tblGrid>
      <w:tr w14:paraId="62D03220" w14:textId="77777777" w:rsidTr="00F0021B">
        <w:tblPrEx>
          <w:tblW w:w="0" w:type="auto"/>
          <w:tblInd w:w="145" w:type="dxa"/>
          <w:tblBorders>
            <w:top w:val="double" w:sz="2" w:space="0" w:color="000000"/>
            <w:left w:val="double" w:sz="2" w:space="0" w:color="000000"/>
            <w:bottom w:val="double" w:sz="2" w:space="0" w:color="000000"/>
            <w:right w:val="double" w:sz="2" w:space="0" w:color="000000"/>
            <w:insideH w:val="single" w:sz="2" w:space="0" w:color="000000"/>
            <w:insideV w:val="single" w:sz="2" w:space="0" w:color="000000"/>
          </w:tblBorders>
          <w:tblLayout w:type="fixed"/>
          <w:tblCellMar>
            <w:left w:w="145" w:type="dxa"/>
            <w:right w:w="145" w:type="dxa"/>
          </w:tblCellMar>
          <w:tblLook w:val="0000"/>
        </w:tblPrEx>
        <w:trPr>
          <w:cantSplit/>
        </w:trPr>
        <w:tc>
          <w:tcPr>
            <w:tcW w:w="1701" w:type="dxa"/>
            <w:shd w:val="pct10" w:color="000000" w:fill="FFFFFF"/>
            <w:vAlign w:val="center"/>
          </w:tcPr>
          <w:p w:rsidR="00AE735B" w:rsidRPr="00BB5DE9" w:rsidP="00F0021B" w14:paraId="1462AEC3" w14:textId="77777777">
            <w:pPr>
              <w:pStyle w:val="RollCallVotes"/>
              <w:rPr>
                <w:lang w:val="it-IT"/>
              </w:rPr>
            </w:pPr>
            <w:r w:rsidRPr="00BB5DE9">
              <w:rPr>
                <w:lang w:val="it-IT"/>
              </w:rPr>
              <w:t>1</w:t>
            </w:r>
          </w:p>
        </w:tc>
        <w:tc>
          <w:tcPr>
            <w:tcW w:w="7371" w:type="dxa"/>
            <w:shd w:val="pct10" w:color="000000" w:fill="FFFFFF"/>
          </w:tcPr>
          <w:p w:rsidR="00AE735B" w:rsidRPr="00BB5DE9" w:rsidP="00F0021B" w14:paraId="28D7331A" w14:textId="77777777">
            <w:pPr>
              <w:pStyle w:val="RollCallSymbols14pt"/>
              <w:rPr>
                <w:lang w:val="it-IT"/>
              </w:rPr>
            </w:pPr>
            <w:r w:rsidRPr="00BB5DE9">
              <w:rPr>
                <w:lang w:val="it-IT"/>
              </w:rPr>
              <w:t>0</w:t>
            </w:r>
          </w:p>
        </w:tc>
      </w:tr>
      <w:tr w14:paraId="5E225C7B" w14:textId="77777777" w:rsidTr="00F0021B">
        <w:tblPrEx>
          <w:tblW w:w="0" w:type="auto"/>
          <w:tblInd w:w="145" w:type="dxa"/>
          <w:tblLayout w:type="fixed"/>
          <w:tblCellMar>
            <w:left w:w="145" w:type="dxa"/>
            <w:right w:w="145" w:type="dxa"/>
          </w:tblCellMar>
          <w:tblLook w:val="0000"/>
        </w:tblPrEx>
        <w:trPr>
          <w:cantSplit/>
        </w:trPr>
        <w:tc>
          <w:tcPr>
            <w:tcW w:w="1701" w:type="dxa"/>
            <w:shd w:val="clear" w:color="auto" w:fill="FFFFFF"/>
          </w:tcPr>
          <w:p w:rsidR="00AE735B" w:rsidRPr="00BB5DE9" w:rsidP="00F0021B" w14:paraId="681FF2FA" w14:textId="77777777">
            <w:pPr>
              <w:pStyle w:val="RollCallTable"/>
              <w:rPr>
                <w:lang w:val="it-IT"/>
              </w:rPr>
            </w:pPr>
            <w:r w:rsidRPr="00BB5DE9">
              <w:rPr>
                <w:lang w:val="it-IT"/>
              </w:rPr>
              <w:t>ECR</w:t>
            </w:r>
          </w:p>
        </w:tc>
        <w:tc>
          <w:tcPr>
            <w:tcW w:w="7371" w:type="dxa"/>
            <w:shd w:val="clear" w:color="auto" w:fill="FFFFFF"/>
          </w:tcPr>
          <w:p w:rsidR="00AE735B" w:rsidRPr="00BB5DE9" w:rsidP="00F0021B" w14:paraId="2CB95C9A" w14:textId="77777777">
            <w:pPr>
              <w:pStyle w:val="RollCallTable"/>
              <w:rPr>
                <w:lang w:val="it-IT"/>
              </w:rPr>
            </w:pPr>
            <w:r w:rsidRPr="00BB5DE9">
              <w:rPr>
                <w:lang w:val="it-IT"/>
              </w:rPr>
              <w:t>Assita Kanko</w:t>
            </w:r>
          </w:p>
        </w:tc>
      </w:tr>
    </w:tbl>
    <w:p w:rsidR="00AE735B" w:rsidRPr="00BB5DE9" w:rsidP="00147FBF" w14:paraId="6742C109" w14:textId="77777777">
      <w:pPr>
        <w:pStyle w:val="Normal12a"/>
        <w:rPr>
          <w:lang w:val="it-IT"/>
        </w:rPr>
      </w:pPr>
    </w:p>
    <w:p w:rsidR="00AE735B" w:rsidRPr="00BB5DE9" w:rsidP="00B735E3" w14:paraId="06F454C2" w14:textId="77777777">
      <w:r w:rsidRPr="00BB5DE9">
        <w:t>Significato dei simboli utilizzati:</w:t>
      </w:r>
    </w:p>
    <w:p w:rsidR="00AE735B" w:rsidRPr="00BB5DE9" w:rsidP="003858C5" w14:paraId="66644BD3" w14:textId="77777777">
      <w:pPr>
        <w:pStyle w:val="RollCallTabs"/>
        <w:rPr>
          <w:lang w:val="it-IT"/>
        </w:rPr>
      </w:pPr>
      <w:r w:rsidRPr="00BB5DE9">
        <w:rPr>
          <w:lang w:val="it-IT"/>
        </w:rPr>
        <w:t>+</w:t>
      </w:r>
      <w:r w:rsidRPr="00BB5DE9">
        <w:rPr>
          <w:lang w:val="it-IT"/>
        </w:rPr>
        <w:tab/>
        <w:t>:</w:t>
      </w:r>
      <w:r w:rsidRPr="00BB5DE9">
        <w:rPr>
          <w:lang w:val="it-IT"/>
        </w:rPr>
        <w:tab/>
        <w:t>favorevoli</w:t>
      </w:r>
    </w:p>
    <w:p w:rsidR="00AE735B" w:rsidRPr="00BB5DE9" w:rsidP="003858C5" w14:paraId="30BDC415" w14:textId="77777777">
      <w:pPr>
        <w:pStyle w:val="RollCallTabs"/>
        <w:rPr>
          <w:lang w:val="it-IT"/>
        </w:rPr>
      </w:pPr>
      <w:r w:rsidRPr="00BB5DE9">
        <w:rPr>
          <w:lang w:val="it-IT"/>
        </w:rPr>
        <w:t>-</w:t>
      </w:r>
      <w:r w:rsidRPr="00BB5DE9">
        <w:rPr>
          <w:lang w:val="it-IT"/>
        </w:rPr>
        <w:tab/>
        <w:t>:</w:t>
      </w:r>
      <w:r w:rsidRPr="00BB5DE9">
        <w:rPr>
          <w:lang w:val="it-IT"/>
        </w:rPr>
        <w:tab/>
        <w:t>contrari</w:t>
      </w:r>
    </w:p>
    <w:p w:rsidR="00AE735B" w:rsidRPr="00BB5DE9" w:rsidP="003858C5" w14:paraId="7B1818B7" w14:textId="77777777">
      <w:pPr>
        <w:pStyle w:val="RollCallTabs"/>
        <w:rPr>
          <w:lang w:val="it-IT"/>
        </w:rPr>
      </w:pPr>
      <w:r w:rsidRPr="00BB5DE9">
        <w:rPr>
          <w:lang w:val="it-IT"/>
        </w:rPr>
        <w:t>0</w:t>
      </w:r>
      <w:r w:rsidRPr="00BB5DE9">
        <w:rPr>
          <w:lang w:val="it-IT"/>
        </w:rPr>
        <w:tab/>
        <w:t>:</w:t>
      </w:r>
      <w:r w:rsidRPr="00BB5DE9">
        <w:rPr>
          <w:lang w:val="it-IT"/>
        </w:rPr>
        <w:tab/>
        <w:t>astenuti</w:t>
      </w:r>
    </w:p>
    <w:p w:rsidR="00AE735B" w:rsidRPr="00BB5DE9" w:rsidP="005E5DE5" w14:paraId="6679226F" w14:textId="77777777"/>
    <w:p w:rsidR="00AE735B" w:rsidRPr="00BB5DE9" w:rsidP="00AE735B" w14:paraId="707F42AD" w14:textId="77777777">
      <w:pPr>
        <w:rPr>
          <w:snapToGrid/>
          <w:lang w:eastAsia="en-GB"/>
        </w:rPr>
        <w:sectPr w:rsidSect="00AE735B">
          <w:footnotePr>
            <w:numRestart w:val="eachSect"/>
          </w:footnotePr>
          <w:endnotePr>
            <w:numFmt w:val="decimal"/>
          </w:endnotePr>
          <w:pgSz w:w="11906" w:h="16838" w:code="9"/>
          <w:pgMar w:top="1134" w:right="1418" w:bottom="1134" w:left="1418" w:header="1134" w:footer="567" w:gutter="0"/>
          <w:cols w:space="720"/>
          <w:noEndnote/>
          <w:docGrid w:linePitch="326"/>
        </w:sectPr>
      </w:pPr>
    </w:p>
    <w:p w:rsidR="00AE735B" w:rsidRPr="00BB5DE9" w:rsidP="00AE735B" w14:paraId="3366CC71" w14:textId="77777777">
      <w:pPr>
        <w:pStyle w:val="Normal24a"/>
        <w:rPr>
          <w:lang w:val="it-IT"/>
        </w:rPr>
      </w:pPr>
      <w:r w:rsidRPr="00BB5DE9">
        <w:rPr>
          <w:rStyle w:val="HideTWBExt"/>
          <w:lang w:val="it-IT"/>
        </w:rPr>
        <w:t>&lt;Date&gt;</w:t>
      </w:r>
      <w:r w:rsidRPr="00BB5DE9">
        <w:rPr>
          <w:rStyle w:val="HideTWBInt"/>
          <w:lang w:val="it-IT"/>
        </w:rPr>
        <w:t>{15/07/2026}</w:t>
      </w:r>
      <w:r w:rsidRPr="00BB5DE9">
        <w:rPr>
          <w:lang w:val="it-IT"/>
        </w:rPr>
        <w:t>3.9.2026</w:t>
      </w:r>
      <w:r w:rsidRPr="00BB5DE9">
        <w:rPr>
          <w:rStyle w:val="HideTWBExt"/>
          <w:lang w:val="it-IT"/>
        </w:rPr>
        <w:t>&lt;/Date&gt;</w:t>
      </w:r>
    </w:p>
    <w:p w:rsidR="00AE735B" w:rsidRPr="00BB5DE9" w:rsidP="00AE735B" w14:paraId="5EC66FFE" w14:textId="0DA1C69A">
      <w:pPr>
        <w:pStyle w:val="PageHeading"/>
      </w:pPr>
      <w:bookmarkStart w:id="33" w:name="OpinionToc_12"/>
      <w:bookmarkStart w:id="34" w:name="_Toc243036429"/>
      <w:r w:rsidRPr="00BB5DE9">
        <w:t>LETTERA DELLA COMMISSIONE PER LA SICUREZZA E LA DIFESA</w:t>
      </w:r>
      <w:bookmarkEnd w:id="33"/>
      <w:bookmarkEnd w:id="34"/>
    </w:p>
    <w:p w:rsidR="00AE735B" w:rsidRPr="00BB5DE9" w14:paraId="7DC33AB6" w14:textId="77777777">
      <w:r w:rsidRPr="00BB5DE9">
        <w:t>On. Johan Van Overtveldt</w:t>
      </w:r>
    </w:p>
    <w:p w:rsidR="00AE735B" w:rsidRPr="00BB5DE9" w14:paraId="45B05758" w14:textId="77777777">
      <w:r w:rsidRPr="00BB5DE9">
        <w:t>Presidente</w:t>
      </w:r>
    </w:p>
    <w:p w:rsidR="00AE735B" w:rsidRPr="00BB5DE9" w14:paraId="1913B54B" w14:textId="77777777">
      <w:r w:rsidRPr="00BB5DE9">
        <w:t>Commissione per i bilanci</w:t>
      </w:r>
    </w:p>
    <w:p w:rsidR="00AE735B" w:rsidRPr="00BB5DE9" w14:paraId="241ECE6C" w14:textId="77777777">
      <w:r w:rsidRPr="00BB5DE9">
        <w:t>BRUXELLES</w:t>
      </w:r>
    </w:p>
    <w:p w:rsidR="00AE735B" w:rsidRPr="00BB5DE9" w:rsidP="009F796C" w14:paraId="4CE1C659" w14:textId="77777777">
      <w:pPr>
        <w:pStyle w:val="LetterSubject"/>
      </w:pPr>
      <w:r w:rsidRPr="00BB5DE9">
        <w:t>Oggetto:</w:t>
      </w:r>
      <w:r w:rsidRPr="00BB5DE9">
        <w:tab/>
      </w:r>
      <w:r w:rsidRPr="00BB5DE9">
        <w:rPr>
          <w:rStyle w:val="HideTWBExt"/>
        </w:rPr>
        <w:t>&lt;Titre&gt;</w:t>
      </w:r>
      <w:r w:rsidRPr="00BB5DE9">
        <w:t>Parere della commissione SEDE sul progetto di bilancio generale dell'Unione europea per l'esercizio 2027</w:t>
      </w:r>
      <w:r w:rsidRPr="00BB5DE9">
        <w:rPr>
          <w:rStyle w:val="HideTWBExt"/>
        </w:rPr>
        <w:t>&lt;/Titre&gt;</w:t>
      </w:r>
      <w:r w:rsidRPr="00BB5DE9">
        <w:t xml:space="preserve"> </w:t>
      </w:r>
      <w:r w:rsidRPr="00BB5DE9">
        <w:rPr>
          <w:rStyle w:val="HideTWBExt"/>
        </w:rPr>
        <w:t>&lt;DocRef&gt;</w:t>
      </w:r>
      <w:r w:rsidRPr="00BB5DE9">
        <w:t>(SEDE/10/06039 – 2026/0196(BUD))</w:t>
      </w:r>
      <w:r w:rsidRPr="00BB5DE9">
        <w:rPr>
          <w:rStyle w:val="HideTWBExt"/>
        </w:rPr>
        <w:t>&lt;/DocRef&gt;</w:t>
      </w:r>
    </w:p>
    <w:p w:rsidR="00AE735B" w:rsidRPr="00BB5DE9" w:rsidP="00220F55" w14:paraId="0C831841" w14:textId="77777777">
      <w:pPr>
        <w:pStyle w:val="LetterSalutation"/>
      </w:pPr>
      <w:r w:rsidRPr="00BB5DE9">
        <w:t>Signor Presidente,</w:t>
      </w:r>
    </w:p>
    <w:p w:rsidR="00AE735B" w:rsidRPr="00BB5DE9" w:rsidP="00220F55" w14:paraId="1C4639E0" w14:textId="77777777">
      <w:pPr>
        <w:pStyle w:val="IndexHeading"/>
        <w:widowControl w:val="0"/>
        <w:tabs>
          <w:tab w:val="left" w:pos="-1104"/>
          <w:tab w:val="left" w:pos="-96"/>
          <w:tab w:val="clear" w:pos="1021"/>
          <w:tab w:val="clear" w:pos="1418"/>
          <w:tab w:val="clear" w:pos="1786"/>
          <w:tab w:val="clear" w:pos="2381"/>
          <w:tab w:val="center" w:pos="2448"/>
          <w:tab w:val="clear" w:pos="2948"/>
          <w:tab w:val="clear" w:pos="3572"/>
          <w:tab w:val="clear" w:pos="4139"/>
          <w:tab w:val="clear" w:pos="4763"/>
          <w:tab w:val="clear" w:pos="5387"/>
          <w:tab w:val="left" w:pos="5529"/>
        </w:tabs>
        <w:suppressAutoHyphens/>
        <w:jc w:val="left"/>
      </w:pPr>
      <w:r w:rsidRPr="00BB5DE9">
        <w:t>nel quadro della procedura in oggetto la commissione per la sicurezza e la difesa è stata incaricata di sottoporre un parere alla Sua commissione. Nella riunione del 14 luglio 2026 i coordinatori della commissione SEDE hanno deciso di esprimere tale parere sotto forma di lettera. Sulla base di un progetto elaborato dal relatore Mārtiņš Staķis, la commissione ha approvato il parere nella riunione del 2 settembre 2026.</w:t>
      </w:r>
    </w:p>
    <w:p w:rsidR="00AE735B" w:rsidRPr="00BB5DE9" w:rsidP="00220F55" w14:paraId="4D270C0F" w14:textId="77777777">
      <w:pPr>
        <w:pStyle w:val="Normal12a"/>
        <w:rPr>
          <w:lang w:val="it-IT"/>
        </w:rPr>
      </w:pPr>
    </w:p>
    <w:p w:rsidR="00AE735B" w:rsidRPr="00BB5DE9" w:rsidP="00220F55" w14:paraId="6E067270" w14:textId="77777777">
      <w:pPr>
        <w:pStyle w:val="Normal12a"/>
        <w:rPr>
          <w:lang w:val="it-IT"/>
        </w:rPr>
      </w:pPr>
      <w:r w:rsidRPr="00BB5DE9">
        <w:rPr>
          <w:lang w:val="it-IT"/>
        </w:rPr>
        <w:t>Voglia gradire, signor Presidente, i sensi della mia più profonda stima.</w:t>
      </w:r>
    </w:p>
    <w:p w:rsidR="00AE735B" w:rsidRPr="00BB5DE9" w:rsidP="006E3E72" w14:paraId="08612E79" w14:textId="77777777"/>
    <w:p w:rsidR="00AE735B" w:rsidRPr="00BB5DE9" w:rsidP="006E3E72" w14:paraId="13408E22" w14:textId="77777777"/>
    <w:p w:rsidR="00AE735B" w:rsidRPr="00BB5DE9" w:rsidP="006E3E72" w14:paraId="2E996E57" w14:textId="77777777"/>
    <w:p w:rsidR="00AE735B" w:rsidRPr="00BB5DE9" w:rsidP="006E3E72" w14:paraId="4F2ADE17" w14:textId="77777777"/>
    <w:p w:rsidR="00AE735B" w:rsidRPr="00BB5DE9" w:rsidP="006E3E72" w14:paraId="3A96F411" w14:textId="77777777"/>
    <w:p w:rsidR="00AE735B" w:rsidRPr="00BB5DE9" w:rsidP="006E3E72" w14:paraId="4C1E169A" w14:textId="77777777"/>
    <w:p w:rsidR="00AE735B" w:rsidRPr="00BB5DE9" w:rsidP="006E3E72" w14:paraId="3955F766" w14:textId="77777777">
      <w:r w:rsidRPr="00BB5DE9">
        <w:t>Marie-Agnes STRACK-ZIMMERMANN</w:t>
      </w:r>
    </w:p>
    <w:p w:rsidR="00AE735B" w:rsidRPr="00BB5DE9" w:rsidP="006E3E72" w14:paraId="3200DBA6" w14:textId="77777777"/>
    <w:p w:rsidR="00AE735B" w:rsidRPr="00BB5DE9" w:rsidP="006E3E72" w14:paraId="65F72FBE" w14:textId="77777777"/>
    <w:p w:rsidR="00AE735B" w:rsidRPr="00BB5DE9" w14:paraId="56EF6DF4" w14:textId="77777777">
      <w:pPr>
        <w:widowControl/>
      </w:pPr>
      <w:r w:rsidRPr="00BB5DE9">
        <w:br w:type="page"/>
      </w:r>
    </w:p>
    <w:p w:rsidR="00AE735B" w:rsidRPr="00BB5DE9" w:rsidP="002D24C6" w14:paraId="3A5A12FE" w14:textId="77777777">
      <w:pPr>
        <w:pStyle w:val="PageHeadingNotTOC"/>
      </w:pPr>
      <w:r w:rsidRPr="00BB5DE9">
        <w:t>PARERE</w:t>
      </w:r>
    </w:p>
    <w:p w:rsidR="00AE735B" w:rsidRPr="00BB5DE9" w:rsidP="00220F55" w14:paraId="2C975C96" w14:textId="77777777">
      <w:pPr>
        <w:tabs>
          <w:tab w:val="left" w:pos="432"/>
          <w:tab w:val="left" w:pos="720"/>
          <w:tab w:val="left" w:pos="1008"/>
          <w:tab w:val="right" w:leader="dot" w:pos="8400"/>
          <w:tab w:val="decimal" w:pos="9552"/>
        </w:tabs>
        <w:suppressAutoHyphens/>
      </w:pPr>
      <w:r w:rsidRPr="00BB5DE9">
        <w:t>La commissione per la sicurezza e la difesa invita la commissione per i bilanci, competente per il merito, a includere nella proposta di risoluzione che approverà quanto segue:</w:t>
      </w:r>
    </w:p>
    <w:p w:rsidR="00AE735B" w:rsidRPr="00BB5DE9" w:rsidP="00220F55" w14:paraId="45C7B6D1" w14:textId="77777777">
      <w:pPr>
        <w:tabs>
          <w:tab w:val="left" w:pos="432"/>
          <w:tab w:val="left" w:pos="720"/>
          <w:tab w:val="left" w:pos="1008"/>
          <w:tab w:val="right" w:leader="dot" w:pos="8400"/>
          <w:tab w:val="decimal" w:pos="9552"/>
        </w:tabs>
        <w:suppressAutoHyphens/>
      </w:pPr>
    </w:p>
    <w:p w:rsidR="00AE735B" w:rsidRPr="00BB5DE9" w:rsidP="00220F55" w14:paraId="19BD3EFA" w14:textId="77777777">
      <w:pPr>
        <w:tabs>
          <w:tab w:val="left" w:pos="426"/>
          <w:tab w:val="left" w:pos="1008"/>
          <w:tab w:val="right" w:leader="dot" w:pos="8400"/>
          <w:tab w:val="decimal" w:pos="9552"/>
        </w:tabs>
        <w:suppressAutoHyphens/>
        <w:ind w:left="426" w:hanging="426"/>
      </w:pPr>
      <w:bookmarkStart w:id="35" w:name="_Hlk238809094"/>
      <w:r w:rsidRPr="00BB5DE9">
        <w:t>1.</w:t>
      </w:r>
      <w:r w:rsidRPr="00BB5DE9">
        <w:tab/>
        <w:t xml:space="preserve">ribadisce che il bilancio dell'esercizio 2027, in quanto ultimo anno del QFP 2021-2027, deve consolidare la transizione dell'Unione verso la prontezza alla difesa; sottolinea che l'Europa si trova ad affrontare una convergenza senza precedenti di pressioni in materia di sicurezza che collegano la sicurezza interna ed esterna: la guerra di aggressione della Russia nei confronti dell'Ucraina attualmente in corso, il conflitto in Medio Oriente, un cambiamento nella posizione degli Stati Uniti in materia di sicurezza, l'escalation degli attacchi ibridi, gli attacchi informatici, le incursioni nello spazio aereo dell'UE, gli attacchi terroristici, le forme gravi di criminalità organizzata internazionale, la strumentalizzazione della migrazione e le ingerenze straniere che nessuno Stato membro è in grado di contrastare da solo; sottolinea altresì che il Libro bianco sulla prontezza alla difesa europea per il 2030 e il piano "ReArm Europe" costituiscono la risposta istituzionale diretta e devono riflettersi nelle scelte di bilancio a partire dal 2027; evidenzia che il rafforzamento della sicurezza e della difesa dell'Unione richiede altresì un maggiore sostegno alle missioni civili della PSDC, anche nei settori dello Stato di diritto, dell'applicazione della legge e della cooperazione giudiziaria penale, riconoscendo che una gestione efficace delle crisi implica un approccio globale che combini strumenti militari e civili; </w:t>
      </w:r>
    </w:p>
    <w:p w:rsidR="00AE735B" w:rsidRPr="00BB5DE9" w:rsidP="00220F55" w14:paraId="0C25C880" w14:textId="77777777">
      <w:pPr>
        <w:pStyle w:val="ListParagraph"/>
        <w:tabs>
          <w:tab w:val="left" w:pos="426"/>
          <w:tab w:val="left" w:pos="1008"/>
          <w:tab w:val="right" w:leader="dot" w:pos="8400"/>
          <w:tab w:val="decimal" w:pos="9552"/>
        </w:tabs>
        <w:suppressAutoHyphens/>
        <w:ind w:left="426"/>
      </w:pPr>
    </w:p>
    <w:p w:rsidR="00AE735B" w:rsidRPr="00BB5DE9" w:rsidP="00220F55" w14:paraId="20899B83" w14:textId="77777777">
      <w:pPr>
        <w:tabs>
          <w:tab w:val="left" w:pos="426"/>
          <w:tab w:val="left" w:pos="1008"/>
          <w:tab w:val="right" w:leader="dot" w:pos="8400"/>
          <w:tab w:val="decimal" w:pos="9552"/>
        </w:tabs>
        <w:suppressAutoHyphens/>
        <w:ind w:left="426" w:hanging="426"/>
      </w:pPr>
      <w:r w:rsidRPr="00BB5DE9">
        <w:t>2.</w:t>
      </w:r>
      <w:r w:rsidRPr="00BB5DE9">
        <w:tab/>
        <w:t>accoglie con favore il fatto che, secondo l'Agenzia europea per la difesa, la spesa degli Stati membri per la difesa è aumentata del 47 % tra il 2022 e il 2025; osserva che tale aumento non significa necessariamente una maggiore integrazione europea né pone fine alla frammentazione del mercato; deplora la mancanza di dati statistici affidabili sullo sviluppo del mercato unico della difesa, in particolare per quanto riguarda l'attuazione della direttiva dell'UE sui trasferimenti per la difesa e della direttiva sugli appalti nel settore della difesa; chiede alla Commissione di affrontare questa lacuna nei dati in via prioritaria;</w:t>
      </w:r>
    </w:p>
    <w:p w:rsidR="00AE735B" w:rsidRPr="00BB5DE9" w:rsidP="00220F55" w14:paraId="5A1FAF3B" w14:textId="77777777">
      <w:pPr>
        <w:pStyle w:val="ListParagraph"/>
      </w:pPr>
    </w:p>
    <w:p w:rsidR="00AE735B" w:rsidRPr="00BB5DE9" w:rsidP="00220F55" w14:paraId="0C923E95" w14:textId="77777777">
      <w:pPr>
        <w:tabs>
          <w:tab w:val="left" w:pos="426"/>
          <w:tab w:val="left" w:pos="1008"/>
          <w:tab w:val="right" w:leader="dot" w:pos="8400"/>
          <w:tab w:val="decimal" w:pos="9552"/>
        </w:tabs>
        <w:suppressAutoHyphens/>
        <w:ind w:left="426" w:hanging="426"/>
      </w:pPr>
      <w:r w:rsidRPr="00BB5DE9">
        <w:t>3.</w:t>
      </w:r>
      <w:r w:rsidRPr="00BB5DE9">
        <w:tab/>
        <w:t>osserva che l'intero margine di impegno ancora disponibile al di sotto del massimale della rubrica 5 ammonta a 13,6 milioni di EUR; si rammarica che lo strumento unico di margine di cui all'articolo 11, paragrafo 1, lettera a), sia stato pienamente utilizzato nel progetto di bilancio, senza lasciare alcun meccanismo di flessibilità supplementare a disposizione per il rafforzamento della difesa;</w:t>
      </w:r>
    </w:p>
    <w:p w:rsidR="00AE735B" w:rsidRPr="00BB5DE9" w:rsidP="00220F55" w14:paraId="61778CEE" w14:textId="77777777">
      <w:pPr>
        <w:pStyle w:val="ListParagraph"/>
      </w:pPr>
    </w:p>
    <w:p w:rsidR="00AE735B" w:rsidRPr="00BB5DE9" w:rsidP="00220F55" w14:paraId="42666625" w14:textId="77777777">
      <w:pPr>
        <w:tabs>
          <w:tab w:val="left" w:pos="426"/>
          <w:tab w:val="left" w:pos="1008"/>
          <w:tab w:val="right" w:leader="dot" w:pos="8400"/>
          <w:tab w:val="decimal" w:pos="9552"/>
        </w:tabs>
        <w:suppressAutoHyphens/>
        <w:ind w:left="426" w:hanging="426"/>
      </w:pPr>
      <w:r w:rsidRPr="00BB5DE9">
        <w:t>4.</w:t>
      </w:r>
      <w:r w:rsidRPr="00BB5DE9">
        <w:tab/>
        <w:t>osserva che il prossimo QFP 2028-2034 sposta tutti i programmi di difesa nella rubrica 2; sottolinea che il 2027 è pertanto l'ultimo anno in cui la commissione esercita l'autorità di bilancio diretta su linee dedicate alla difesa e che il margine disponibile deve di conseguenza essere orientato verso priorità che producano il massimo impatto sulla prontezza alla difesa europea, lo sviluppo delle capacità e la resilienza strategica;</w:t>
      </w:r>
    </w:p>
    <w:p w:rsidR="00AE735B" w:rsidRPr="00BB5DE9" w:rsidP="00220F55" w14:paraId="6D69718E" w14:textId="77777777">
      <w:pPr>
        <w:pStyle w:val="ListParagraph"/>
      </w:pPr>
    </w:p>
    <w:p w:rsidR="00AE735B" w:rsidRPr="00BB5DE9" w:rsidP="00220F55" w14:paraId="013645CF" w14:textId="77777777">
      <w:pPr>
        <w:tabs>
          <w:tab w:val="left" w:pos="426"/>
          <w:tab w:val="left" w:pos="1008"/>
          <w:tab w:val="right" w:leader="dot" w:pos="8400"/>
          <w:tab w:val="decimal" w:pos="9552"/>
        </w:tabs>
        <w:suppressAutoHyphens/>
        <w:ind w:left="426" w:hanging="426"/>
      </w:pPr>
      <w:r w:rsidRPr="00BB5DE9">
        <w:t>5.</w:t>
      </w:r>
      <w:r w:rsidRPr="00BB5DE9">
        <w:tab/>
        <w:t xml:space="preserve">sottolinea che i conflitti in Ucraina e in Medio Oriente hanno mostrato il ruolo operativo decisivo dei droni, della guerra elettronica, delle capacità informatiche e di altre tecnologie di rottura nei combattimenti moderni; sottolinea altresì che investimenti rapidi </w:t>
      </w:r>
      <w:r w:rsidRPr="00BB5DE9">
        <w:t>in soluzioni di difesa emergenti e di rottura sono diventati un presupposto per la prontezza alla difesa europea; sottolinea inoltre che garantire una difesa aerea e missilistica efficace sotto il profilo dei costi, anche attraverso lo sviluppo e il dispiegamento accelerati di sistemi di difesa aerea stratificati, capacità di contrasto ai sistemi aerei senza equipaggio (UAS) e armi a energia diretta, è essenziale per contrastare minacce aeree sempre più accessibili e prodotte in serie; invita la Commissione a procedere senza indugio alla fase successiva individuata nel suo piano d'azione – la trasformazione del laboratorio vivente anti-UAS in un vero e proprio centro di eccellenza dell'UE per la lotta ai droni – garantendo che le competenze operative ucraine siano sistematicamente integrate nel suo programma di lavoro;</w:t>
      </w:r>
      <w:r w:rsidRPr="00BB5DE9">
        <w:rPr>
          <w:i/>
        </w:rPr>
        <w:t xml:space="preserve"> </w:t>
      </w:r>
      <w:r w:rsidRPr="00BB5DE9">
        <w:t>sottolinea che ciò richiede il collaudo, la convalida e l'integrazione rapidi delle tecnologie emergenti nelle capacità di difesa, unitamente a un impegno continuo con l'ecosistema europeo dell'innovazione nel settore della difesa, nonché la necessità di accelerare la realizzazione di tutte le capacità operative; ricorda che tali tecnologie devono essere sviluppate e dispiegate nel pieno rispetto del diritto internazionale, compreso il diritto internazionale umanitario, e conformemente ai valori e ai principi dell'Unione, garantendo un adeguato controllo umano e l'assunzione di responsabilità nel quadro della politica di sicurezza e di difesa comune (PSDC);</w:t>
      </w:r>
    </w:p>
    <w:p w:rsidR="00AE735B" w:rsidRPr="00BB5DE9" w:rsidP="00220F55" w14:paraId="1A20B4FF" w14:textId="77777777">
      <w:pPr>
        <w:pStyle w:val="ListParagraph"/>
        <w:tabs>
          <w:tab w:val="left" w:pos="426"/>
          <w:tab w:val="left" w:pos="1008"/>
          <w:tab w:val="right" w:leader="dot" w:pos="8400"/>
          <w:tab w:val="decimal" w:pos="9552"/>
        </w:tabs>
        <w:suppressAutoHyphens/>
        <w:ind w:left="426"/>
      </w:pPr>
    </w:p>
    <w:p w:rsidR="00AE735B" w:rsidRPr="00BB5DE9" w:rsidP="00220F55" w14:paraId="73CC6736" w14:textId="77777777">
      <w:pPr>
        <w:tabs>
          <w:tab w:val="left" w:pos="426"/>
          <w:tab w:val="left" w:pos="1008"/>
          <w:tab w:val="right" w:leader="dot" w:pos="8400"/>
          <w:tab w:val="decimal" w:pos="9552"/>
        </w:tabs>
        <w:suppressAutoHyphens/>
        <w:ind w:left="426" w:hanging="426"/>
      </w:pPr>
      <w:r w:rsidRPr="00BB5DE9">
        <w:t>6.</w:t>
      </w:r>
      <w:r w:rsidRPr="00BB5DE9">
        <w:tab/>
        <w:t>sottolinea che il rafforzamento della sicurezza e della difesa dell'Unione richiede un approccio globale che affronti non solo le minacce militari, ma anche il terrorismo, la criminalità organizzata e le minacce informatiche e ibride, attraverso il miglioramento dell'applicazione della legge e della cooperazione giudiziaria penale; chiede un maggiore sostegno alle missioni civili della PSDC per promuovere lo Stato di diritto, i diritti umani, l'accesso alla giustizia e sistemi di giustizia penale efficaci, riconoscendo il loro contributo essenziale alla gestione delle crisi, alla prevenzione dei conflitti e alla stabilizzazione postbellica, segnatamente in Ucraina, Moldova, Medio Oriente, Nord Africa e Sahel; sottolinea la necessità di rafforzare le capacità degli Stati membri nei settori della ciberresilienza, delle minacce ibride, delle attività di contrasto e della giustizia penale nell'ambito dell'approccio integrato dell'UE alla gestione delle crisi e attraverso un più stretto coordinamento delle missioni civili e militari della PSDC;</w:t>
      </w:r>
    </w:p>
    <w:p w:rsidR="00AE735B" w:rsidRPr="00BB5DE9" w:rsidP="00220F55" w14:paraId="03A08063" w14:textId="77777777">
      <w:pPr>
        <w:pStyle w:val="ListParagraph"/>
      </w:pPr>
    </w:p>
    <w:p w:rsidR="00AE735B" w:rsidRPr="00BB5DE9" w:rsidP="00220F55" w14:paraId="3F6A1847" w14:textId="77777777">
      <w:pPr>
        <w:tabs>
          <w:tab w:val="left" w:pos="426"/>
          <w:tab w:val="left" w:pos="1008"/>
          <w:tab w:val="right" w:leader="dot" w:pos="8400"/>
          <w:tab w:val="decimal" w:pos="9552"/>
        </w:tabs>
        <w:suppressAutoHyphens/>
        <w:ind w:left="426" w:hanging="426"/>
      </w:pPr>
      <w:r w:rsidRPr="00BB5DE9">
        <w:t>7.</w:t>
      </w:r>
      <w:r w:rsidRPr="00BB5DE9">
        <w:tab/>
        <w:t xml:space="preserve">osserva che i conflitti in Ucraina e in Medio Oriente hanno evidenziato la necessità per l'Unione di rafforzare la sua capacità di generare tempestivamente una conoscenza situazionale strategica e capacità di intelligence; </w:t>
      </w:r>
    </w:p>
    <w:p w:rsidR="00AE735B" w:rsidRPr="00BB5DE9" w:rsidP="00220F55" w14:paraId="64322C1D" w14:textId="77777777">
      <w:pPr>
        <w:pStyle w:val="ListParagraph"/>
      </w:pPr>
    </w:p>
    <w:p w:rsidR="00AE735B" w:rsidRPr="00BB5DE9" w:rsidP="00220F55" w14:paraId="73D349F2" w14:textId="77777777">
      <w:pPr>
        <w:tabs>
          <w:tab w:val="left" w:pos="426"/>
          <w:tab w:val="left" w:pos="1008"/>
          <w:tab w:val="right" w:leader="dot" w:pos="8400"/>
          <w:tab w:val="decimal" w:pos="9552"/>
        </w:tabs>
        <w:suppressAutoHyphens/>
        <w:ind w:left="426" w:hanging="426"/>
      </w:pPr>
      <w:r w:rsidRPr="00BB5DE9">
        <w:t>8.</w:t>
      </w:r>
      <w:r w:rsidRPr="00BB5DE9">
        <w:tab/>
        <w:t xml:space="preserve">sottolinea che l'architettura di intelligence dell'Unione continua a dipendere in larga misura dalle capacità nazionali e dalla disponibilità degli Stati membri a condividere le informazioni, e sottolinea pertanto l'urgente necessità di rafforzare i meccanismi per la condivisione delle informazioni e la cooperazione in materia di intelligence, compreso il riconoscimento transfrontaliero dei modelli, al fine di sostenere un processo decisionale rapido e informato; </w:t>
      </w:r>
    </w:p>
    <w:p w:rsidR="00AE735B" w:rsidRPr="00BB5DE9" w:rsidP="00220F55" w14:paraId="0BC8BAF5" w14:textId="77777777">
      <w:pPr>
        <w:pStyle w:val="ListParagraph"/>
      </w:pPr>
    </w:p>
    <w:p w:rsidR="00AE735B" w:rsidRPr="00BB5DE9" w:rsidP="00220F55" w14:paraId="2EB90E2A" w14:textId="77777777">
      <w:pPr>
        <w:tabs>
          <w:tab w:val="left" w:pos="426"/>
          <w:tab w:val="left" w:pos="1008"/>
          <w:tab w:val="right" w:leader="dot" w:pos="8400"/>
          <w:tab w:val="decimal" w:pos="9552"/>
        </w:tabs>
        <w:suppressAutoHyphens/>
        <w:ind w:left="426" w:hanging="426"/>
      </w:pPr>
      <w:r w:rsidRPr="00BB5DE9">
        <w:t>9.</w:t>
      </w:r>
      <w:r w:rsidRPr="00BB5DE9">
        <w:tab/>
        <w:t>mette in evidenza il ruolo strategico delle capacità spaziali nel consentire operazioni militari, la conoscenza situazionale e la resilienza della difesa europea; chiede maggiori investimenti in infrastrutture spaziali sicure e una migliore conoscenza dell'ambiente spaziale per garantire la continuità e l'autonomia strategica dei servizi satellitari europei critici in tempi di crisi e conflitti;</w:t>
      </w:r>
    </w:p>
    <w:p w:rsidR="00AE735B" w:rsidRPr="00BB5DE9" w:rsidP="00220F55" w14:paraId="0C612DD7" w14:textId="77777777">
      <w:pPr>
        <w:pStyle w:val="ListParagraph"/>
      </w:pPr>
    </w:p>
    <w:p w:rsidR="00AE735B" w:rsidRPr="00BB5DE9" w:rsidP="00220F55" w14:paraId="072836A6" w14:textId="77777777">
      <w:pPr>
        <w:tabs>
          <w:tab w:val="left" w:pos="426"/>
          <w:tab w:val="left" w:pos="1008"/>
          <w:tab w:val="right" w:leader="dot" w:pos="8400"/>
          <w:tab w:val="decimal" w:pos="9552"/>
        </w:tabs>
        <w:suppressAutoHyphens/>
        <w:ind w:left="426" w:hanging="426"/>
      </w:pPr>
      <w:r w:rsidRPr="00BB5DE9">
        <w:t>10.</w:t>
      </w:r>
      <w:r w:rsidRPr="00BB5DE9">
        <w:tab/>
        <w:t>accoglie con favore l'accordo provvisorio del 15 luglio 2026 sul regolamento che istituisce il programma per un'innovazione agile e rapida nel settore della difesa (AGILE), quale primo strumento dell'Unione che offre sovvenzioni rapide e flessibili direttamente alle singole imprese con un tempo da rispettare per l'attribuzione delle sovvenzioni di quattro mesi e che consente ai ministeri della Difesa di acquisire direttamente le soluzioni risultanti; sottolinea che AGILE è inteso ad accelerare in modo significativo i cicli di innovazione per i prodotti per la difesa emergenti sviluppati dalle PMI, affrontando nel contempo le esigenze urgenti degli Stati membri e dei paesi associati in termini di capacità; osserva che i 115 milioni di EUR in stanziamenti di impegno a titolo di AGILE rimangono tutti in riserva a norma dell'articolo 49 del regolamento finanziario; osserva inoltre che AGILE è finanziato mediante riassegnazione, compresi i 35 milioni di EUR provenienti dalla componente del programma per l'industria europea della difesa inizialmente destinata a sostenere azioni rivolte alle PMI; invita la Commissione a presentare un piano strategico di lungo termine sul sostegno finanziario all'industria della difesa che vada oltre il 2030 e a fornire nuove iniziative legislative con nuovi fondi anziché tagliare i programmi esistenti e ridistribuire i fondi;</w:t>
      </w:r>
    </w:p>
    <w:p w:rsidR="00AE735B" w:rsidRPr="00BB5DE9" w:rsidP="00220F55" w14:paraId="2CC531DB" w14:textId="77777777">
      <w:pPr>
        <w:pStyle w:val="ListParagraph"/>
        <w:tabs>
          <w:tab w:val="left" w:pos="426"/>
          <w:tab w:val="left" w:pos="1008"/>
          <w:tab w:val="right" w:leader="dot" w:pos="8400"/>
          <w:tab w:val="decimal" w:pos="9552"/>
        </w:tabs>
        <w:suppressAutoHyphens/>
        <w:ind w:left="426"/>
      </w:pPr>
    </w:p>
    <w:p w:rsidR="00AE735B" w:rsidRPr="00BB5DE9" w:rsidP="00220F55" w14:paraId="24167733" w14:textId="77777777">
      <w:pPr>
        <w:tabs>
          <w:tab w:val="left" w:pos="426"/>
          <w:tab w:val="left" w:pos="1008"/>
          <w:tab w:val="right" w:leader="dot" w:pos="8400"/>
          <w:tab w:val="decimal" w:pos="9552"/>
        </w:tabs>
        <w:suppressAutoHyphens/>
        <w:ind w:left="426" w:hanging="426"/>
      </w:pPr>
      <w:r w:rsidRPr="00BB5DE9">
        <w:t>11.</w:t>
      </w:r>
      <w:r w:rsidRPr="00BB5DE9">
        <w:tab/>
        <w:t>ricorda che il regolamento (UE) 2025/2643 che istituisce l'EDIP stabilisce una dotazione indicativa di almeno 150 milioni di EUR per il Fondo per accelerare la trasformazione delle catene di approvvigionamento della difesa (FAST) nel periodo di programmazione 2025-2027; propone pertanto di destinare parte del margine disponibile nell'ambito della rubrica 5 al sostegno delle PMI e delle imprese e start-up innovative nel settore europeo della difesa, anche agevolando l'industrializzazione e la diffusione sul mercato dei risultati delle iniziative congiunte di R&amp;S; invita la Commissione a mobilitare tale importo là dove può conseguire il massimo impatto strategico, a seguito di una valutazione dell'impatto strategico e operativo previsto dei finanziamenti rimanenti, e a prendere in considerazione la riassegnazione di tale importo al programma AGILE qualora tale assegnazione fornisca un maggiore contributo all'innovazione nel settore europeo della difesa, allo sviluppo delle capacità e alla prontezza alla difesa, se fattibile dal punto di vista pratico e giuridico;</w:t>
      </w:r>
    </w:p>
    <w:p w:rsidR="00AE735B" w:rsidRPr="00BB5DE9" w:rsidP="00220F55" w14:paraId="0CE7B4CD" w14:textId="77777777">
      <w:pPr>
        <w:pStyle w:val="ListParagraph"/>
      </w:pPr>
    </w:p>
    <w:p w:rsidR="00AE735B" w:rsidRPr="00BB5DE9" w:rsidP="00220F55" w14:paraId="300FC4B6" w14:textId="77777777">
      <w:pPr>
        <w:tabs>
          <w:tab w:val="left" w:pos="426"/>
          <w:tab w:val="left" w:pos="1008"/>
          <w:tab w:val="right" w:leader="dot" w:pos="8400"/>
          <w:tab w:val="decimal" w:pos="9552"/>
        </w:tabs>
        <w:suppressAutoHyphens/>
        <w:ind w:left="426" w:hanging="426"/>
      </w:pPr>
      <w:r w:rsidRPr="00BB5DE9">
        <w:t>12.</w:t>
      </w:r>
      <w:r w:rsidRPr="00BB5DE9">
        <w:tab/>
        <w:t>ribadisce il suo sostegno incondizionato all'Ucraina; accoglie con favore il prestito a sostegno dell'Ucraina fino a 90 miliardi di EUR che consente agli Stati membri di investire congiuntamente in capacità di difesa chiave; accoglie con favore anche i 107 milioni di EUR in stanziamenti di pagamento a titolo dello strumento di sostegno per l'Ucraina (linea 13 08 02), che riflettono l'accelerazione della fornitura di sostegno diretto alla base industriale di difesa dell'Ucraina da parte del programma; invita il Consiglio e la Commissione a continuare a valutare in che modo i beni russi congelati possano essere impiegati per sostenere l'Ucraina;</w:t>
      </w:r>
    </w:p>
    <w:p w:rsidR="00AE735B" w:rsidRPr="00BB5DE9" w:rsidP="00220F55" w14:paraId="67FA4259" w14:textId="77777777">
      <w:pPr>
        <w:pStyle w:val="ListParagraph"/>
      </w:pPr>
    </w:p>
    <w:p w:rsidR="00AE735B" w:rsidRPr="00BB5DE9" w:rsidP="00220F55" w14:paraId="06D02E12" w14:textId="77777777">
      <w:pPr>
        <w:tabs>
          <w:tab w:val="left" w:pos="426"/>
          <w:tab w:val="left" w:pos="1008"/>
          <w:tab w:val="right" w:leader="dot" w:pos="8400"/>
          <w:tab w:val="decimal" w:pos="9552"/>
        </w:tabs>
        <w:suppressAutoHyphens/>
        <w:ind w:left="426" w:hanging="426"/>
      </w:pPr>
      <w:r w:rsidRPr="00BB5DE9">
        <w:t>13.</w:t>
      </w:r>
      <w:r w:rsidRPr="00BB5DE9">
        <w:tab/>
        <w:t xml:space="preserve">sottolinea che la prossima entrata in vigore del regolamento quadro sulla mobilità militare e del regolamento MCE 2028-2034 fa del 2027 un anno di transizione critico che richiede flussi di pagamento ininterrotti per i progetti impegnati nell'ambito dell'attuale regolamento MCE; invita la Commissione a garantire che le disposizioni transitorie coprano pienamente gli obblighi di pagamento derivanti dagli impegni assunti nell'ambito dell'attuale QFP e a presentare all'autorità di bilancio, entro il 1° trimestre 2028, una </w:t>
      </w:r>
      <w:r w:rsidRPr="00BB5DE9">
        <w:t>mappatura progetto per progetto degli impegni in sospeso in materia di mobilità militare e il loro profilo di pagamento previsto per il periodo 2028-2030; propone, a tale proposito, di assegnare parte del margine disponibile nell'ambito della rubrica 5 alla mobilità militare a titolo della linea 13 04 01 (Mobilità militare), riconoscendone il contributo essenziale agli obiettivi dell'Unione in materia di sicurezza e difesa, al rapido movimento di personale e mezzi militari in tutta l'Unione e allo sviluppo di infrastrutture di trasporto resilienti a duplice uso; invita la Commissione a destinare tali stanziamenti supplementari a progetti che presentino il più elevato valore aggiunto europeo e il maggiore impatto strategico; ribadisce la sua posizione secondo cui le risorse assegnate alla mobilità militare nell'ambito del prossimo QFP dovrebbero essere drasticamente aumentate per essere allineate al fabbisogno di investimenti stimato di almeno 100 miliardi di EUR, volto a far fronte alle necessità urgenti di ammodernamento di 500 punti critici individuati nell'UE, e secondo cui dovrebbe essere preservato almeno l'importo indicato di 17 miliardi di EUR per la mobilità militare nel prossimo QFP;</w:t>
      </w:r>
    </w:p>
    <w:p w:rsidR="00AE735B" w:rsidRPr="00BB5DE9" w:rsidP="00220F55" w14:paraId="7B8424EE" w14:textId="77777777">
      <w:pPr>
        <w:pStyle w:val="ListParagraph"/>
        <w:tabs>
          <w:tab w:val="left" w:pos="426"/>
          <w:tab w:val="left" w:pos="1008"/>
          <w:tab w:val="right" w:leader="dot" w:pos="8400"/>
          <w:tab w:val="decimal" w:pos="9552"/>
        </w:tabs>
        <w:suppressAutoHyphens/>
        <w:ind w:left="426"/>
      </w:pPr>
    </w:p>
    <w:p w:rsidR="00AE735B" w:rsidRPr="00BB5DE9" w:rsidP="00220F55" w14:paraId="1789A7BD" w14:textId="77777777">
      <w:pPr>
        <w:tabs>
          <w:tab w:val="left" w:pos="426"/>
          <w:tab w:val="left" w:pos="1008"/>
          <w:tab w:val="right" w:leader="dot" w:pos="8400"/>
          <w:tab w:val="decimal" w:pos="9552"/>
        </w:tabs>
        <w:suppressAutoHyphens/>
        <w:ind w:left="426" w:hanging="426"/>
      </w:pPr>
      <w:r w:rsidRPr="00BB5DE9">
        <w:t>14.</w:t>
      </w:r>
      <w:r w:rsidRPr="00BB5DE9">
        <w:tab/>
        <w:t>riconosce che la portata, il carattere sofisticato e la frequenza crescenti degli attacchi informatici e delle minacce ibride richiedono una risposta europea più coordinata e integrata, che combini prevenzione, preparazione, rilevamento, risposta e ripristino; osserva che la Commissione ha eliminato tutti e 15 i posti supplementari per personale esterno richiesti dal SEAE – compresi i 10 posti specificamente destinati al Centro di coordinamento della ciberdifesa dell'UE – applicando in modo uniforme un massimale del 2 % alle spese non connesse alle retribuzioni, senza distinguere tra costi amministrativi ordinari e requisiti operativamente critici in materia di sicurezza e difesa;</w:t>
      </w:r>
      <w:bookmarkStart w:id="36" w:name="_Hlk234949959"/>
    </w:p>
    <w:p w:rsidR="00AE735B" w:rsidRPr="00BB5DE9" w:rsidP="00220F55" w14:paraId="16F4B915" w14:textId="77777777">
      <w:pPr>
        <w:pStyle w:val="ListParagraph"/>
        <w:tabs>
          <w:tab w:val="left" w:pos="426"/>
          <w:tab w:val="left" w:pos="1008"/>
          <w:tab w:val="right" w:leader="dot" w:pos="8400"/>
          <w:tab w:val="decimal" w:pos="9552"/>
        </w:tabs>
        <w:suppressAutoHyphens/>
        <w:ind w:left="426"/>
      </w:pPr>
    </w:p>
    <w:p w:rsidR="00AE735B" w:rsidRPr="00BB5DE9" w:rsidP="00220F55" w14:paraId="456D0FAE" w14:textId="77777777">
      <w:pPr>
        <w:tabs>
          <w:tab w:val="left" w:pos="426"/>
          <w:tab w:val="left" w:pos="1008"/>
          <w:tab w:val="right" w:leader="dot" w:pos="8400"/>
          <w:tab w:val="decimal" w:pos="9552"/>
        </w:tabs>
        <w:suppressAutoHyphens/>
        <w:ind w:left="426" w:hanging="426"/>
      </w:pPr>
      <w:r w:rsidRPr="00BB5DE9">
        <w:t>15.</w:t>
      </w:r>
      <w:r w:rsidRPr="00BB5DE9">
        <w:tab/>
        <w:t>accoglie con favore l'avvio ufficiale, il 1º luglio 2026, del Centro di coordinamento della ciberdifesa dell'UE (EUCDCC) quale successore del Centro di coordinamento nel settore informatico e dell'informazione della PESCO, e quale strumento essenziale dell'Unione per collegare l'intelligence informatica nazionale frammentata, coordinare le risposte alle crisi e garantire la complementarità con la NATO; osserva con preoccupazione che l'EUCDCC sta lavorando alla capacità operativa iniziale entro la metà del 2027 e richiede un aumento graduale e prevedibile del personale per raggiungere tale traguardo; esprime profondo rammarico per il fatto che la Commissione abbia soppresso i 10 posti specificamente richiesti per l'EUCDCC; chiede che tali posti siano ripristinati e finanziati mediante riassegnazione all'interno della sezione X;</w:t>
      </w:r>
    </w:p>
    <w:p w:rsidR="00AE735B" w:rsidRPr="00BB5DE9" w:rsidP="00220F55" w14:paraId="03FF50C5" w14:textId="77777777">
      <w:pPr>
        <w:pStyle w:val="ListParagraph"/>
      </w:pPr>
    </w:p>
    <w:p w:rsidR="00AE735B" w:rsidRPr="00BB5DE9" w:rsidP="00220F55" w14:paraId="74CA3EC6" w14:textId="77777777">
      <w:pPr>
        <w:tabs>
          <w:tab w:val="left" w:pos="426"/>
          <w:tab w:val="left" w:pos="1008"/>
          <w:tab w:val="right" w:leader="dot" w:pos="8400"/>
          <w:tab w:val="decimal" w:pos="9552"/>
        </w:tabs>
        <w:suppressAutoHyphens/>
        <w:ind w:left="426" w:hanging="426"/>
      </w:pPr>
      <w:r w:rsidRPr="00BB5DE9">
        <w:t>16.</w:t>
      </w:r>
      <w:r w:rsidRPr="00BB5DE9">
        <w:tab/>
        <w:t>sottolinea che l'autonomia strategica europea richiede non solo ambizione, ma anche capacità; sottolinea inoltre che l'Unione non può affermare in modo credibile di essere un attore della difesa senza disporre di un vero e proprio quartier generale strategico militare in grado di pianificare e condurre l'intera gamma di operazioni militari; ritiene che la capacità militare di pianificazione e condotta (MPCC) debba evolversi in una vera e propria struttura di comando e controllo a livello dell'UE e che la ripetuta incapacità di dotare l'MPCC di risorse in linea con la giustificazione economica approvata dal CPS rappresenti una contraddizione diretta tra le ambizioni dichiarate dell'Unione nell'ambito del Libro bianco sulla prontezza alla difesa europea per il 2030 e le sue scelte di bilancio; chiede il pieno rafforzamento dell'MPCC, anche per quanto riguarda il personale necessario, la sicurezza delle comunicazioni e le infrastrutture informatiche;</w:t>
      </w:r>
      <w:bookmarkEnd w:id="36"/>
    </w:p>
    <w:p w:rsidR="00AE735B" w:rsidRPr="00BB5DE9" w:rsidP="00220F55" w14:paraId="0DD72E64" w14:textId="77777777">
      <w:pPr>
        <w:pStyle w:val="ListParagraph"/>
      </w:pPr>
    </w:p>
    <w:p w:rsidR="00AE735B" w:rsidRPr="00BB5DE9" w:rsidP="00220F55" w14:paraId="131B5A91" w14:textId="77777777">
      <w:pPr>
        <w:tabs>
          <w:tab w:val="left" w:pos="426"/>
          <w:tab w:val="left" w:pos="1008"/>
          <w:tab w:val="right" w:leader="dot" w:pos="8400"/>
          <w:tab w:val="decimal" w:pos="9552"/>
        </w:tabs>
        <w:suppressAutoHyphens/>
        <w:ind w:left="426" w:hanging="426"/>
      </w:pPr>
      <w:r w:rsidRPr="00BB5DE9">
        <w:t>17.</w:t>
      </w:r>
      <w:r w:rsidRPr="00BB5DE9">
        <w:tab/>
        <w:t xml:space="preserve">accoglie con favore l'annuncio da parte del SEAE di una possibile missione civile in </w:t>
      </w:r>
      <w:r w:rsidRPr="00BB5DE9">
        <w:t>ambito PSDC in Libano; sottolinea il potenziale contributo che una missione di questo tipo potrebbe apportare al rafforzamento delle capacità dello Stato libanese, anche nei settori della gestione delle frontiere, dello Stato di diritto e della sicurezza civile; insiste sul fatto che, qualora fosse istituita una missione di questo tipo, nel bilancio dell'Unione per il 2027 dovrebbero essere inclusi stanziamenti adeguati e prevedibili per garantirne il rapido dispiegamento e l'efficace funzionamento, compresa la fornitura delle risorse finanziarie, umane e operative necessarie per lo svolgimento efficace del suo mandato;</w:t>
      </w:r>
    </w:p>
    <w:p w:rsidR="00AE735B" w:rsidRPr="00BB5DE9" w:rsidP="00220F55" w14:paraId="1B6E34E9" w14:textId="77777777">
      <w:pPr>
        <w:pStyle w:val="ListParagraph"/>
      </w:pPr>
    </w:p>
    <w:p w:rsidR="00AE735B" w:rsidRPr="00BB5DE9" w:rsidP="00220F55" w14:paraId="6DF08604" w14:textId="77777777">
      <w:pPr>
        <w:tabs>
          <w:tab w:val="left" w:pos="426"/>
          <w:tab w:val="left" w:pos="1008"/>
          <w:tab w:val="right" w:leader="dot" w:pos="8400"/>
          <w:tab w:val="decimal" w:pos="9552"/>
        </w:tabs>
        <w:suppressAutoHyphens/>
        <w:ind w:left="426" w:hanging="426"/>
      </w:pPr>
      <w:r w:rsidRPr="00BB5DE9">
        <w:t>18.</w:t>
      </w:r>
      <w:r w:rsidRPr="00BB5DE9">
        <w:tab/>
        <w:t>ribadisce il suo sostegno all'operazione ASPIDES e chiede stanziamenti adeguati e prevedibili nel bilancio dell'Unione per il 2027 al fine di garantirne la costante efficacia operativa e le risorse necessarie per lo svolgimento del suo mandato;</w:t>
      </w:r>
    </w:p>
    <w:p w:rsidR="00AE735B" w:rsidRPr="00BB5DE9" w:rsidP="00220F55" w14:paraId="3F522A36" w14:textId="77777777">
      <w:pPr>
        <w:pStyle w:val="ListParagraph"/>
      </w:pPr>
    </w:p>
    <w:p w:rsidR="00AE735B" w:rsidRPr="00BB5DE9" w:rsidP="00220F55" w14:paraId="4E2A1CAD" w14:textId="77777777">
      <w:pPr>
        <w:tabs>
          <w:tab w:val="left" w:pos="426"/>
          <w:tab w:val="left" w:pos="1008"/>
          <w:tab w:val="right" w:leader="dot" w:pos="8400"/>
          <w:tab w:val="decimal" w:pos="9552"/>
        </w:tabs>
        <w:suppressAutoHyphens/>
        <w:ind w:left="426" w:hanging="426"/>
      </w:pPr>
      <w:r w:rsidRPr="00BB5DE9">
        <w:t>19.</w:t>
      </w:r>
      <w:r w:rsidRPr="00BB5DE9">
        <w:tab/>
        <w:t>insiste sul fatto che una maggiore ambizione in materia di sicurezza e difesa deve essere accompagnata da un'adeguata capacità di attuazione; sottolinea che la frammentazione degli appalti nazionali comporta una minore capacità a costi più elevati; ribadisce che una cooperazione rafforzata all'interno di un mercato unico della difesa potrebbe portare a enormi risparmi in termini di efficienza fino al 30 % della spesa annuale per la difesa in tutta l'UE;</w:t>
      </w:r>
      <w:r w:rsidRPr="00BB5DE9">
        <w:rPr>
          <w:i/>
        </w:rPr>
        <w:t xml:space="preserve"> </w:t>
      </w:r>
      <w:r w:rsidRPr="00BB5DE9">
        <w:t>chiede che il prossimo QFP integri strutturalmente gli appalti congiunti dell'UE come logica predefinita per gli investimenti europei nel settore della difesa;</w:t>
      </w:r>
    </w:p>
    <w:p w:rsidR="00AE735B" w:rsidRPr="00BB5DE9" w:rsidP="00220F55" w14:paraId="409B087E" w14:textId="77777777">
      <w:pPr>
        <w:pStyle w:val="ListParagraph"/>
      </w:pPr>
    </w:p>
    <w:p w:rsidR="00AE735B" w:rsidRPr="00BB5DE9" w:rsidP="00220F55" w14:paraId="16A195FA" w14:textId="77777777">
      <w:pPr>
        <w:tabs>
          <w:tab w:val="left" w:pos="426"/>
          <w:tab w:val="left" w:pos="1008"/>
          <w:tab w:val="right" w:leader="dot" w:pos="8400"/>
          <w:tab w:val="decimal" w:pos="9552"/>
        </w:tabs>
        <w:suppressAutoHyphens/>
        <w:ind w:left="426" w:hanging="426"/>
      </w:pPr>
      <w:r w:rsidRPr="00BB5DE9">
        <w:t>20.</w:t>
      </w:r>
      <w:r w:rsidRPr="00BB5DE9">
        <w:tab/>
        <w:t>chiede un più stretto coordinamento tra i ministri degli affari esteri, della difesa, della giustizia e degli affari interni degli Stati membri, nonché le pertinenti formazioni del Consiglio, al fine di rafforzare la capacità dell'Unione di affrontare il crescente nesso tra sicurezza interna ed esterna, e di rispondere in modo più efficace all'evoluzione delle minacce per la sicurezza, comprese le minacce ibride, gli attacchi informatici, il terrorismo e la criminalità organizzata.</w:t>
      </w:r>
      <w:bookmarkEnd w:id="35"/>
    </w:p>
    <w:p w:rsidR="00AE735B" w:rsidRPr="00BB5DE9" w:rsidP="00A92869" w14:paraId="5003673E" w14:textId="77777777"/>
    <w:p w:rsidR="00AE735B" w:rsidRPr="00BB5DE9" w14:paraId="2D9CA40B" w14:textId="77777777">
      <w:pPr>
        <w:widowControl/>
      </w:pPr>
      <w:r w:rsidRPr="00BB5DE9">
        <w:br w:type="page"/>
      </w:r>
    </w:p>
    <w:p w:rsidR="00AE735B" w:rsidRPr="00BB5DE9" w:rsidP="006E3E72" w14:paraId="6D4E10C3" w14:textId="77777777"/>
    <w:p w:rsidR="00AE735B" w:rsidRPr="00BB5DE9" w:rsidP="00D75C66" w14:paraId="66E5EFB7" w14:textId="77777777">
      <w:pPr>
        <w:pStyle w:val="PageHeadingNotTOC"/>
      </w:pPr>
      <w:r w:rsidRPr="00BB5DE9">
        <w:t>ALLEGATO: DICHIARAZIONE DEI CONTRIBUTI</w:t>
      </w:r>
    </w:p>
    <w:p w:rsidR="00AE735B" w:rsidRPr="00BB5DE9" w:rsidP="00D75C66" w14:paraId="1E2A2875" w14:textId="77777777">
      <w:pPr>
        <w:jc w:val="both"/>
      </w:pPr>
      <w:r w:rsidRPr="00BB5DE9">
        <w:t>Il relatore per parere dichiara, sotto la sua esclusiva responsabilità, di non aver incluso nel suo parere alcun contributo di rappresentanti di interessi che rientrano nell'ambito di applicazione dell'accordo interistituzionale su un registro per la trasparenza obbligatorio</w:t>
      </w:r>
      <w:r>
        <w:rPr>
          <w:vertAlign w:val="superscript"/>
        </w:rPr>
        <w:footnoteReference w:id="31"/>
      </w:r>
      <w:r w:rsidRPr="00BB5DE9">
        <w:t>, o di rappresentanti delle pubbliche autorità di paesi terzi, incluse le loro missioni diplomatiche e ambasciate, da enumerare nel presente allegato in virtù dell'allegato I, articolo 8, del regolamento.</w:t>
      </w:r>
    </w:p>
    <w:p w:rsidR="00AE735B" w:rsidRPr="00BB5DE9" w:rsidP="006E3E72" w14:paraId="525ED656" w14:textId="77777777"/>
    <w:p w:rsidR="00AE735B" w:rsidRPr="00BB5DE9" w14:paraId="1B51862C" w14:textId="77777777">
      <w:pPr>
        <w:widowControl/>
      </w:pPr>
      <w:r w:rsidRPr="00BB5DE9">
        <w:br w:type="page"/>
      </w:r>
    </w:p>
    <w:p w:rsidR="00AE735B" w:rsidRPr="00BB5DE9" w:rsidP="00F62AD4" w14:paraId="2195132A" w14:textId="77777777">
      <w:pPr>
        <w:tabs>
          <w:tab w:val="left" w:pos="1021"/>
          <w:tab w:val="left" w:pos="1418"/>
          <w:tab w:val="left" w:pos="1786"/>
          <w:tab w:val="left" w:pos="2381"/>
          <w:tab w:val="left" w:pos="2948"/>
          <w:tab w:val="left" w:pos="3572"/>
          <w:tab w:val="left" w:pos="4139"/>
          <w:tab w:val="left" w:pos="4763"/>
          <w:tab w:val="left" w:pos="5387"/>
          <w:tab w:val="left" w:pos="5954"/>
          <w:tab w:val="left" w:pos="6577"/>
          <w:tab w:val="left" w:pos="7144"/>
        </w:tabs>
        <w:jc w:val="center"/>
        <w:outlineLvl w:val="0"/>
        <w:rPr>
          <w:rFonts w:ascii="Arial" w:hAnsi="Arial"/>
          <w:b/>
        </w:rPr>
      </w:pPr>
      <w:r w:rsidRPr="00BB5DE9">
        <w:rPr>
          <w:rFonts w:ascii="Arial" w:hAnsi="Arial"/>
          <w:b/>
        </w:rPr>
        <w:t>VOTAZIONE FINALE PER APPELLO NOMINALE</w:t>
      </w:r>
    </w:p>
    <w:p w:rsidR="00AE735B" w:rsidRPr="00BB5DE9" w:rsidP="00F62AD4" w14:paraId="6F0CE92D" w14:textId="77777777">
      <w:pPr>
        <w:tabs>
          <w:tab w:val="left" w:pos="1021"/>
          <w:tab w:val="left" w:pos="1418"/>
          <w:tab w:val="left" w:pos="1786"/>
          <w:tab w:val="left" w:pos="2381"/>
          <w:tab w:val="left" w:pos="2948"/>
          <w:tab w:val="left" w:pos="3572"/>
          <w:tab w:val="left" w:pos="4139"/>
          <w:tab w:val="left" w:pos="4763"/>
          <w:tab w:val="left" w:pos="5387"/>
          <w:tab w:val="left" w:pos="5954"/>
          <w:tab w:val="left" w:pos="6577"/>
          <w:tab w:val="left" w:pos="7144"/>
        </w:tabs>
        <w:jc w:val="center"/>
        <w:outlineLvl w:val="0"/>
        <w:rPr>
          <w:rFonts w:ascii="Arial" w:hAnsi="Arial"/>
          <w:b/>
        </w:rPr>
      </w:pPr>
      <w:r w:rsidRPr="00BB5DE9">
        <w:rPr>
          <w:rFonts w:ascii="Arial" w:hAnsi="Arial"/>
          <w:b/>
        </w:rPr>
        <w:t>DA PARTE DELLA COMMISSIONE COMPETENTE PER PARERE</w:t>
      </w:r>
    </w:p>
    <w:p w:rsidR="00AE735B" w:rsidRPr="00BB5DE9" w:rsidP="00DB1737" w14:paraId="5D5A6905" w14:textId="77777777"/>
    <w:tbl>
      <w:tblPr>
        <w:tblW w:w="0" w:type="auto"/>
        <w:tblInd w:w="145" w:type="dxa"/>
        <w:tblBorders>
          <w:top w:val="double" w:sz="2" w:space="0" w:color="000000"/>
          <w:left w:val="double" w:sz="2" w:space="0" w:color="000000"/>
          <w:bottom w:val="double" w:sz="2" w:space="0" w:color="000000"/>
          <w:right w:val="double" w:sz="2" w:space="0" w:color="000000"/>
          <w:insideH w:val="single" w:sz="2" w:space="0" w:color="000000"/>
          <w:insideV w:val="single" w:sz="2" w:space="0" w:color="000000"/>
        </w:tblBorders>
        <w:tblLayout w:type="fixed"/>
        <w:tblCellMar>
          <w:left w:w="145" w:type="dxa"/>
          <w:right w:w="145" w:type="dxa"/>
        </w:tblCellMar>
        <w:tblLook w:val="0000"/>
      </w:tblPr>
      <w:tblGrid>
        <w:gridCol w:w="1701"/>
        <w:gridCol w:w="7371"/>
      </w:tblGrid>
      <w:tr w14:paraId="60B1344E" w14:textId="77777777" w:rsidTr="00635C8C">
        <w:tblPrEx>
          <w:tblW w:w="0" w:type="auto"/>
          <w:tblInd w:w="145" w:type="dxa"/>
          <w:tblBorders>
            <w:top w:val="double" w:sz="2" w:space="0" w:color="000000"/>
            <w:left w:val="double" w:sz="2" w:space="0" w:color="000000"/>
            <w:bottom w:val="double" w:sz="2" w:space="0" w:color="000000"/>
            <w:right w:val="double" w:sz="2" w:space="0" w:color="000000"/>
            <w:insideH w:val="single" w:sz="2" w:space="0" w:color="000000"/>
            <w:insideV w:val="single" w:sz="2" w:space="0" w:color="000000"/>
          </w:tblBorders>
          <w:tblLayout w:type="fixed"/>
          <w:tblCellMar>
            <w:left w:w="145" w:type="dxa"/>
            <w:right w:w="145" w:type="dxa"/>
          </w:tblCellMar>
          <w:tblLook w:val="0000"/>
        </w:tblPrEx>
        <w:trPr>
          <w:cantSplit/>
        </w:trPr>
        <w:tc>
          <w:tcPr>
            <w:tcW w:w="1701" w:type="dxa"/>
            <w:shd w:val="pct10" w:color="000000" w:fill="FFFFFF"/>
            <w:vAlign w:val="center"/>
          </w:tcPr>
          <w:p w:rsidR="00AE735B" w:rsidRPr="00BB5DE9" w:rsidP="00635C8C" w14:paraId="707BC073" w14:textId="77777777">
            <w:pPr>
              <w:pStyle w:val="RollCallVotes"/>
              <w:rPr>
                <w:lang w:val="it-IT"/>
              </w:rPr>
            </w:pPr>
            <w:r w:rsidRPr="00BB5DE9">
              <w:rPr>
                <w:lang w:val="it-IT"/>
              </w:rPr>
              <w:t>26</w:t>
            </w:r>
          </w:p>
        </w:tc>
        <w:tc>
          <w:tcPr>
            <w:tcW w:w="7371" w:type="dxa"/>
            <w:shd w:val="pct10" w:color="000000" w:fill="FFFFFF"/>
          </w:tcPr>
          <w:p w:rsidR="00AE735B" w:rsidRPr="00BB5DE9" w:rsidP="00635C8C" w14:paraId="56930199" w14:textId="77777777">
            <w:pPr>
              <w:pStyle w:val="RollCallSymbols14pt"/>
              <w:rPr>
                <w:lang w:val="it-IT"/>
              </w:rPr>
            </w:pPr>
            <w:r w:rsidRPr="00BB5DE9">
              <w:rPr>
                <w:lang w:val="it-IT"/>
              </w:rPr>
              <w:t>+</w:t>
            </w:r>
          </w:p>
        </w:tc>
      </w:tr>
      <w:tr w14:paraId="6E4DBCB2" w14:textId="77777777" w:rsidTr="00635C8C">
        <w:tblPrEx>
          <w:tblW w:w="0" w:type="auto"/>
          <w:tblInd w:w="145" w:type="dxa"/>
          <w:tblLayout w:type="fixed"/>
          <w:tblCellMar>
            <w:left w:w="145" w:type="dxa"/>
            <w:right w:w="145" w:type="dxa"/>
          </w:tblCellMar>
          <w:tblLook w:val="0000"/>
        </w:tblPrEx>
        <w:trPr>
          <w:cantSplit/>
        </w:trPr>
        <w:tc>
          <w:tcPr>
            <w:tcW w:w="1701" w:type="dxa"/>
            <w:shd w:val="clear" w:color="auto" w:fill="FFFFFF"/>
          </w:tcPr>
          <w:p w:rsidR="00AE735B" w:rsidRPr="00BB5DE9" w:rsidP="00635C8C" w14:paraId="0930797E" w14:textId="77777777">
            <w:pPr>
              <w:pStyle w:val="RollCallTable"/>
              <w:rPr>
                <w:lang w:val="it-IT"/>
              </w:rPr>
            </w:pPr>
            <w:r w:rsidRPr="00BB5DE9">
              <w:rPr>
                <w:lang w:val="it-IT"/>
              </w:rPr>
              <w:t>PPE</w:t>
            </w:r>
          </w:p>
        </w:tc>
        <w:tc>
          <w:tcPr>
            <w:tcW w:w="7371" w:type="dxa"/>
            <w:shd w:val="clear" w:color="auto" w:fill="FFFFFF"/>
          </w:tcPr>
          <w:p w:rsidR="00AE735B" w:rsidRPr="00BB5DE9" w:rsidP="00635C8C" w14:paraId="23B1927E" w14:textId="77777777">
            <w:pPr>
              <w:pStyle w:val="RollCallTable"/>
              <w:rPr>
                <w:lang w:val="it-IT"/>
              </w:rPr>
            </w:pPr>
            <w:r w:rsidRPr="00BB5DE9">
              <w:rPr>
                <w:lang w:val="it-IT"/>
              </w:rPr>
              <w:t>Wouter Beke, Salvatore De Meo, Michael Gahler, Christophe Gomart, Vangelis Meimarakis, Angelika Niebler, Andrey Novakov, Nicolás Pascual de la Parte, Alice Teodorescu Måwe, Pekka Toveri, Marta Wcisło</w:t>
            </w:r>
          </w:p>
        </w:tc>
      </w:tr>
      <w:tr w14:paraId="74055768" w14:textId="77777777" w:rsidTr="00635C8C">
        <w:tblPrEx>
          <w:tblW w:w="0" w:type="auto"/>
          <w:tblInd w:w="145" w:type="dxa"/>
          <w:tblLayout w:type="fixed"/>
          <w:tblCellMar>
            <w:left w:w="145" w:type="dxa"/>
            <w:right w:w="145" w:type="dxa"/>
          </w:tblCellMar>
          <w:tblLook w:val="0000"/>
        </w:tblPrEx>
        <w:trPr>
          <w:cantSplit/>
        </w:trPr>
        <w:tc>
          <w:tcPr>
            <w:tcW w:w="1701" w:type="dxa"/>
            <w:shd w:val="clear" w:color="auto" w:fill="FFFFFF"/>
          </w:tcPr>
          <w:p w:rsidR="00AE735B" w:rsidRPr="00BB5DE9" w:rsidP="00635C8C" w14:paraId="374CD919" w14:textId="77777777">
            <w:pPr>
              <w:pStyle w:val="RollCallTable"/>
              <w:rPr>
                <w:lang w:val="it-IT"/>
              </w:rPr>
            </w:pPr>
            <w:r w:rsidRPr="00BB5DE9">
              <w:rPr>
                <w:lang w:val="it-IT"/>
              </w:rPr>
              <w:t>Renew</w:t>
            </w:r>
          </w:p>
        </w:tc>
        <w:tc>
          <w:tcPr>
            <w:tcW w:w="7371" w:type="dxa"/>
            <w:shd w:val="clear" w:color="auto" w:fill="FFFFFF"/>
          </w:tcPr>
          <w:p w:rsidR="00AE735B" w:rsidRPr="00BB5DE9" w:rsidP="00635C8C" w14:paraId="1A31653B" w14:textId="77777777">
            <w:pPr>
              <w:pStyle w:val="RollCallTable"/>
              <w:rPr>
                <w:lang w:val="it-IT"/>
              </w:rPr>
            </w:pPr>
            <w:r w:rsidRPr="00BB5DE9">
              <w:rPr>
                <w:lang w:val="it-IT"/>
              </w:rPr>
              <w:t>Petras Auštrevičius, Nathalie Loiseau, Marjan Šarec, Marie-Agnes Strack-Zimmermann, Lucia Yar</w:t>
            </w:r>
          </w:p>
        </w:tc>
      </w:tr>
      <w:tr w14:paraId="388A4970" w14:textId="77777777" w:rsidTr="00635C8C">
        <w:tblPrEx>
          <w:tblW w:w="0" w:type="auto"/>
          <w:tblInd w:w="145" w:type="dxa"/>
          <w:tblLayout w:type="fixed"/>
          <w:tblCellMar>
            <w:left w:w="145" w:type="dxa"/>
            <w:right w:w="145" w:type="dxa"/>
          </w:tblCellMar>
          <w:tblLook w:val="0000"/>
        </w:tblPrEx>
        <w:trPr>
          <w:cantSplit/>
        </w:trPr>
        <w:tc>
          <w:tcPr>
            <w:tcW w:w="1701" w:type="dxa"/>
            <w:shd w:val="clear" w:color="auto" w:fill="FFFFFF"/>
          </w:tcPr>
          <w:p w:rsidR="00AE735B" w:rsidRPr="00BB5DE9" w:rsidP="00635C8C" w14:paraId="0BF71BDB" w14:textId="77777777">
            <w:pPr>
              <w:pStyle w:val="RollCallTable"/>
              <w:rPr>
                <w:lang w:val="it-IT"/>
              </w:rPr>
            </w:pPr>
            <w:r w:rsidRPr="00BB5DE9">
              <w:rPr>
                <w:lang w:val="it-IT"/>
              </w:rPr>
              <w:t>S&amp;D</w:t>
            </w:r>
          </w:p>
        </w:tc>
        <w:tc>
          <w:tcPr>
            <w:tcW w:w="7371" w:type="dxa"/>
            <w:shd w:val="clear" w:color="auto" w:fill="FFFFFF"/>
          </w:tcPr>
          <w:p w:rsidR="00AE735B" w:rsidRPr="00BB5DE9" w:rsidP="00635C8C" w14:paraId="21F469C4" w14:textId="77777777">
            <w:pPr>
              <w:pStyle w:val="RollCallTable"/>
              <w:rPr>
                <w:lang w:val="it-IT"/>
              </w:rPr>
            </w:pPr>
            <w:r w:rsidRPr="00BB5DE9">
              <w:rPr>
                <w:lang w:val="it-IT"/>
              </w:rPr>
              <w:t>Lucia Annunziata, Vasile Dîncu, Costas Mavrides, Ana Catarina Mendes, Sven Mikser, Tonino Picula, Thijs Reuten</w:t>
            </w:r>
          </w:p>
        </w:tc>
      </w:tr>
      <w:tr w14:paraId="0670820F" w14:textId="77777777" w:rsidTr="00635C8C">
        <w:tblPrEx>
          <w:tblW w:w="0" w:type="auto"/>
          <w:tblInd w:w="145" w:type="dxa"/>
          <w:tblLayout w:type="fixed"/>
          <w:tblCellMar>
            <w:left w:w="145" w:type="dxa"/>
            <w:right w:w="145" w:type="dxa"/>
          </w:tblCellMar>
          <w:tblLook w:val="0000"/>
        </w:tblPrEx>
        <w:trPr>
          <w:cantSplit/>
        </w:trPr>
        <w:tc>
          <w:tcPr>
            <w:tcW w:w="1701" w:type="dxa"/>
            <w:shd w:val="clear" w:color="auto" w:fill="FFFFFF"/>
          </w:tcPr>
          <w:p w:rsidR="00AE735B" w:rsidRPr="00BB5DE9" w:rsidP="00635C8C" w14:paraId="2C30213C" w14:textId="77777777">
            <w:pPr>
              <w:pStyle w:val="RollCallTable"/>
              <w:rPr>
                <w:lang w:val="it-IT"/>
              </w:rPr>
            </w:pPr>
            <w:r w:rsidRPr="00BB5DE9">
              <w:rPr>
                <w:lang w:val="it-IT"/>
              </w:rPr>
              <w:t>Verts/ALE</w:t>
            </w:r>
          </w:p>
        </w:tc>
        <w:tc>
          <w:tcPr>
            <w:tcW w:w="7371" w:type="dxa"/>
            <w:shd w:val="clear" w:color="auto" w:fill="FFFFFF"/>
          </w:tcPr>
          <w:p w:rsidR="00AE735B" w:rsidRPr="00BB5DE9" w:rsidP="00635C8C" w14:paraId="4D77C294" w14:textId="77777777">
            <w:pPr>
              <w:pStyle w:val="RollCallTable"/>
              <w:rPr>
                <w:lang w:val="it-IT"/>
              </w:rPr>
            </w:pPr>
            <w:r w:rsidRPr="00BB5DE9">
              <w:rPr>
                <w:lang w:val="it-IT"/>
              </w:rPr>
              <w:t>Hannah Neumann, Mārtiņš Staķis, Reinier Van Lanschot</w:t>
            </w:r>
          </w:p>
        </w:tc>
      </w:tr>
    </w:tbl>
    <w:p w:rsidR="00AE735B" w:rsidRPr="00BB5DE9" w:rsidP="00DB1737" w14:paraId="253A2835" w14:textId="77777777"/>
    <w:tbl>
      <w:tblPr>
        <w:tblW w:w="0" w:type="auto"/>
        <w:tblInd w:w="145" w:type="dxa"/>
        <w:tblBorders>
          <w:top w:val="double" w:sz="2" w:space="0" w:color="000000"/>
          <w:left w:val="double" w:sz="2" w:space="0" w:color="000000"/>
          <w:bottom w:val="double" w:sz="2" w:space="0" w:color="000000"/>
          <w:right w:val="double" w:sz="2" w:space="0" w:color="000000"/>
          <w:insideH w:val="single" w:sz="2" w:space="0" w:color="000000"/>
          <w:insideV w:val="single" w:sz="2" w:space="0" w:color="000000"/>
        </w:tblBorders>
        <w:tblLayout w:type="fixed"/>
        <w:tblCellMar>
          <w:left w:w="145" w:type="dxa"/>
          <w:right w:w="145" w:type="dxa"/>
        </w:tblCellMar>
        <w:tblLook w:val="0000"/>
      </w:tblPr>
      <w:tblGrid>
        <w:gridCol w:w="1701"/>
        <w:gridCol w:w="7371"/>
      </w:tblGrid>
      <w:tr w14:paraId="56F88774" w14:textId="77777777" w:rsidTr="00635C8C">
        <w:tblPrEx>
          <w:tblW w:w="0" w:type="auto"/>
          <w:tblInd w:w="145" w:type="dxa"/>
          <w:tblBorders>
            <w:top w:val="double" w:sz="2" w:space="0" w:color="000000"/>
            <w:left w:val="double" w:sz="2" w:space="0" w:color="000000"/>
            <w:bottom w:val="double" w:sz="2" w:space="0" w:color="000000"/>
            <w:right w:val="double" w:sz="2" w:space="0" w:color="000000"/>
            <w:insideH w:val="single" w:sz="2" w:space="0" w:color="000000"/>
            <w:insideV w:val="single" w:sz="2" w:space="0" w:color="000000"/>
          </w:tblBorders>
          <w:tblLayout w:type="fixed"/>
          <w:tblCellMar>
            <w:left w:w="145" w:type="dxa"/>
            <w:right w:w="145" w:type="dxa"/>
          </w:tblCellMar>
          <w:tblLook w:val="0000"/>
        </w:tblPrEx>
        <w:trPr>
          <w:cantSplit/>
        </w:trPr>
        <w:tc>
          <w:tcPr>
            <w:tcW w:w="1701" w:type="dxa"/>
            <w:shd w:val="pct10" w:color="000000" w:fill="FFFFFF"/>
            <w:vAlign w:val="center"/>
          </w:tcPr>
          <w:p w:rsidR="00AE735B" w:rsidRPr="00BB5DE9" w:rsidP="00635C8C" w14:paraId="432539EB" w14:textId="77777777">
            <w:pPr>
              <w:pStyle w:val="RollCallVotes"/>
              <w:rPr>
                <w:lang w:val="it-IT"/>
              </w:rPr>
            </w:pPr>
            <w:r w:rsidRPr="00BB5DE9">
              <w:rPr>
                <w:lang w:val="it-IT"/>
              </w:rPr>
              <w:t>7</w:t>
            </w:r>
          </w:p>
        </w:tc>
        <w:tc>
          <w:tcPr>
            <w:tcW w:w="7371" w:type="dxa"/>
            <w:shd w:val="pct10" w:color="000000" w:fill="FFFFFF"/>
          </w:tcPr>
          <w:p w:rsidR="00AE735B" w:rsidRPr="00BB5DE9" w:rsidP="00635C8C" w14:paraId="062BBCD9" w14:textId="77777777">
            <w:pPr>
              <w:pStyle w:val="RollCallSymbols14pt"/>
              <w:rPr>
                <w:lang w:val="it-IT"/>
              </w:rPr>
            </w:pPr>
            <w:r w:rsidRPr="00BB5DE9">
              <w:rPr>
                <w:lang w:val="it-IT"/>
              </w:rPr>
              <w:t>-</w:t>
            </w:r>
          </w:p>
        </w:tc>
      </w:tr>
      <w:tr w14:paraId="7C07B1A8" w14:textId="77777777" w:rsidTr="00635C8C">
        <w:tblPrEx>
          <w:tblW w:w="0" w:type="auto"/>
          <w:tblInd w:w="145" w:type="dxa"/>
          <w:tblLayout w:type="fixed"/>
          <w:tblCellMar>
            <w:left w:w="145" w:type="dxa"/>
            <w:right w:w="145" w:type="dxa"/>
          </w:tblCellMar>
          <w:tblLook w:val="0000"/>
        </w:tblPrEx>
        <w:trPr>
          <w:cantSplit/>
        </w:trPr>
        <w:tc>
          <w:tcPr>
            <w:tcW w:w="1701" w:type="dxa"/>
            <w:shd w:val="clear" w:color="auto" w:fill="FFFFFF"/>
          </w:tcPr>
          <w:p w:rsidR="00AE735B" w:rsidRPr="00BB5DE9" w:rsidP="00635C8C" w14:paraId="177156F1" w14:textId="77777777">
            <w:pPr>
              <w:pStyle w:val="RollCallTable"/>
              <w:rPr>
                <w:lang w:val="it-IT"/>
              </w:rPr>
            </w:pPr>
            <w:r w:rsidRPr="00BB5DE9">
              <w:rPr>
                <w:lang w:val="it-IT"/>
              </w:rPr>
              <w:t>ESN</w:t>
            </w:r>
          </w:p>
        </w:tc>
        <w:tc>
          <w:tcPr>
            <w:tcW w:w="7371" w:type="dxa"/>
            <w:shd w:val="clear" w:color="auto" w:fill="FFFFFF"/>
          </w:tcPr>
          <w:p w:rsidR="00AE735B" w:rsidRPr="00BB5DE9" w:rsidP="00635C8C" w14:paraId="7221214E" w14:textId="77777777">
            <w:pPr>
              <w:pStyle w:val="RollCallTable"/>
              <w:rPr>
                <w:lang w:val="it-IT"/>
              </w:rPr>
            </w:pPr>
            <w:r w:rsidRPr="00BB5DE9">
              <w:rPr>
                <w:lang w:val="it-IT"/>
              </w:rPr>
              <w:t>Hans Neuhoff</w:t>
            </w:r>
          </w:p>
        </w:tc>
      </w:tr>
      <w:tr w14:paraId="549A5E19" w14:textId="77777777" w:rsidTr="00635C8C">
        <w:tblPrEx>
          <w:tblW w:w="0" w:type="auto"/>
          <w:tblInd w:w="145" w:type="dxa"/>
          <w:tblLayout w:type="fixed"/>
          <w:tblCellMar>
            <w:left w:w="145" w:type="dxa"/>
            <w:right w:w="145" w:type="dxa"/>
          </w:tblCellMar>
          <w:tblLook w:val="0000"/>
        </w:tblPrEx>
        <w:trPr>
          <w:cantSplit/>
        </w:trPr>
        <w:tc>
          <w:tcPr>
            <w:tcW w:w="1701" w:type="dxa"/>
            <w:shd w:val="clear" w:color="auto" w:fill="FFFFFF"/>
          </w:tcPr>
          <w:p w:rsidR="00AE735B" w:rsidRPr="00BB5DE9" w:rsidP="00635C8C" w14:paraId="4E3771D7" w14:textId="77777777">
            <w:pPr>
              <w:pStyle w:val="RollCallTable"/>
              <w:rPr>
                <w:lang w:val="it-IT"/>
              </w:rPr>
            </w:pPr>
            <w:r w:rsidRPr="00BB5DE9">
              <w:rPr>
                <w:lang w:val="it-IT"/>
              </w:rPr>
              <w:t>NI</w:t>
            </w:r>
          </w:p>
        </w:tc>
        <w:tc>
          <w:tcPr>
            <w:tcW w:w="7371" w:type="dxa"/>
            <w:shd w:val="clear" w:color="auto" w:fill="FFFFFF"/>
          </w:tcPr>
          <w:p w:rsidR="00AE735B" w:rsidRPr="00BB5DE9" w:rsidP="00635C8C" w14:paraId="40173007" w14:textId="77777777">
            <w:pPr>
              <w:pStyle w:val="RollCallTable"/>
              <w:rPr>
                <w:lang w:val="it-IT"/>
              </w:rPr>
            </w:pPr>
            <w:r w:rsidRPr="00BB5DE9">
              <w:rPr>
                <w:lang w:val="it-IT"/>
              </w:rPr>
              <w:t>Kostas Papadakis</w:t>
            </w:r>
          </w:p>
        </w:tc>
      </w:tr>
      <w:tr w14:paraId="2F27C067" w14:textId="77777777" w:rsidTr="00635C8C">
        <w:tblPrEx>
          <w:tblW w:w="0" w:type="auto"/>
          <w:tblInd w:w="145" w:type="dxa"/>
          <w:tblLayout w:type="fixed"/>
          <w:tblCellMar>
            <w:left w:w="145" w:type="dxa"/>
            <w:right w:w="145" w:type="dxa"/>
          </w:tblCellMar>
          <w:tblLook w:val="0000"/>
        </w:tblPrEx>
        <w:trPr>
          <w:cantSplit/>
        </w:trPr>
        <w:tc>
          <w:tcPr>
            <w:tcW w:w="1701" w:type="dxa"/>
            <w:shd w:val="clear" w:color="auto" w:fill="FFFFFF"/>
          </w:tcPr>
          <w:p w:rsidR="00AE735B" w:rsidRPr="00BB5DE9" w:rsidP="00635C8C" w14:paraId="4118D1F4" w14:textId="77777777">
            <w:pPr>
              <w:pStyle w:val="RollCallTable"/>
              <w:rPr>
                <w:lang w:val="it-IT"/>
              </w:rPr>
            </w:pPr>
            <w:r w:rsidRPr="00BB5DE9">
              <w:rPr>
                <w:lang w:val="it-IT"/>
              </w:rPr>
              <w:t>PfE</w:t>
            </w:r>
          </w:p>
        </w:tc>
        <w:tc>
          <w:tcPr>
            <w:tcW w:w="7371" w:type="dxa"/>
            <w:shd w:val="clear" w:color="auto" w:fill="FFFFFF"/>
          </w:tcPr>
          <w:p w:rsidR="00AE735B" w:rsidRPr="00BB5DE9" w:rsidP="00635C8C" w14:paraId="703B548E" w14:textId="77777777">
            <w:pPr>
              <w:pStyle w:val="RollCallTable"/>
              <w:rPr>
                <w:lang w:val="it-IT"/>
              </w:rPr>
            </w:pPr>
            <w:r w:rsidRPr="00BB5DE9">
              <w:rPr>
                <w:lang w:val="it-IT"/>
              </w:rPr>
              <w:t>Rachel Blom, György Hölvényi, Petra Steger</w:t>
            </w:r>
          </w:p>
        </w:tc>
      </w:tr>
      <w:tr w14:paraId="419ED19E" w14:textId="77777777" w:rsidTr="00635C8C">
        <w:tblPrEx>
          <w:tblW w:w="0" w:type="auto"/>
          <w:tblInd w:w="145" w:type="dxa"/>
          <w:tblLayout w:type="fixed"/>
          <w:tblCellMar>
            <w:left w:w="145" w:type="dxa"/>
            <w:right w:w="145" w:type="dxa"/>
          </w:tblCellMar>
          <w:tblLook w:val="0000"/>
        </w:tblPrEx>
        <w:trPr>
          <w:cantSplit/>
        </w:trPr>
        <w:tc>
          <w:tcPr>
            <w:tcW w:w="1701" w:type="dxa"/>
            <w:shd w:val="clear" w:color="auto" w:fill="FFFFFF"/>
          </w:tcPr>
          <w:p w:rsidR="00AE735B" w:rsidRPr="00BB5DE9" w:rsidP="00635C8C" w14:paraId="230CE9CA" w14:textId="77777777">
            <w:pPr>
              <w:pStyle w:val="RollCallTable"/>
              <w:rPr>
                <w:lang w:val="it-IT"/>
              </w:rPr>
            </w:pPr>
            <w:r w:rsidRPr="00BB5DE9">
              <w:rPr>
                <w:lang w:val="it-IT"/>
              </w:rPr>
              <w:t>The Left</w:t>
            </w:r>
          </w:p>
        </w:tc>
        <w:tc>
          <w:tcPr>
            <w:tcW w:w="7371" w:type="dxa"/>
            <w:shd w:val="clear" w:color="auto" w:fill="FFFFFF"/>
          </w:tcPr>
          <w:p w:rsidR="00AE735B" w:rsidRPr="00BB5DE9" w:rsidP="00635C8C" w14:paraId="4171B0F7" w14:textId="77777777">
            <w:pPr>
              <w:pStyle w:val="RollCallTable"/>
              <w:rPr>
                <w:lang w:val="it-IT"/>
              </w:rPr>
            </w:pPr>
            <w:r w:rsidRPr="00BB5DE9">
              <w:rPr>
                <w:lang w:val="it-IT"/>
              </w:rPr>
              <w:t>Marc Botenga, Marina Mesure</w:t>
            </w:r>
          </w:p>
        </w:tc>
      </w:tr>
    </w:tbl>
    <w:p w:rsidR="00AE735B" w:rsidRPr="00BB5DE9" w:rsidP="00DB1737" w14:paraId="04DC64BB" w14:textId="77777777"/>
    <w:tbl>
      <w:tblPr>
        <w:tblW w:w="0" w:type="auto"/>
        <w:tblInd w:w="145" w:type="dxa"/>
        <w:tblBorders>
          <w:top w:val="double" w:sz="2" w:space="0" w:color="000000"/>
          <w:left w:val="double" w:sz="2" w:space="0" w:color="000000"/>
          <w:bottom w:val="double" w:sz="2" w:space="0" w:color="000000"/>
          <w:right w:val="double" w:sz="2" w:space="0" w:color="000000"/>
          <w:insideH w:val="single" w:sz="2" w:space="0" w:color="000000"/>
          <w:insideV w:val="single" w:sz="2" w:space="0" w:color="000000"/>
        </w:tblBorders>
        <w:tblLayout w:type="fixed"/>
        <w:tblCellMar>
          <w:left w:w="145" w:type="dxa"/>
          <w:right w:w="145" w:type="dxa"/>
        </w:tblCellMar>
        <w:tblLook w:val="0000"/>
      </w:tblPr>
      <w:tblGrid>
        <w:gridCol w:w="1701"/>
        <w:gridCol w:w="7371"/>
      </w:tblGrid>
      <w:tr w14:paraId="28DD4ED2" w14:textId="77777777" w:rsidTr="00635C8C">
        <w:tblPrEx>
          <w:tblW w:w="0" w:type="auto"/>
          <w:tblInd w:w="145" w:type="dxa"/>
          <w:tblBorders>
            <w:top w:val="double" w:sz="2" w:space="0" w:color="000000"/>
            <w:left w:val="double" w:sz="2" w:space="0" w:color="000000"/>
            <w:bottom w:val="double" w:sz="2" w:space="0" w:color="000000"/>
            <w:right w:val="double" w:sz="2" w:space="0" w:color="000000"/>
            <w:insideH w:val="single" w:sz="2" w:space="0" w:color="000000"/>
            <w:insideV w:val="single" w:sz="2" w:space="0" w:color="000000"/>
          </w:tblBorders>
          <w:tblLayout w:type="fixed"/>
          <w:tblCellMar>
            <w:left w:w="145" w:type="dxa"/>
            <w:right w:w="145" w:type="dxa"/>
          </w:tblCellMar>
          <w:tblLook w:val="0000"/>
        </w:tblPrEx>
        <w:trPr>
          <w:cantSplit/>
        </w:trPr>
        <w:tc>
          <w:tcPr>
            <w:tcW w:w="1701" w:type="dxa"/>
            <w:shd w:val="pct10" w:color="000000" w:fill="FFFFFF"/>
            <w:vAlign w:val="center"/>
          </w:tcPr>
          <w:p w:rsidR="00AE735B" w:rsidRPr="00BB5DE9" w:rsidP="00635C8C" w14:paraId="1611149B" w14:textId="77777777">
            <w:pPr>
              <w:pStyle w:val="RollCallVotes"/>
              <w:rPr>
                <w:lang w:val="it-IT"/>
              </w:rPr>
            </w:pPr>
            <w:r w:rsidRPr="00BB5DE9">
              <w:rPr>
                <w:lang w:val="it-IT"/>
              </w:rPr>
              <w:t>5</w:t>
            </w:r>
          </w:p>
        </w:tc>
        <w:tc>
          <w:tcPr>
            <w:tcW w:w="7371" w:type="dxa"/>
            <w:shd w:val="pct10" w:color="000000" w:fill="FFFFFF"/>
          </w:tcPr>
          <w:p w:rsidR="00AE735B" w:rsidRPr="00BB5DE9" w:rsidP="00635C8C" w14:paraId="28503A67" w14:textId="77777777">
            <w:pPr>
              <w:pStyle w:val="RollCallSymbols14pt"/>
              <w:rPr>
                <w:lang w:val="it-IT"/>
              </w:rPr>
            </w:pPr>
            <w:r w:rsidRPr="00BB5DE9">
              <w:rPr>
                <w:lang w:val="it-IT"/>
              </w:rPr>
              <w:t>0</w:t>
            </w:r>
          </w:p>
        </w:tc>
      </w:tr>
      <w:tr w14:paraId="3DB5923B" w14:textId="77777777" w:rsidTr="00635C8C">
        <w:tblPrEx>
          <w:tblW w:w="0" w:type="auto"/>
          <w:tblInd w:w="145" w:type="dxa"/>
          <w:tblLayout w:type="fixed"/>
          <w:tblCellMar>
            <w:left w:w="145" w:type="dxa"/>
            <w:right w:w="145" w:type="dxa"/>
          </w:tblCellMar>
          <w:tblLook w:val="0000"/>
        </w:tblPrEx>
        <w:trPr>
          <w:cantSplit/>
        </w:trPr>
        <w:tc>
          <w:tcPr>
            <w:tcW w:w="1701" w:type="dxa"/>
            <w:shd w:val="clear" w:color="auto" w:fill="FFFFFF"/>
          </w:tcPr>
          <w:p w:rsidR="00AE735B" w:rsidRPr="00BB5DE9" w:rsidP="00635C8C" w14:paraId="4D259A1E" w14:textId="77777777">
            <w:pPr>
              <w:pStyle w:val="RollCallTable"/>
              <w:rPr>
                <w:lang w:val="it-IT"/>
              </w:rPr>
            </w:pPr>
            <w:r w:rsidRPr="00BB5DE9">
              <w:rPr>
                <w:lang w:val="it-IT"/>
              </w:rPr>
              <w:t>ECR</w:t>
            </w:r>
          </w:p>
        </w:tc>
        <w:tc>
          <w:tcPr>
            <w:tcW w:w="7371" w:type="dxa"/>
            <w:shd w:val="clear" w:color="auto" w:fill="FFFFFF"/>
          </w:tcPr>
          <w:p w:rsidR="00AE735B" w:rsidRPr="00BB5DE9" w:rsidP="00635C8C" w14:paraId="369643D8" w14:textId="77777777">
            <w:pPr>
              <w:pStyle w:val="RollCallTable"/>
              <w:rPr>
                <w:lang w:val="it-IT"/>
              </w:rPr>
            </w:pPr>
            <w:r w:rsidRPr="00BB5DE9">
              <w:rPr>
                <w:lang w:val="it-IT"/>
              </w:rPr>
              <w:t>Elena Donazzan, Alberico Gambino, Reinis Pozņaks, Alexandr Vondra</w:t>
            </w:r>
          </w:p>
        </w:tc>
      </w:tr>
      <w:tr w14:paraId="356BF80D" w14:textId="77777777" w:rsidTr="00635C8C">
        <w:tblPrEx>
          <w:tblW w:w="0" w:type="auto"/>
          <w:tblInd w:w="145" w:type="dxa"/>
          <w:tblLayout w:type="fixed"/>
          <w:tblCellMar>
            <w:left w:w="145" w:type="dxa"/>
            <w:right w:w="145" w:type="dxa"/>
          </w:tblCellMar>
          <w:tblLook w:val="0000"/>
        </w:tblPrEx>
        <w:trPr>
          <w:cantSplit/>
        </w:trPr>
        <w:tc>
          <w:tcPr>
            <w:tcW w:w="1701" w:type="dxa"/>
            <w:shd w:val="clear" w:color="auto" w:fill="FFFFFF"/>
          </w:tcPr>
          <w:p w:rsidR="00AE735B" w:rsidRPr="00BB5DE9" w:rsidP="00635C8C" w14:paraId="79B7B653" w14:textId="77777777">
            <w:pPr>
              <w:pStyle w:val="RollCallTable"/>
              <w:rPr>
                <w:lang w:val="it-IT"/>
              </w:rPr>
            </w:pPr>
            <w:r w:rsidRPr="00BB5DE9">
              <w:rPr>
                <w:lang w:val="it-IT"/>
              </w:rPr>
              <w:t>PfE</w:t>
            </w:r>
          </w:p>
        </w:tc>
        <w:tc>
          <w:tcPr>
            <w:tcW w:w="7371" w:type="dxa"/>
            <w:shd w:val="clear" w:color="auto" w:fill="FFFFFF"/>
          </w:tcPr>
          <w:p w:rsidR="00AE735B" w:rsidRPr="00BB5DE9" w:rsidP="00635C8C" w14:paraId="17DA86A4" w14:textId="77777777">
            <w:pPr>
              <w:pStyle w:val="RollCallTable"/>
              <w:rPr>
                <w:lang w:val="it-IT"/>
              </w:rPr>
            </w:pPr>
            <w:r w:rsidRPr="00BB5DE9">
              <w:rPr>
                <w:lang w:val="it-IT"/>
              </w:rPr>
              <w:t>Pierre-Romain Thionnet</w:t>
            </w:r>
          </w:p>
        </w:tc>
      </w:tr>
    </w:tbl>
    <w:p w:rsidR="00AE735B" w:rsidRPr="00BB5DE9" w:rsidP="00DB1737" w14:paraId="0A17E697" w14:textId="77777777">
      <w:pPr>
        <w:pStyle w:val="Normal12a"/>
        <w:rPr>
          <w:lang w:val="it-IT"/>
        </w:rPr>
      </w:pPr>
    </w:p>
    <w:p w:rsidR="00AE735B" w:rsidRPr="00BB5DE9" w:rsidP="00DB1737" w14:paraId="51F5D67E" w14:textId="77777777">
      <w:r w:rsidRPr="00BB5DE9">
        <w:t>Significato dei simboli utilizzati:</w:t>
      </w:r>
    </w:p>
    <w:p w:rsidR="00AE735B" w:rsidRPr="00BB5DE9" w:rsidP="00DB1737" w14:paraId="5F327CFC" w14:textId="77777777">
      <w:pPr>
        <w:pStyle w:val="RollCallTabs"/>
        <w:rPr>
          <w:lang w:val="it-IT"/>
        </w:rPr>
      </w:pPr>
      <w:r w:rsidRPr="00BB5DE9">
        <w:rPr>
          <w:lang w:val="it-IT"/>
        </w:rPr>
        <w:t>+</w:t>
      </w:r>
      <w:r w:rsidRPr="00BB5DE9">
        <w:rPr>
          <w:lang w:val="it-IT"/>
        </w:rPr>
        <w:tab/>
        <w:t>:</w:t>
      </w:r>
      <w:r w:rsidRPr="00BB5DE9">
        <w:rPr>
          <w:lang w:val="it-IT"/>
        </w:rPr>
        <w:tab/>
        <w:t>favorevoli</w:t>
      </w:r>
    </w:p>
    <w:p w:rsidR="00AE735B" w:rsidRPr="00BB5DE9" w:rsidP="00DB1737" w14:paraId="2EF1A7E4" w14:textId="77777777">
      <w:pPr>
        <w:pStyle w:val="RollCallTabs"/>
        <w:rPr>
          <w:lang w:val="it-IT"/>
        </w:rPr>
      </w:pPr>
      <w:r w:rsidRPr="00BB5DE9">
        <w:rPr>
          <w:lang w:val="it-IT"/>
        </w:rPr>
        <w:t>-</w:t>
      </w:r>
      <w:r w:rsidRPr="00BB5DE9">
        <w:rPr>
          <w:lang w:val="it-IT"/>
        </w:rPr>
        <w:tab/>
        <w:t>:</w:t>
      </w:r>
      <w:r w:rsidRPr="00BB5DE9">
        <w:rPr>
          <w:lang w:val="it-IT"/>
        </w:rPr>
        <w:tab/>
        <w:t>contrari</w:t>
      </w:r>
    </w:p>
    <w:p w:rsidR="00AE735B" w:rsidRPr="00BB5DE9" w:rsidP="00DB1737" w14:paraId="07C28F3A" w14:textId="77777777">
      <w:pPr>
        <w:pStyle w:val="RollCallTabs"/>
        <w:rPr>
          <w:lang w:val="it-IT"/>
        </w:rPr>
      </w:pPr>
      <w:r w:rsidRPr="00BB5DE9">
        <w:rPr>
          <w:lang w:val="it-IT"/>
        </w:rPr>
        <w:t>0</w:t>
      </w:r>
      <w:r w:rsidRPr="00BB5DE9">
        <w:rPr>
          <w:lang w:val="it-IT"/>
        </w:rPr>
        <w:tab/>
        <w:t>:</w:t>
      </w:r>
      <w:r w:rsidRPr="00BB5DE9">
        <w:rPr>
          <w:lang w:val="it-IT"/>
        </w:rPr>
        <w:tab/>
        <w:t>astenuti</w:t>
      </w:r>
    </w:p>
    <w:p w:rsidR="00AE735B" w:rsidRPr="00BB5DE9" w:rsidP="00F62AD4" w14:paraId="4DFD5CCA" w14:textId="77777777">
      <w:pPr>
        <w:tabs>
          <w:tab w:val="center" w:pos="4395"/>
          <w:tab w:val="right" w:pos="9639"/>
        </w:tabs>
        <w:rPr>
          <w:szCs w:val="24"/>
        </w:rPr>
      </w:pPr>
    </w:p>
    <w:p w:rsidR="00AE735B" w:rsidRPr="00BB5DE9" w:rsidP="00F62AD4" w14:paraId="0BDD9E7B" w14:textId="77777777">
      <w:pPr>
        <w:tabs>
          <w:tab w:val="center" w:pos="4395"/>
          <w:tab w:val="right" w:pos="9639"/>
        </w:tabs>
        <w:rPr>
          <w:szCs w:val="24"/>
        </w:rPr>
      </w:pPr>
    </w:p>
    <w:p w:rsidR="00AE735B" w:rsidRPr="00BB5DE9" w:rsidP="00F62AD4" w14:paraId="50159A24" w14:textId="77777777">
      <w:pPr>
        <w:tabs>
          <w:tab w:val="center" w:pos="4395"/>
          <w:tab w:val="right" w:pos="9639"/>
        </w:tabs>
        <w:rPr>
          <w:szCs w:val="24"/>
        </w:rPr>
      </w:pPr>
    </w:p>
    <w:p w:rsidR="00AE735B" w:rsidRPr="00BB5DE9" w:rsidP="00F62AD4" w14:paraId="67C73F87" w14:textId="77777777">
      <w:pPr>
        <w:tabs>
          <w:tab w:val="center" w:pos="4395"/>
          <w:tab w:val="right" w:pos="9639"/>
        </w:tabs>
        <w:rPr>
          <w:szCs w:val="24"/>
        </w:rPr>
      </w:pPr>
    </w:p>
    <w:p w:rsidR="00AE735B" w:rsidRPr="00BB5DE9" w:rsidP="00F62AD4" w14:paraId="61DCFFD3" w14:textId="77777777">
      <w:pPr>
        <w:tabs>
          <w:tab w:val="center" w:pos="4395"/>
          <w:tab w:val="right" w:pos="9639"/>
        </w:tabs>
        <w:rPr>
          <w:szCs w:val="24"/>
        </w:rPr>
      </w:pPr>
    </w:p>
    <w:p w:rsidR="00AE735B" w:rsidRPr="00BB5DE9" w:rsidP="00F62AD4" w14:paraId="764F1D10" w14:textId="77777777">
      <w:pPr>
        <w:tabs>
          <w:tab w:val="center" w:pos="4395"/>
          <w:tab w:val="right" w:pos="9639"/>
        </w:tabs>
        <w:rPr>
          <w:szCs w:val="24"/>
        </w:rPr>
      </w:pPr>
    </w:p>
    <w:p w:rsidR="00AE735B" w:rsidRPr="00BB5DE9" w:rsidP="00F62AD4" w14:paraId="541ADFBB" w14:textId="77777777">
      <w:pPr>
        <w:tabs>
          <w:tab w:val="center" w:pos="4395"/>
          <w:tab w:val="right" w:pos="9639"/>
        </w:tabs>
        <w:rPr>
          <w:szCs w:val="24"/>
        </w:rPr>
      </w:pPr>
    </w:p>
    <w:p w:rsidR="00AE735B" w:rsidRPr="00BB5DE9" w:rsidP="006E3E72" w14:paraId="2605D896" w14:textId="77777777"/>
    <w:p w:rsidR="00AE735B" w:rsidRPr="00BB5DE9" w:rsidP="00AE735B" w14:paraId="1FD0627A" w14:textId="77777777">
      <w:pPr>
        <w:rPr>
          <w:snapToGrid/>
          <w:lang w:eastAsia="en-GB"/>
        </w:rPr>
        <w:sectPr w:rsidSect="00AE735B">
          <w:footnotePr>
            <w:numRestart w:val="eachSect"/>
          </w:footnotePr>
          <w:endnotePr>
            <w:numFmt w:val="decimal"/>
          </w:endnotePr>
          <w:pgSz w:w="11906" w:h="16838" w:code="9"/>
          <w:pgMar w:top="1134" w:right="1418" w:bottom="1134" w:left="1418" w:header="1134" w:footer="567" w:gutter="0"/>
          <w:cols w:space="720"/>
          <w:noEndnote/>
          <w:docGrid w:linePitch="326"/>
        </w:sectPr>
      </w:pPr>
    </w:p>
    <w:p w:rsidR="00AE735B" w:rsidRPr="00BB5DE9" w:rsidP="00AE735B" w14:paraId="76217D2C" w14:textId="77777777">
      <w:pPr>
        <w:pStyle w:val="Normal24a"/>
        <w:rPr>
          <w:lang w:val="it-IT"/>
        </w:rPr>
      </w:pPr>
      <w:r w:rsidRPr="00BB5DE9">
        <w:rPr>
          <w:rStyle w:val="HideTWBExt"/>
          <w:lang w:val="it-IT"/>
        </w:rPr>
        <w:t>&lt;Date&gt;</w:t>
      </w:r>
      <w:r w:rsidRPr="00BB5DE9">
        <w:rPr>
          <w:rStyle w:val="HideTWBInt"/>
          <w:lang w:val="it-IT"/>
        </w:rPr>
        <w:t>{23/07/2026}</w:t>
      </w:r>
      <w:r w:rsidRPr="00BB5DE9">
        <w:rPr>
          <w:lang w:val="it-IT"/>
        </w:rPr>
        <w:t>23.7.2026</w:t>
      </w:r>
      <w:r w:rsidRPr="00BB5DE9">
        <w:rPr>
          <w:rStyle w:val="HideTWBExt"/>
          <w:lang w:val="it-IT"/>
        </w:rPr>
        <w:t>&lt;/Date&gt;</w:t>
      </w:r>
    </w:p>
    <w:p w:rsidR="00AE735B" w:rsidRPr="00BB5DE9" w:rsidP="00AE735B" w14:paraId="408D5834" w14:textId="084AE7F4">
      <w:pPr>
        <w:pStyle w:val="PageHeading"/>
      </w:pPr>
      <w:bookmarkStart w:id="37" w:name="OpinionToc_13"/>
      <w:bookmarkStart w:id="38" w:name="_Toc243036430"/>
      <w:r w:rsidRPr="00BB5DE9">
        <w:t>LETTERA DELLA COMMISSIONE PER IL CONTROLLO DEI BILANCI</w:t>
      </w:r>
      <w:bookmarkEnd w:id="37"/>
      <w:bookmarkEnd w:id="38"/>
    </w:p>
    <w:p w:rsidR="00AE735B" w:rsidRPr="00BB5DE9" w:rsidP="00C21444" w14:paraId="097D92EC" w14:textId="77777777">
      <w:pPr>
        <w:widowControl/>
      </w:pPr>
      <w:r w:rsidRPr="00BB5DE9">
        <w:t>On. Johan Van Overtveldt</w:t>
      </w:r>
    </w:p>
    <w:p w:rsidR="00AE735B" w:rsidRPr="00BB5DE9" w:rsidP="00C21444" w14:paraId="317A0B8D" w14:textId="77777777">
      <w:pPr>
        <w:widowControl/>
      </w:pPr>
      <w:r w:rsidRPr="00BB5DE9">
        <w:t>Presidente</w:t>
      </w:r>
    </w:p>
    <w:p w:rsidR="00AE735B" w:rsidRPr="00BB5DE9" w:rsidP="00C21444" w14:paraId="3219F352" w14:textId="77777777">
      <w:pPr>
        <w:widowControl/>
      </w:pPr>
      <w:r w:rsidRPr="00BB5DE9">
        <w:t>Commissione per i bilanci</w:t>
      </w:r>
    </w:p>
    <w:p w:rsidR="00AE735B" w:rsidRPr="00BB5DE9" w:rsidP="00C21444" w14:paraId="28985520" w14:textId="77777777">
      <w:pPr>
        <w:widowControl/>
      </w:pPr>
      <w:r w:rsidRPr="00BB5DE9">
        <w:t>BRUXELLES</w:t>
      </w:r>
    </w:p>
    <w:p w:rsidR="00AE735B" w:rsidRPr="00BB5DE9" w:rsidP="00C21444" w14:paraId="77067946" w14:textId="77777777">
      <w:pPr>
        <w:pStyle w:val="LetterSubject"/>
        <w:widowControl/>
      </w:pPr>
      <w:r w:rsidRPr="00BB5DE9">
        <w:t>Oggetto:</w:t>
      </w:r>
      <w:r w:rsidRPr="00BB5DE9">
        <w:tab/>
      </w:r>
      <w:r w:rsidRPr="00BB5DE9">
        <w:rPr>
          <w:rStyle w:val="HideTWBExt"/>
        </w:rPr>
        <w:t>&lt;Titre&gt;</w:t>
      </w:r>
      <w:r w:rsidRPr="00BB5DE9">
        <w:t>Parere sul bilancio generale dell'Unione europea per l'esercizio 2027 – Tutte le sezioni</w:t>
      </w:r>
      <w:r w:rsidRPr="00BB5DE9">
        <w:rPr>
          <w:rStyle w:val="HideTWBExt"/>
        </w:rPr>
        <w:t>&lt;/Titre&gt;</w:t>
      </w:r>
      <w:r w:rsidRPr="00BB5DE9">
        <w:t xml:space="preserve"> </w:t>
      </w:r>
      <w:r w:rsidRPr="00BB5DE9">
        <w:rPr>
          <w:rStyle w:val="HideTWBExt"/>
        </w:rPr>
        <w:t>&lt;DocRef&gt;</w:t>
      </w:r>
      <w:r w:rsidRPr="00BB5DE9">
        <w:t>(2026/0196(BUD))</w:t>
      </w:r>
      <w:r w:rsidRPr="00BB5DE9">
        <w:rPr>
          <w:rStyle w:val="HideTWBExt"/>
        </w:rPr>
        <w:t>&lt;/DocRef&gt;</w:t>
      </w:r>
    </w:p>
    <w:p w:rsidR="00AE735B" w:rsidRPr="00BB5DE9" w:rsidP="00C21444" w14:paraId="4E676BAA" w14:textId="77777777">
      <w:pPr>
        <w:pStyle w:val="LetterSalutation"/>
        <w:widowControl/>
        <w:spacing w:before="480"/>
      </w:pPr>
      <w:r w:rsidRPr="00BB5DE9">
        <w:t>Signor Presidente,</w:t>
      </w:r>
    </w:p>
    <w:p w:rsidR="00AE735B" w:rsidRPr="00BB5DE9" w:rsidP="00C21444" w14:paraId="709A2EB3" w14:textId="77777777">
      <w:pPr>
        <w:pStyle w:val="Normal12a"/>
        <w:widowControl/>
        <w:rPr>
          <w:lang w:val="it-IT"/>
        </w:rPr>
      </w:pPr>
      <w:r w:rsidRPr="00BB5DE9">
        <w:rPr>
          <w:lang w:val="it-IT"/>
        </w:rPr>
        <w:t>nel quadro della procedura in oggetto la commissione per il controllo dei bilanci è stata incaricata di sottoporre un parere alla Sua commissione.</w:t>
      </w:r>
    </w:p>
    <w:p w:rsidR="00AE735B" w:rsidRPr="00BB5DE9" w:rsidP="00C21444" w14:paraId="65FE6FFA" w14:textId="77777777">
      <w:pPr>
        <w:pStyle w:val="Normal12a"/>
        <w:widowControl/>
        <w:rPr>
          <w:lang w:val="it-IT"/>
        </w:rPr>
      </w:pPr>
      <w:r w:rsidRPr="00BB5DE9">
        <w:rPr>
          <w:lang w:val="it-IT"/>
        </w:rPr>
        <w:t>La riforma del Parlamento europeo del 2024 ha sottolineato, tra l'altro, che le procedure di bilancio e di discarico sono collegate e che i risultati della procedura di discarico dovrebbero trovare naturale riscontro nella procedura di bilancio e viceversa. La commissione per il controllo dei bilanci (CONT) ritiene che le risoluzioni della procedura di discarico per il 2024, approvate in Aula nell'aprile 2026, contengano diverse osservazioni e raccomandazioni pertinenti per la procedura di bilancio 2027.</w:t>
      </w:r>
    </w:p>
    <w:p w:rsidR="00AE735B" w:rsidRPr="00BB5DE9" w:rsidP="00C21444" w14:paraId="6D1AB9D6" w14:textId="77777777">
      <w:pPr>
        <w:pStyle w:val="Normal12a"/>
        <w:widowControl/>
        <w:rPr>
          <w:lang w:val="it-IT"/>
        </w:rPr>
      </w:pPr>
      <w:r w:rsidRPr="00BB5DE9">
        <w:rPr>
          <w:lang w:val="it-IT"/>
        </w:rPr>
        <w:t>La commissione CONT ha esaminato la questione nella riunione del 14 luglio 2026 e ha deciso di esprimere un parere sotto forma di lettera, invitando la commissione per i bilanci, competente per il merito, a includere nella proposta di risoluzione che approverà i seguenti suggerimenti. Il presente parere, sotto forma di lettera, dovrebbe essere letto congiuntamente agli emendamenti di bilancio presentati dalla commissione CONT.</w:t>
      </w:r>
    </w:p>
    <w:p w:rsidR="00AE735B" w:rsidRPr="00BB5DE9" w:rsidP="00C21444" w14:paraId="355835C9" w14:textId="77777777">
      <w:pPr>
        <w:pStyle w:val="Normal12a"/>
        <w:widowControl/>
        <w:spacing w:after="840"/>
        <w:rPr>
          <w:lang w:val="it-IT"/>
        </w:rPr>
      </w:pPr>
      <w:r w:rsidRPr="00BB5DE9">
        <w:rPr>
          <w:lang w:val="it-IT"/>
        </w:rPr>
        <w:t>Voglia gradire, signor Presidente, i sensi della mia più profonda stima.</w:t>
      </w:r>
    </w:p>
    <w:p w:rsidR="00AE735B" w:rsidRPr="00BB5DE9" w:rsidP="00C21444" w14:paraId="1414415B" w14:textId="77777777">
      <w:pPr>
        <w:widowControl/>
      </w:pPr>
      <w:r w:rsidRPr="00BB5DE9">
        <w:t>(f.to) Andreas Schwab</w:t>
      </w:r>
      <w:r w:rsidRPr="00BB5DE9">
        <w:tab/>
      </w:r>
      <w:r w:rsidRPr="00BB5DE9">
        <w:tab/>
      </w:r>
      <w:r w:rsidRPr="00BB5DE9">
        <w:tab/>
      </w:r>
      <w:r w:rsidRPr="00BB5DE9">
        <w:tab/>
        <w:t>Daniel Freund</w:t>
      </w:r>
    </w:p>
    <w:p w:rsidR="00AE735B" w:rsidRPr="00BB5DE9" w:rsidP="00C21444" w14:paraId="681BF1A9" w14:textId="77777777">
      <w:pPr>
        <w:widowControl/>
      </w:pPr>
    </w:p>
    <w:p w:rsidR="00821202" w:rsidRPr="00BB5DE9" w:rsidP="00C21444" w14:paraId="1312C3AD" w14:textId="63BD7CD4">
      <w:pPr>
        <w:widowControl/>
        <w:ind w:left="5040" w:hanging="5040"/>
      </w:pPr>
      <w:r w:rsidRPr="00BB5DE9">
        <w:t>Presidente della commissione CONT</w:t>
      </w:r>
      <w:r w:rsidRPr="00BB5DE9">
        <w:tab/>
        <w:t>Relatore per il discarico alla Commissione per l'esercizio 2024</w:t>
      </w:r>
    </w:p>
    <w:p w:rsidR="00821202" w:rsidRPr="00BB5DE9" w14:paraId="776AABFA" w14:textId="77777777">
      <w:pPr>
        <w:widowControl/>
      </w:pPr>
      <w:r w:rsidRPr="00BB5DE9">
        <w:br w:type="page"/>
      </w:r>
    </w:p>
    <w:p w:rsidR="00AE735B" w:rsidRPr="00BB5DE9" w:rsidP="00C21444" w14:paraId="5D6E18E2" w14:textId="77777777">
      <w:pPr>
        <w:widowControl/>
        <w:ind w:left="5040" w:hanging="5040"/>
      </w:pPr>
    </w:p>
    <w:p w:rsidR="00AE735B" w:rsidRPr="00BB5DE9" w:rsidP="00C21444" w14:paraId="51E9912C" w14:textId="77777777">
      <w:pPr>
        <w:pStyle w:val="PageHeadingNotTOC"/>
        <w:widowControl/>
      </w:pPr>
      <w:r w:rsidRPr="00BB5DE9">
        <w:t>SUGGERIMENTI</w:t>
      </w:r>
    </w:p>
    <w:p w:rsidR="00AE735B" w:rsidRPr="00BB5DE9" w:rsidP="00A3778E" w14:paraId="08733036" w14:textId="77777777">
      <w:pPr>
        <w:pStyle w:val="NormalHanging12a"/>
        <w:widowControl/>
        <w:ind w:right="-569"/>
      </w:pPr>
      <w:r w:rsidRPr="00BB5DE9">
        <w:t>1.</w:t>
      </w:r>
      <w:r w:rsidRPr="00BB5DE9">
        <w:tab/>
        <w:t>ribadisce il suo forte impegno a sostegno dei principi e dei valori fondamentali sanciti nel trattato sull'Unione europea (TUE) e nel trattato sul funzionamento dell'Unione europea (TFUE); sottolinea la necessità di tutelare gli interessi finanziari dell'UE e di fare in modo che i suoi interventi avvengano nel rispetto dei principi generali sanciti dai trattati, in particolare i valori di cui agli articoli 1, 2, 10 e 11 TUE e all'articolo 15 TFUE, e del principio della sana gestione finanziaria sancito dall'articolo 317 TFUE e dal regolamento finanziario</w:t>
      </w:r>
      <w:r>
        <w:rPr>
          <w:vertAlign w:val="superscript"/>
        </w:rPr>
        <w:footnoteReference w:id="32"/>
      </w:r>
      <w:r w:rsidRPr="00BB5DE9">
        <w:t>;</w:t>
      </w:r>
    </w:p>
    <w:p w:rsidR="00AE735B" w:rsidRPr="00BB5DE9" w:rsidP="00C21444" w14:paraId="460D3852" w14:textId="77777777">
      <w:pPr>
        <w:pStyle w:val="NormalHanging12a"/>
        <w:widowControl/>
      </w:pPr>
      <w:r w:rsidRPr="00BB5DE9">
        <w:t>2.</w:t>
      </w:r>
      <w:r w:rsidRPr="00BB5DE9">
        <w:tab/>
        <w:t>ritiene che lo sviluppo di nuove risorse proprie effettive sia essenziale per garantire che il rimborso del debito non vada a scapito delle priorità politiche dell'UE nell'ambito dei futuri quadri finanziari pluriennali;</w:t>
      </w:r>
    </w:p>
    <w:p w:rsidR="00AE735B" w:rsidRPr="00BB5DE9" w:rsidP="00A3778E" w14:paraId="04367E2E" w14:textId="77777777">
      <w:pPr>
        <w:pStyle w:val="NormalHanging12a"/>
        <w:widowControl/>
        <w:ind w:right="-569"/>
      </w:pPr>
      <w:r w:rsidRPr="00BB5DE9">
        <w:t>3.</w:t>
      </w:r>
      <w:r w:rsidRPr="00BB5DE9">
        <w:tab/>
        <w:t>rimarca con preoccupazione che le carenze in materia di Stato di diritto, quadri anticorruzione e bilanciamento dei poteri a livello istituzionale in alcuni Stati membri comportano rischi per la tutela degli interessi finanziari dell'Unione e la sana gestione dei suoi fondi; sottolinea in proposito la grande importanza del meccanismo di condizionalità dello Stato di diritto per la tutela del bilancio dell'UE; invita la Commissione a continuare a trattare le violazioni dei principi dello Stato di diritto in conformità del regolamento sulla condizionalità dello Stato di diritto</w:t>
      </w:r>
      <w:r>
        <w:rPr>
          <w:vertAlign w:val="superscript"/>
        </w:rPr>
        <w:footnoteReference w:id="33"/>
      </w:r>
      <w:r w:rsidRPr="00BB5DE9">
        <w:t xml:space="preserve"> allorché incidono sugli interessi finanziari dell'UE o hanno in grave impatto sui medesimi; ricorda che la Commissione dispone di un'ampia gamma di strumenti per contrastare tali rischi e proteggere il bilancio dell'UE; insiste sul fatto che tali strumenti dovrebbero essere utilizzati in modo coerente, costante, oggettivo e trasparente; evidenzia pertanto l'importanza di parametri di riferimento chiari, di fasi di attuazione verificabili e di un monitoraggio efficace nell'applicazione delle misure a norma del regolamento sulla condizionalità dello Stato di diritto e del regolamento recante disposizioni comuni</w:t>
      </w:r>
      <w:r>
        <w:rPr>
          <w:vertAlign w:val="superscript"/>
        </w:rPr>
        <w:footnoteReference w:id="34"/>
      </w:r>
      <w:r w:rsidRPr="00BB5DE9">
        <w:t>, così come di qualsiasi altro strumento di finanziamento dell'UE, al fine di garantire la certezza del diritto e l'allineamento alle relazioni annuali della Commissione sullo Stato di diritto; ricorda la propria posizione secondo cui i fondi sospesi ai sensi del regolamento sulla condizionalità dello Stato di diritto o in ragione del mancato rispetto delle condizioni abilitanti orizzontali non dovrebbero essere utilizzati nell'ambito delle modifiche di programmi o di storni;</w:t>
      </w:r>
    </w:p>
    <w:p w:rsidR="00AE735B" w:rsidRPr="00BB5DE9" w:rsidP="00A3778E" w14:paraId="39935CC4" w14:textId="77777777">
      <w:pPr>
        <w:pStyle w:val="NormalHanging12a"/>
        <w:widowControl/>
        <w:ind w:right="-569"/>
      </w:pPr>
      <w:r w:rsidRPr="00BB5DE9">
        <w:t>4.</w:t>
      </w:r>
      <w:r w:rsidRPr="00BB5DE9">
        <w:tab/>
        <w:t xml:space="preserve">sottolinea che i fondi dell'UE non devono essere destinati ad attività che compromettono la democrazia, lo Stato di diritto o altri valori dell'UE o i diritti fondamentali; riconosce l'importante ruolo svolto dalle parti interessate nel preservare lo Stato di diritto, la democrazia e i diritti fondamentali; insiste sul fatto che i finanziamenti dell'UE erogati alle parti </w:t>
      </w:r>
      <w:r w:rsidRPr="00BB5DE9">
        <w:t>interessate dovrebbero essere trasparenti, soggetti a meccanismi di rendicontabilità e di controllo e attuati nel pieno rispetto dei principi di sana gestione finanziaria e del regolamento finanziario; ricorda, a tale proposito, la raccomandazione formulata dall'autorità di discarico nella sua risoluzione sul discarico alla Commissione per l'esercizio 2024</w:t>
      </w:r>
      <w:r>
        <w:rPr>
          <w:vertAlign w:val="superscript"/>
        </w:rPr>
        <w:footnoteReference w:id="35"/>
      </w:r>
      <w:r w:rsidRPr="00BB5DE9">
        <w:t xml:space="preserve"> per quanto riguarda il rispetto dei principi di un processo legislativo trasparente, basato su dati concreti e inclusivo; insiste sulla necessità di attuare pienamente tutte le raccomandazioni sul discarico alla Commissione, comprese quelle relative al programma "UE per la salute" (EU4Health);</w:t>
      </w:r>
    </w:p>
    <w:p w:rsidR="00AE735B" w:rsidRPr="00BB5DE9" w:rsidP="00C21444" w14:paraId="655A8B91" w14:textId="77777777">
      <w:pPr>
        <w:pStyle w:val="NormalHanging12a"/>
        <w:widowControl/>
      </w:pPr>
      <w:r w:rsidRPr="00BB5DE9">
        <w:t>5.</w:t>
      </w:r>
      <w:r w:rsidRPr="00BB5DE9">
        <w:tab/>
        <w:t>insiste sull'importanza di semplificare ulteriormente i programmi di finanziamento dell'UE, mantenendo nel contempo un rigoroso livello di controllo finanziario; invita la Commissione a ridurre gli oneri amministrativi superflui per i beneficiari finali senza indebolire le garanzie contro le frodi, la corruzione e i conflitti d'interesse;</w:t>
      </w:r>
    </w:p>
    <w:p w:rsidR="00AE735B" w:rsidRPr="00BB5DE9" w:rsidP="00A3778E" w14:paraId="5DA914A3" w14:textId="77777777">
      <w:pPr>
        <w:pStyle w:val="NormalHanging12a"/>
        <w:widowControl/>
        <w:ind w:right="-569"/>
      </w:pPr>
      <w:r w:rsidRPr="00BB5DE9">
        <w:t>6.</w:t>
      </w:r>
      <w:r w:rsidRPr="00BB5DE9">
        <w:tab/>
        <w:t>invita la Commissione a proseguire il potenziamento della prevenzione e della gestione dei conflitti d'interesse, anche attraverso una maggiore trasparenza delle informazioni sulla titolarità effettiva e controlli efficaci basati sul rischio in tutte le modalità di gestione;</w:t>
      </w:r>
    </w:p>
    <w:p w:rsidR="00AE735B" w:rsidRPr="00BB5DE9" w:rsidP="00C21444" w14:paraId="3A899EB0" w14:textId="77777777">
      <w:pPr>
        <w:pStyle w:val="NormalHanging12a"/>
        <w:widowControl/>
      </w:pPr>
      <w:r w:rsidRPr="00BB5DE9">
        <w:t>7.</w:t>
      </w:r>
      <w:r w:rsidRPr="00BB5DE9">
        <w:tab/>
        <w:t>ricorda l'importanza di utilizzare le nuove tecnologie per difendere il bilancio dell'UE dalle frodi e dall'uso improprio dei fondi; esorta la Commissione ad accelerare la diffusione di strumenti interoperabili antifrode, di valutazione del rischio e di estrazione di dati in tutte le modalità di gestione, consentendo controlli incrociati sulla titolarità effettiva, sugli indicatori di rischio degli appalti e sui segnali di doppio finanziamento; ribadisce l'urgente necessità di un maggiore ricorso agli strumenti di estrazione dei dati e di intelligenza artificiale, ove opportuno e nel rispetto delle norme dell'UE in materia di protezione dei dati, per contrastare efficacemente le frodi e le irregolarità; si attende che lo strumento interoperabile di valutazione del rischio e di estrazione di dati basato su ARACHNE sia pienamente operativo entro la fine del 2027, conformemente all'accordo raggiunto durante la rifusione del regolamento finanziario;</w:t>
      </w:r>
    </w:p>
    <w:p w:rsidR="00AE735B" w:rsidRPr="00BB5DE9" w:rsidP="00A3778E" w14:paraId="4C9987E0" w14:textId="77777777">
      <w:pPr>
        <w:pStyle w:val="NormalHanging12a"/>
        <w:widowControl/>
        <w:ind w:right="-569"/>
      </w:pPr>
      <w:r w:rsidRPr="00BB5DE9">
        <w:t>8.</w:t>
      </w:r>
      <w:r w:rsidRPr="00BB5DE9">
        <w:tab/>
        <w:t>sottolinea l'importanza della trasparenza, anche nell'ambito del dispositivo per la ripresa e la resilienza, e ribadisce che informazioni complete e affidabili sui destinatari finali sono indispensabili per evitare l'uso improprio dei fondi, individuare le frodi e garantire pari norme in materia di rendicontabilità in tutte le modalità di gestione e in ogni Stato membro;</w:t>
      </w:r>
    </w:p>
    <w:p w:rsidR="00AE735B" w:rsidRPr="00BB5DE9" w:rsidP="00C21444" w14:paraId="38FE7038" w14:textId="77777777">
      <w:pPr>
        <w:pStyle w:val="NormalHanging12a"/>
        <w:widowControl/>
      </w:pPr>
      <w:r w:rsidRPr="00BB5DE9">
        <w:t>9.</w:t>
      </w:r>
      <w:r w:rsidRPr="00BB5DE9">
        <w:tab/>
        <w:t xml:space="preserve">plaude al lavoro della Commissione sullo sportello unico e insiste sull'importanza di garantirne lo sviluppo in tempo utile e la piena operatività entro il 1º gennaio 2028; sottolinea che le informazioni disponibili tramite lo sportello unico dovrebbero essere aggiornate in tempo reale, o non appena disponibili, essere presentate in modo facilmente fruibile e consentire l'estrazione di dati relativi a periodi di riferimento e orizzonti temporali specifici, anche grazie a istantanee storiche, al fine di agevolare l'efficacia del monitoraggio, della valutazione dei rischi, dell'audit e del controllo; insiste sul fatto che lo sportello unico dovrebbe mettere a disposizione la più ampia varietà possibile di dati e che qualsiasi restrizione alla disponibilità dei dati dovrebbe essere strettamente necessaria e debitamente giustificata in linea con le pertinenti disposizioni del diritto dell'UE; ricorda inoltre l'importanza di garantire l'affidabilità e la qualità dei dati sulla performance disponibili tramite lo sportello unico emanando valide disposizioni in materia di governance dei dati, tra cui norme chiare sull'interoperabilità </w:t>
      </w:r>
      <w:r w:rsidRPr="00BB5DE9">
        <w:t>dei sistemi informatici, sulla conservazione dei documenti, sui requisiti minimi di verifica e sulle responsabilità per garantire la qualità dei dati;</w:t>
      </w:r>
    </w:p>
    <w:p w:rsidR="00AE735B" w:rsidRPr="00BB5DE9" w:rsidP="00C21444" w14:paraId="1423F800" w14:textId="77777777">
      <w:pPr>
        <w:pStyle w:val="NormalHanging12a"/>
        <w:widowControl/>
      </w:pPr>
      <w:r w:rsidRPr="00BB5DE9">
        <w:t>10.</w:t>
      </w:r>
      <w:r w:rsidRPr="00BB5DE9">
        <w:tab/>
        <w:t>ricorda il ruolo essenziale che continua a svolgere l'Ufficio europeo per la lotta antifrode (OLAF) nella protezione delle spese e delle entrate del bilancio dell'UE, in particolare grazie alle sue indagini amministrative incentrate sulla prevenzione della spesa indebita o sulla formulazione di raccomandazioni per il recupero dei fondi, nonché grazie all'individuazione e alla segnalazione delle frodi doganali, come pure al sostegno e al coordinamento delle attività in tale ambito; si compiace dell'annuncio che l'OLAF è stato incaricato di monitorare attentamente i recuperi di fondi versati nel bilancio dell'UE, anche a seguito delle notifiche della Procura europea (EPPO), pur rammaricandosi del fatto che non siano stati assegnati nuovi posti per tali compiti, oltre al fatto che nel progetto di bilancio per il 2027 si continua a ridurre il numero di posti statutari dell'OLAF; invita pertanto la Commissione a dotare l'OLAF del personale statutario necessario a svolgere la sua missione; ritiene, a tale proposito, che un incremento di 512 000 EUR della dotazione dell'OLAF per il 2027 sia giustificato, come indicato nel corrispondente emendamento di bilancio (CONT/3);</w:t>
      </w:r>
    </w:p>
    <w:p w:rsidR="00AE735B" w:rsidRPr="00BB5DE9" w:rsidP="00C21444" w14:paraId="42EDE1CE" w14:textId="77777777">
      <w:pPr>
        <w:pStyle w:val="NormalHanging12a"/>
        <w:widowControl/>
      </w:pPr>
      <w:r w:rsidRPr="00BB5DE9">
        <w:t>11.</w:t>
      </w:r>
      <w:r w:rsidRPr="00BB5DE9">
        <w:tab/>
        <w:t>è del parere che l'EPPO costituisca una componente indispensabile dell'architettura antifrode dell'UE; prende atto con preoccupazione dei recenti tentativi di limitare la capacità dell'EPPO di esercitare il proprio mandato in alcuni Stati membri e invita la Commissione a garantire che sia sempre rispettato il principio di leale cooperazione di cui all'articolo 4, paragrafo 3, TUE; ribadisce che l'EPPO dovrebbe essere dotata delle risorse necessarie per garantire la sua piena indipendenza operativa ed esercitare il proprio mandato, in particolare alla luce del crescente numero di indagini e degli ingenti danni stimati; prende atto dell'importo destinato all'EPPO nel progetto di bilancio 2027, pari a 77 368 186 EUR in stanziamenti di impegno e di pagamento; prende atto altresì delle stime dell'EPPO secondo cui, rispetto al progetto di bilancio 2027, si rendono necessari ulteriori finanziamenti per soddisfare il suo fabbisogno di risorse umane; ritiene che un incremento di 3,16 milioni di EUR della dotazione dell'EPPO per il 2027 sia giustificato, come indicato nel corrispondente emendamento di bilancio (CONT/4);</w:t>
      </w:r>
    </w:p>
    <w:p w:rsidR="00AE735B" w:rsidRPr="00BB5DE9" w:rsidP="00C21444" w14:paraId="3AFC7274" w14:textId="77777777">
      <w:pPr>
        <w:pStyle w:val="NormalHanging12a"/>
        <w:widowControl/>
      </w:pPr>
      <w:r w:rsidRPr="00BB5DE9">
        <w:t>12.</w:t>
      </w:r>
      <w:r w:rsidRPr="00BB5DE9">
        <w:tab/>
        <w:t>prende atto dell'intenzione di altri due Stati membri di aderire all'EPPO nel 2027, con la possibilità di indagini retroattive; insiste sul fatto che l'adesione di ulteriori Stati membri richiederà non solo finanziamenti adeguati per i procuratori europei delegati, ma anche un rafforzamento sufficiente dell'ufficio centrale dell'EPPO con il necessario personale di assistenza operativa e amministrativa, tra cui traduttori e interpreti, per garantire un efficace funzionamento della Procura europea; ritiene che, vista la possibile adesione di nuovi paesi all'EPPO nel 2027, la Commissione dovrebbe garantire che la Procura europea sia dotata delle risorse necessarie anche modificando il bilancio 2026;</w:t>
      </w:r>
    </w:p>
    <w:p w:rsidR="00AE735B" w:rsidRPr="00BB5DE9" w:rsidP="00A3778E" w14:paraId="01BFA516" w14:textId="77777777">
      <w:pPr>
        <w:pStyle w:val="NormalHanging12a"/>
        <w:widowControl/>
        <w:ind w:right="-428"/>
      </w:pPr>
      <w:r w:rsidRPr="00BB5DE9">
        <w:t>13.</w:t>
      </w:r>
      <w:r w:rsidRPr="00BB5DE9">
        <w:tab/>
        <w:t xml:space="preserve">pone l'accento sul fatto che le attività dell'EPPO devono contribuire alla tutela degli interessi finanziari dell'UE e dovrebbero tradursi nel recupero degli importi erogati a titolo del bilancio dell'UE che non sono stati utilizzati per le finalità previste a causa di attività criminali; rimarca che il processo di confisca, che permette il recupero di tali importi, è di competenza delle autorità nazionali e che i pertinenti importi confiscati, o il valore dei beni, derivanti dalle misure adottate dai procuratori europei delegati negli Stati membri dovrebbero essere reintegrati nel bilancio dell'Unione, previa deduzione dei costi sostenuti </w:t>
      </w:r>
      <w:r w:rsidRPr="00BB5DE9">
        <w:t>dalle autorità degli Stati membri per attuare tali misure a norma dell'articolo 38 del regolamento (UE) 2017/1939</w:t>
      </w:r>
      <w:r>
        <w:rPr>
          <w:vertAlign w:val="superscript"/>
        </w:rPr>
        <w:footnoteReference w:id="36"/>
      </w:r>
      <w:r w:rsidRPr="00BB5DE9">
        <w:t xml:space="preserve"> per quanto riguarda i beni o i proventi da cedere conformemente al diritto nazionale applicabile, fatto salvo il diritto dell'Unione o di altre vittime di essere risarcite per i danni subiti; ribadisce la propria posizione secondo cui le potenziali entrate derivanti dai provvedimenti di sequestro e confisca dovrebbero essere contabilizzate nel bilancio dell'UE come entrate senza destinazione specifica, nell'ambito di una linea di bilancio distinta creata con l'emendamento di bilancio CONT/1; considera necessario modificare l'articolo 38 per permetterne un'attuazione e un monitoraggio efficaci, onde garantire la tutela del bilancio dell'UE, e invita la Commissione a valutare se l'attuale quadro giuridico preveda meccanismi adeguati per garantire l'effettivo reintegro degli importi recuperati nel bilancio dell'UE e a proporre i miglioramenti legislativi necessari per recuperare i fondi dell'UE oggetto di frodi.</w:t>
      </w:r>
    </w:p>
    <w:p w:rsidR="00AE735B" w:rsidRPr="00BB5DE9" w:rsidP="00C21444" w14:paraId="302CE169" w14:textId="77777777">
      <w:pPr>
        <w:pStyle w:val="NormalHanging12a"/>
        <w:widowControl/>
      </w:pPr>
    </w:p>
    <w:p w:rsidR="00AE735B" w:rsidRPr="00BB5DE9" w:rsidP="00C21444" w14:paraId="44D03743" w14:textId="77777777">
      <w:pPr>
        <w:widowControl/>
        <w:sectPr w:rsidSect="00AE735B">
          <w:headerReference w:type="even" r:id="rId66"/>
          <w:headerReference w:type="default" r:id="rId67"/>
          <w:headerReference w:type="first" r:id="rId68"/>
          <w:footerReference w:type="first" r:id="rId69"/>
          <w:footnotePr>
            <w:numRestart w:val="eachSect"/>
          </w:footnotePr>
          <w:endnotePr>
            <w:numFmt w:val="decimal"/>
          </w:endnotePr>
          <w:pgSz w:w="11906" w:h="16838" w:code="9"/>
          <w:pgMar w:top="1134" w:right="1418" w:bottom="1134" w:left="1418" w:header="1134" w:footer="567" w:gutter="0"/>
          <w:cols w:space="720"/>
          <w:noEndnote/>
          <w:docGrid w:linePitch="326"/>
        </w:sectPr>
      </w:pPr>
    </w:p>
    <w:p w:rsidR="00AE735B" w:rsidRPr="00BB5DE9" w:rsidP="00C21444" w14:paraId="02E4E614" w14:textId="77777777">
      <w:pPr>
        <w:widowControl/>
      </w:pPr>
    </w:p>
    <w:p w:rsidR="00AE735B" w:rsidRPr="00BB5DE9" w:rsidP="00C21444" w14:paraId="225B2D7D" w14:textId="77777777">
      <w:pPr>
        <w:pStyle w:val="PageHeadingNotTOC"/>
        <w:widowControl/>
      </w:pPr>
      <w:bookmarkStart w:id="39" w:name="FootprintPageAL"/>
      <w:r w:rsidRPr="00BB5DE9">
        <w:t>ALLEGATO: DICHIARAZIONE DEI CONTRIBUTI</w:t>
      </w:r>
    </w:p>
    <w:p w:rsidR="00AE735B" w:rsidRPr="00BB5DE9" w:rsidP="00C21444" w14:paraId="1EECCBF0" w14:textId="77777777">
      <w:pPr>
        <w:pStyle w:val="Normal24a"/>
        <w:widowControl/>
        <w:rPr>
          <w:lang w:val="it-IT"/>
        </w:rPr>
      </w:pPr>
      <w:r w:rsidRPr="00BB5DE9">
        <w:rPr>
          <w:rStyle w:val="HideTWBExt"/>
          <w:lang w:val="it-IT"/>
        </w:rPr>
        <w:t>&lt;FootprintIntro&gt;</w:t>
      </w:r>
      <w:r w:rsidRPr="00BB5DE9">
        <w:rPr>
          <w:lang w:val="it-IT"/>
        </w:rPr>
        <w:t>Il relatore per parere dichiara, sotto la sua esclusiva responsabilità, di non aver incluso nel suo parere alcun contributo di rappresentanti di interessi che rientrano nell'ambito di applicazione dell'accordo interistituzionale su un registro per la trasparenza obbligatorio</w:t>
      </w:r>
      <w:r>
        <w:rPr>
          <w:rStyle w:val="FootnoteReference"/>
          <w:lang w:val="it-IT"/>
        </w:rPr>
        <w:footnoteReference w:id="37"/>
      </w:r>
      <w:r w:rsidRPr="00BB5DE9">
        <w:rPr>
          <w:lang w:val="it-IT"/>
        </w:rPr>
        <w:t>, o di rappresentanti delle pubbliche autorità di paesi terzi, incluse le loro missioni diplomatiche e ambasciate, da enumerare nel presente allegato in virtù dell'allegato I, articolo 8, del regolamento.</w:t>
      </w:r>
      <w:r w:rsidRPr="00BB5DE9">
        <w:rPr>
          <w:rStyle w:val="HideTWBExt"/>
          <w:lang w:val="it-IT"/>
        </w:rPr>
        <w:t>&lt;/FootprintIntro&gt;</w:t>
      </w:r>
    </w:p>
    <w:bookmarkEnd w:id="39"/>
    <w:p w:rsidR="00AE735B" w:rsidRPr="00BB5DE9" w:rsidP="00C21444" w14:paraId="7D587127" w14:textId="77777777">
      <w:pPr>
        <w:widowControl/>
        <w:sectPr w:rsidSect="00AE735B">
          <w:footnotePr>
            <w:numRestart w:val="eachSect"/>
          </w:footnotePr>
          <w:endnotePr>
            <w:numFmt w:val="decimal"/>
          </w:endnotePr>
          <w:pgSz w:w="11906" w:h="16838" w:code="9"/>
          <w:pgMar w:top="1134" w:right="1418" w:bottom="1418" w:left="1418" w:header="1134" w:footer="567" w:gutter="0"/>
          <w:cols w:space="720"/>
          <w:noEndnote/>
          <w:docGrid w:linePitch="326"/>
        </w:sectPr>
      </w:pPr>
    </w:p>
    <w:p w:rsidR="00AE735B" w:rsidRPr="00BB5DE9" w:rsidP="00C21444" w14:paraId="44F9E37F" w14:textId="77777777">
      <w:pPr>
        <w:widowControl/>
      </w:pPr>
    </w:p>
    <w:p w:rsidR="00AE735B" w:rsidRPr="00BB5DE9" w:rsidP="00C21444" w14:paraId="41996291" w14:textId="77777777">
      <w:pPr>
        <w:pStyle w:val="PageHeadingNotTOC"/>
        <w:widowControl/>
      </w:pPr>
      <w:bookmarkStart w:id="40" w:name="RollCallPageAL"/>
      <w:r w:rsidRPr="00BB5DE9">
        <w:t>VOTAZIONE FINALE PER APPELLO NOMINALE</w:t>
      </w:r>
      <w:r w:rsidRPr="00BB5DE9">
        <w:br/>
        <w:t>DA PARTE DELLA COMMISSIONE COMPETENTE PER PARERE</w:t>
      </w:r>
    </w:p>
    <w:tbl>
      <w:tblPr>
        <w:tblW w:w="0" w:type="auto"/>
        <w:tblInd w:w="145" w:type="dxa"/>
        <w:tblBorders>
          <w:top w:val="double" w:sz="2" w:space="0" w:color="000000"/>
          <w:left w:val="double" w:sz="2" w:space="0" w:color="000000"/>
          <w:bottom w:val="double" w:sz="2" w:space="0" w:color="000000"/>
          <w:right w:val="double" w:sz="2" w:space="0" w:color="000000"/>
          <w:insideH w:val="single" w:sz="2" w:space="0" w:color="000000"/>
          <w:insideV w:val="single" w:sz="2" w:space="0" w:color="000000"/>
        </w:tblBorders>
        <w:tblLayout w:type="fixed"/>
        <w:tblCellMar>
          <w:left w:w="145" w:type="dxa"/>
          <w:right w:w="145" w:type="dxa"/>
        </w:tblCellMar>
        <w:tblLook w:val="0000"/>
      </w:tblPr>
      <w:tblGrid>
        <w:gridCol w:w="1701"/>
        <w:gridCol w:w="7371"/>
      </w:tblGrid>
      <w:tr w14:paraId="1FE56270" w14:textId="77777777" w:rsidTr="00E55C05">
        <w:tblPrEx>
          <w:tblW w:w="0" w:type="auto"/>
          <w:tblInd w:w="145" w:type="dxa"/>
          <w:tblBorders>
            <w:top w:val="double" w:sz="2" w:space="0" w:color="000000"/>
            <w:left w:val="double" w:sz="2" w:space="0" w:color="000000"/>
            <w:bottom w:val="double" w:sz="2" w:space="0" w:color="000000"/>
            <w:right w:val="double" w:sz="2" w:space="0" w:color="000000"/>
            <w:insideH w:val="single" w:sz="2" w:space="0" w:color="000000"/>
            <w:insideV w:val="single" w:sz="2" w:space="0" w:color="000000"/>
          </w:tblBorders>
          <w:tblLayout w:type="fixed"/>
          <w:tblCellMar>
            <w:left w:w="145" w:type="dxa"/>
            <w:right w:w="145" w:type="dxa"/>
          </w:tblCellMar>
          <w:tblLook w:val="0000"/>
        </w:tblPrEx>
        <w:trPr>
          <w:cantSplit/>
        </w:trPr>
        <w:tc>
          <w:tcPr>
            <w:tcW w:w="1701" w:type="dxa"/>
            <w:shd w:val="pct10" w:color="000000" w:fill="FFFFFF"/>
            <w:vAlign w:val="center"/>
          </w:tcPr>
          <w:p w:rsidR="00AE735B" w:rsidRPr="00BB5DE9" w:rsidP="00C21444" w14:paraId="34672FF1" w14:textId="77777777">
            <w:pPr>
              <w:pStyle w:val="RollCallVotes"/>
              <w:widowControl/>
              <w:rPr>
                <w:lang w:val="it-IT"/>
              </w:rPr>
            </w:pPr>
            <w:r w:rsidRPr="00BB5DE9">
              <w:rPr>
                <w:lang w:val="it-IT"/>
              </w:rPr>
              <w:t>22</w:t>
            </w:r>
          </w:p>
        </w:tc>
        <w:tc>
          <w:tcPr>
            <w:tcW w:w="7371" w:type="dxa"/>
            <w:shd w:val="pct10" w:color="000000" w:fill="FFFFFF"/>
          </w:tcPr>
          <w:p w:rsidR="00AE735B" w:rsidRPr="00BB5DE9" w:rsidP="00C21444" w14:paraId="75A6ED2A" w14:textId="77777777">
            <w:pPr>
              <w:pStyle w:val="RollCallSymbols14pt"/>
              <w:widowControl/>
              <w:rPr>
                <w:lang w:val="it-IT"/>
              </w:rPr>
            </w:pPr>
            <w:r w:rsidRPr="00BB5DE9">
              <w:rPr>
                <w:lang w:val="it-IT"/>
              </w:rPr>
              <w:t>+</w:t>
            </w:r>
          </w:p>
        </w:tc>
      </w:tr>
      <w:tr w14:paraId="2859EC6F" w14:textId="77777777" w:rsidTr="00E55C05">
        <w:tblPrEx>
          <w:tblW w:w="0" w:type="auto"/>
          <w:tblInd w:w="145" w:type="dxa"/>
          <w:tblLayout w:type="fixed"/>
          <w:tblCellMar>
            <w:left w:w="145" w:type="dxa"/>
            <w:right w:w="145" w:type="dxa"/>
          </w:tblCellMar>
          <w:tblLook w:val="0000"/>
        </w:tblPrEx>
        <w:trPr>
          <w:cantSplit/>
        </w:trPr>
        <w:tc>
          <w:tcPr>
            <w:tcW w:w="1701" w:type="dxa"/>
            <w:shd w:val="clear" w:color="auto" w:fill="FFFFFF"/>
          </w:tcPr>
          <w:p w:rsidR="00AE735B" w:rsidRPr="00BB5DE9" w:rsidP="00C21444" w14:paraId="3DFE3808" w14:textId="77777777">
            <w:pPr>
              <w:pStyle w:val="RollCallTable"/>
              <w:widowControl/>
              <w:rPr>
                <w:lang w:val="it-IT"/>
              </w:rPr>
            </w:pPr>
            <w:r w:rsidRPr="00BB5DE9">
              <w:rPr>
                <w:lang w:val="it-IT"/>
              </w:rPr>
              <w:t>ECR</w:t>
            </w:r>
          </w:p>
        </w:tc>
        <w:tc>
          <w:tcPr>
            <w:tcW w:w="7371" w:type="dxa"/>
            <w:shd w:val="clear" w:color="auto" w:fill="FFFFFF"/>
          </w:tcPr>
          <w:p w:rsidR="00AE735B" w:rsidRPr="00BB5DE9" w:rsidP="00C21444" w14:paraId="5CB86079" w14:textId="77777777">
            <w:pPr>
              <w:pStyle w:val="RollCallTable"/>
              <w:widowControl/>
              <w:rPr>
                <w:lang w:val="it-IT"/>
              </w:rPr>
            </w:pPr>
            <w:r w:rsidRPr="00BB5DE9">
              <w:rPr>
                <w:lang w:val="it-IT"/>
              </w:rPr>
              <w:t>Cristian Terheş</w:t>
            </w:r>
          </w:p>
        </w:tc>
      </w:tr>
      <w:tr w14:paraId="68F77399" w14:textId="77777777" w:rsidTr="00E55C05">
        <w:tblPrEx>
          <w:tblW w:w="0" w:type="auto"/>
          <w:tblInd w:w="145" w:type="dxa"/>
          <w:tblLayout w:type="fixed"/>
          <w:tblCellMar>
            <w:left w:w="145" w:type="dxa"/>
            <w:right w:w="145" w:type="dxa"/>
          </w:tblCellMar>
          <w:tblLook w:val="0000"/>
        </w:tblPrEx>
        <w:trPr>
          <w:cantSplit/>
        </w:trPr>
        <w:tc>
          <w:tcPr>
            <w:tcW w:w="1701" w:type="dxa"/>
            <w:shd w:val="clear" w:color="auto" w:fill="FFFFFF"/>
          </w:tcPr>
          <w:p w:rsidR="00AE735B" w:rsidRPr="00BB5DE9" w:rsidP="00C21444" w14:paraId="1CD01613" w14:textId="77777777">
            <w:pPr>
              <w:pStyle w:val="RollCallTable"/>
              <w:widowControl/>
              <w:rPr>
                <w:lang w:val="it-IT"/>
              </w:rPr>
            </w:pPr>
            <w:r w:rsidRPr="00BB5DE9">
              <w:rPr>
                <w:lang w:val="it-IT"/>
              </w:rPr>
              <w:t>NI</w:t>
            </w:r>
          </w:p>
        </w:tc>
        <w:tc>
          <w:tcPr>
            <w:tcW w:w="7371" w:type="dxa"/>
            <w:shd w:val="clear" w:color="auto" w:fill="FFFFFF"/>
          </w:tcPr>
          <w:p w:rsidR="00AE735B" w:rsidRPr="00BB5DE9" w:rsidP="00C21444" w14:paraId="75EB8FC5" w14:textId="77777777">
            <w:pPr>
              <w:pStyle w:val="RollCallTable"/>
              <w:widowControl/>
              <w:rPr>
                <w:lang w:val="it-IT"/>
              </w:rPr>
            </w:pPr>
            <w:r w:rsidRPr="00BB5DE9">
              <w:rPr>
                <w:lang w:val="it-IT"/>
              </w:rPr>
              <w:t>Fidias Panayiotou</w:t>
            </w:r>
          </w:p>
        </w:tc>
      </w:tr>
      <w:tr w14:paraId="78B6B563" w14:textId="77777777" w:rsidTr="00E55C05">
        <w:tblPrEx>
          <w:tblW w:w="0" w:type="auto"/>
          <w:tblInd w:w="145" w:type="dxa"/>
          <w:tblLayout w:type="fixed"/>
          <w:tblCellMar>
            <w:left w:w="145" w:type="dxa"/>
            <w:right w:w="145" w:type="dxa"/>
          </w:tblCellMar>
          <w:tblLook w:val="0000"/>
        </w:tblPrEx>
        <w:trPr>
          <w:cantSplit/>
        </w:trPr>
        <w:tc>
          <w:tcPr>
            <w:tcW w:w="1701" w:type="dxa"/>
            <w:shd w:val="clear" w:color="auto" w:fill="FFFFFF"/>
          </w:tcPr>
          <w:p w:rsidR="00AE735B" w:rsidRPr="00BB5DE9" w:rsidP="00C21444" w14:paraId="781A984F" w14:textId="77777777">
            <w:pPr>
              <w:pStyle w:val="RollCallTable"/>
              <w:widowControl/>
              <w:rPr>
                <w:lang w:val="it-IT"/>
              </w:rPr>
            </w:pPr>
            <w:r w:rsidRPr="00BB5DE9">
              <w:rPr>
                <w:lang w:val="it-IT"/>
              </w:rPr>
              <w:t>PPE</w:t>
            </w:r>
          </w:p>
        </w:tc>
        <w:tc>
          <w:tcPr>
            <w:tcW w:w="7371" w:type="dxa"/>
            <w:shd w:val="clear" w:color="auto" w:fill="FFFFFF"/>
          </w:tcPr>
          <w:p w:rsidR="00AE735B" w:rsidRPr="00BB5DE9" w:rsidP="00C21444" w14:paraId="2F5205D6" w14:textId="77777777">
            <w:pPr>
              <w:pStyle w:val="RollCallTable"/>
              <w:widowControl/>
              <w:rPr>
                <w:lang w:val="it-IT"/>
              </w:rPr>
            </w:pPr>
            <w:r w:rsidRPr="00BB5DE9">
              <w:rPr>
                <w:lang w:val="it-IT"/>
              </w:rPr>
              <w:t>Georgios Aftias, Caterina Chinnici, Raúl de la Hoz Quintano, Monika Hohlmeier, Jacek Protas, Andreas Schwab, Tomáš Zdechovský</w:t>
            </w:r>
          </w:p>
        </w:tc>
      </w:tr>
      <w:tr w14:paraId="2349FECA" w14:textId="77777777" w:rsidTr="00E55C05">
        <w:tblPrEx>
          <w:tblW w:w="0" w:type="auto"/>
          <w:tblInd w:w="145" w:type="dxa"/>
          <w:tblLayout w:type="fixed"/>
          <w:tblCellMar>
            <w:left w:w="145" w:type="dxa"/>
            <w:right w:w="145" w:type="dxa"/>
          </w:tblCellMar>
          <w:tblLook w:val="0000"/>
        </w:tblPrEx>
        <w:trPr>
          <w:cantSplit/>
        </w:trPr>
        <w:tc>
          <w:tcPr>
            <w:tcW w:w="1701" w:type="dxa"/>
            <w:shd w:val="clear" w:color="auto" w:fill="FFFFFF"/>
          </w:tcPr>
          <w:p w:rsidR="00AE735B" w:rsidRPr="00BB5DE9" w:rsidP="00C21444" w14:paraId="14597E38" w14:textId="77777777">
            <w:pPr>
              <w:pStyle w:val="RollCallTable"/>
              <w:widowControl/>
              <w:rPr>
                <w:lang w:val="it-IT"/>
              </w:rPr>
            </w:pPr>
            <w:r w:rsidRPr="00BB5DE9">
              <w:rPr>
                <w:lang w:val="it-IT"/>
              </w:rPr>
              <w:t>Renew</w:t>
            </w:r>
          </w:p>
        </w:tc>
        <w:tc>
          <w:tcPr>
            <w:tcW w:w="7371" w:type="dxa"/>
            <w:shd w:val="clear" w:color="auto" w:fill="FFFFFF"/>
          </w:tcPr>
          <w:p w:rsidR="00AE735B" w:rsidRPr="00BB5DE9" w:rsidP="00C21444" w14:paraId="484BE982" w14:textId="77777777">
            <w:pPr>
              <w:pStyle w:val="RollCallTable"/>
              <w:widowControl/>
              <w:rPr>
                <w:lang w:val="it-IT"/>
              </w:rPr>
            </w:pPr>
            <w:r w:rsidRPr="00BB5DE9">
              <w:rPr>
                <w:lang w:val="it-IT"/>
              </w:rPr>
              <w:t>Gilles Boyer, Gerben-Jan Gerbrandy, Michal Wiezik</w:t>
            </w:r>
          </w:p>
        </w:tc>
      </w:tr>
      <w:tr w14:paraId="09C722B6" w14:textId="77777777" w:rsidTr="00E55C05">
        <w:tblPrEx>
          <w:tblW w:w="0" w:type="auto"/>
          <w:tblInd w:w="145" w:type="dxa"/>
          <w:tblLayout w:type="fixed"/>
          <w:tblCellMar>
            <w:left w:w="145" w:type="dxa"/>
            <w:right w:w="145" w:type="dxa"/>
          </w:tblCellMar>
          <w:tblLook w:val="0000"/>
        </w:tblPrEx>
        <w:trPr>
          <w:cantSplit/>
        </w:trPr>
        <w:tc>
          <w:tcPr>
            <w:tcW w:w="1701" w:type="dxa"/>
            <w:shd w:val="clear" w:color="auto" w:fill="FFFFFF"/>
          </w:tcPr>
          <w:p w:rsidR="00AE735B" w:rsidRPr="00BB5DE9" w:rsidP="00C21444" w14:paraId="68C047B3" w14:textId="77777777">
            <w:pPr>
              <w:pStyle w:val="RollCallTable"/>
              <w:widowControl/>
              <w:rPr>
                <w:lang w:val="it-IT"/>
              </w:rPr>
            </w:pPr>
            <w:r w:rsidRPr="00BB5DE9">
              <w:rPr>
                <w:lang w:val="it-IT"/>
              </w:rPr>
              <w:t>S&amp;D</w:t>
            </w:r>
          </w:p>
        </w:tc>
        <w:tc>
          <w:tcPr>
            <w:tcW w:w="7371" w:type="dxa"/>
            <w:shd w:val="clear" w:color="auto" w:fill="FFFFFF"/>
          </w:tcPr>
          <w:p w:rsidR="00AE735B" w:rsidRPr="00BB5DE9" w:rsidP="00C21444" w14:paraId="338B8056" w14:textId="77777777">
            <w:pPr>
              <w:pStyle w:val="RollCallTable"/>
              <w:widowControl/>
              <w:rPr>
                <w:lang w:val="it-IT"/>
              </w:rPr>
            </w:pPr>
            <w:r w:rsidRPr="00BB5DE9">
              <w:rPr>
                <w:lang w:val="it-IT"/>
              </w:rPr>
              <w:t>José Cepeda, Jens Geier, Giuseppe Lupo, Marit Maij, Thomas Pellerin-Carlin, Carla Tavares</w:t>
            </w:r>
          </w:p>
        </w:tc>
      </w:tr>
      <w:tr w14:paraId="7A2A8DA2" w14:textId="77777777" w:rsidTr="00E55C05">
        <w:tblPrEx>
          <w:tblW w:w="0" w:type="auto"/>
          <w:tblInd w:w="145" w:type="dxa"/>
          <w:tblLayout w:type="fixed"/>
          <w:tblCellMar>
            <w:left w:w="145" w:type="dxa"/>
            <w:right w:w="145" w:type="dxa"/>
          </w:tblCellMar>
          <w:tblLook w:val="0000"/>
        </w:tblPrEx>
        <w:trPr>
          <w:cantSplit/>
        </w:trPr>
        <w:tc>
          <w:tcPr>
            <w:tcW w:w="1701" w:type="dxa"/>
            <w:shd w:val="clear" w:color="auto" w:fill="FFFFFF"/>
          </w:tcPr>
          <w:p w:rsidR="00AE735B" w:rsidRPr="00BB5DE9" w:rsidP="00C21444" w14:paraId="378B4DD3" w14:textId="77777777">
            <w:pPr>
              <w:pStyle w:val="RollCallTable"/>
              <w:widowControl/>
              <w:rPr>
                <w:lang w:val="it-IT"/>
              </w:rPr>
            </w:pPr>
            <w:r w:rsidRPr="00BB5DE9">
              <w:rPr>
                <w:lang w:val="it-IT"/>
              </w:rPr>
              <w:t>The Left</w:t>
            </w:r>
          </w:p>
        </w:tc>
        <w:tc>
          <w:tcPr>
            <w:tcW w:w="7371" w:type="dxa"/>
            <w:shd w:val="clear" w:color="auto" w:fill="FFFFFF"/>
          </w:tcPr>
          <w:p w:rsidR="00AE735B" w:rsidRPr="00BB5DE9" w:rsidP="00C21444" w14:paraId="763569D8" w14:textId="77777777">
            <w:pPr>
              <w:pStyle w:val="RollCallTable"/>
              <w:widowControl/>
              <w:rPr>
                <w:lang w:val="it-IT"/>
              </w:rPr>
            </w:pPr>
            <w:r w:rsidRPr="00BB5DE9">
              <w:rPr>
                <w:lang w:val="it-IT"/>
              </w:rPr>
              <w:t>Jonas Sjöstedt, Pasquale Tridico</w:t>
            </w:r>
          </w:p>
        </w:tc>
      </w:tr>
      <w:tr w14:paraId="3D4CB8CC" w14:textId="77777777" w:rsidTr="00E55C05">
        <w:tblPrEx>
          <w:tblW w:w="0" w:type="auto"/>
          <w:tblInd w:w="145" w:type="dxa"/>
          <w:tblLayout w:type="fixed"/>
          <w:tblCellMar>
            <w:left w:w="145" w:type="dxa"/>
            <w:right w:w="145" w:type="dxa"/>
          </w:tblCellMar>
          <w:tblLook w:val="0000"/>
        </w:tblPrEx>
        <w:trPr>
          <w:cantSplit/>
        </w:trPr>
        <w:tc>
          <w:tcPr>
            <w:tcW w:w="1701" w:type="dxa"/>
            <w:shd w:val="clear" w:color="auto" w:fill="FFFFFF"/>
          </w:tcPr>
          <w:p w:rsidR="00AE735B" w:rsidRPr="00BB5DE9" w:rsidP="00C21444" w14:paraId="4D887DF5" w14:textId="77777777">
            <w:pPr>
              <w:pStyle w:val="RollCallTable"/>
              <w:widowControl/>
              <w:rPr>
                <w:lang w:val="it-IT"/>
              </w:rPr>
            </w:pPr>
            <w:r w:rsidRPr="00BB5DE9">
              <w:rPr>
                <w:lang w:val="it-IT"/>
              </w:rPr>
              <w:t>Verts/ALE</w:t>
            </w:r>
          </w:p>
        </w:tc>
        <w:tc>
          <w:tcPr>
            <w:tcW w:w="7371" w:type="dxa"/>
            <w:shd w:val="clear" w:color="auto" w:fill="FFFFFF"/>
          </w:tcPr>
          <w:p w:rsidR="00AE735B" w:rsidRPr="00BB5DE9" w:rsidP="00C21444" w14:paraId="0854EE75" w14:textId="77777777">
            <w:pPr>
              <w:pStyle w:val="RollCallTable"/>
              <w:widowControl/>
              <w:rPr>
                <w:lang w:val="it-IT"/>
              </w:rPr>
            </w:pPr>
            <w:r w:rsidRPr="00BB5DE9">
              <w:rPr>
                <w:lang w:val="it-IT"/>
              </w:rPr>
              <w:t>Daniel Freund, Rasmus Nordqvist</w:t>
            </w:r>
          </w:p>
        </w:tc>
      </w:tr>
    </w:tbl>
    <w:p w:rsidR="00AE735B" w:rsidRPr="00BB5DE9" w:rsidP="00C21444" w14:paraId="435A5016" w14:textId="77777777">
      <w:pPr>
        <w:widowControl/>
      </w:pPr>
    </w:p>
    <w:tbl>
      <w:tblPr>
        <w:tblW w:w="0" w:type="auto"/>
        <w:tblInd w:w="145" w:type="dxa"/>
        <w:tblBorders>
          <w:top w:val="double" w:sz="2" w:space="0" w:color="000000"/>
          <w:left w:val="double" w:sz="2" w:space="0" w:color="000000"/>
          <w:bottom w:val="double" w:sz="2" w:space="0" w:color="000000"/>
          <w:right w:val="double" w:sz="2" w:space="0" w:color="000000"/>
          <w:insideH w:val="single" w:sz="2" w:space="0" w:color="000000"/>
          <w:insideV w:val="single" w:sz="2" w:space="0" w:color="000000"/>
        </w:tblBorders>
        <w:tblLayout w:type="fixed"/>
        <w:tblCellMar>
          <w:left w:w="145" w:type="dxa"/>
          <w:right w:w="145" w:type="dxa"/>
        </w:tblCellMar>
        <w:tblLook w:val="0000"/>
      </w:tblPr>
      <w:tblGrid>
        <w:gridCol w:w="1701"/>
        <w:gridCol w:w="7371"/>
      </w:tblGrid>
      <w:tr w14:paraId="279A2845" w14:textId="77777777" w:rsidTr="00E55C05">
        <w:tblPrEx>
          <w:tblW w:w="0" w:type="auto"/>
          <w:tblInd w:w="145" w:type="dxa"/>
          <w:tblBorders>
            <w:top w:val="double" w:sz="2" w:space="0" w:color="000000"/>
            <w:left w:val="double" w:sz="2" w:space="0" w:color="000000"/>
            <w:bottom w:val="double" w:sz="2" w:space="0" w:color="000000"/>
            <w:right w:val="double" w:sz="2" w:space="0" w:color="000000"/>
            <w:insideH w:val="single" w:sz="2" w:space="0" w:color="000000"/>
            <w:insideV w:val="single" w:sz="2" w:space="0" w:color="000000"/>
          </w:tblBorders>
          <w:tblLayout w:type="fixed"/>
          <w:tblCellMar>
            <w:left w:w="145" w:type="dxa"/>
            <w:right w:w="145" w:type="dxa"/>
          </w:tblCellMar>
          <w:tblLook w:val="0000"/>
        </w:tblPrEx>
        <w:trPr>
          <w:cantSplit/>
        </w:trPr>
        <w:tc>
          <w:tcPr>
            <w:tcW w:w="1701" w:type="dxa"/>
            <w:shd w:val="pct10" w:color="000000" w:fill="FFFFFF"/>
            <w:vAlign w:val="center"/>
          </w:tcPr>
          <w:p w:rsidR="00AE735B" w:rsidRPr="00BB5DE9" w:rsidP="00C21444" w14:paraId="7ABF3DFF" w14:textId="77777777">
            <w:pPr>
              <w:pStyle w:val="RollCallVotes"/>
              <w:widowControl/>
              <w:rPr>
                <w:lang w:val="it-IT"/>
              </w:rPr>
            </w:pPr>
            <w:r w:rsidRPr="00BB5DE9">
              <w:rPr>
                <w:lang w:val="it-IT"/>
              </w:rPr>
              <w:t>6</w:t>
            </w:r>
          </w:p>
        </w:tc>
        <w:tc>
          <w:tcPr>
            <w:tcW w:w="7371" w:type="dxa"/>
            <w:shd w:val="pct10" w:color="000000" w:fill="FFFFFF"/>
          </w:tcPr>
          <w:p w:rsidR="00AE735B" w:rsidRPr="00BB5DE9" w:rsidP="00C21444" w14:paraId="15BA4FF5" w14:textId="77777777">
            <w:pPr>
              <w:pStyle w:val="RollCallSymbols14pt"/>
              <w:widowControl/>
              <w:rPr>
                <w:lang w:val="it-IT"/>
              </w:rPr>
            </w:pPr>
            <w:r w:rsidRPr="00BB5DE9">
              <w:rPr>
                <w:lang w:val="it-IT"/>
              </w:rPr>
              <w:t>-</w:t>
            </w:r>
          </w:p>
        </w:tc>
      </w:tr>
      <w:tr w14:paraId="6E860433" w14:textId="77777777" w:rsidTr="00E55C05">
        <w:tblPrEx>
          <w:tblW w:w="0" w:type="auto"/>
          <w:tblInd w:w="145" w:type="dxa"/>
          <w:tblLayout w:type="fixed"/>
          <w:tblCellMar>
            <w:left w:w="145" w:type="dxa"/>
            <w:right w:w="145" w:type="dxa"/>
          </w:tblCellMar>
          <w:tblLook w:val="0000"/>
        </w:tblPrEx>
        <w:trPr>
          <w:cantSplit/>
        </w:trPr>
        <w:tc>
          <w:tcPr>
            <w:tcW w:w="1701" w:type="dxa"/>
            <w:shd w:val="clear" w:color="auto" w:fill="FFFFFF"/>
          </w:tcPr>
          <w:p w:rsidR="00AE735B" w:rsidRPr="00BB5DE9" w:rsidP="00C21444" w14:paraId="6007B6BB" w14:textId="77777777">
            <w:pPr>
              <w:pStyle w:val="RollCallTable"/>
              <w:widowControl/>
              <w:rPr>
                <w:lang w:val="it-IT"/>
              </w:rPr>
            </w:pPr>
            <w:r w:rsidRPr="00BB5DE9">
              <w:rPr>
                <w:lang w:val="it-IT"/>
              </w:rPr>
              <w:t>ECR</w:t>
            </w:r>
          </w:p>
        </w:tc>
        <w:tc>
          <w:tcPr>
            <w:tcW w:w="7371" w:type="dxa"/>
            <w:shd w:val="clear" w:color="auto" w:fill="FFFFFF"/>
          </w:tcPr>
          <w:p w:rsidR="00AE735B" w:rsidRPr="00BB5DE9" w:rsidP="00C21444" w14:paraId="22FA11B5" w14:textId="77777777">
            <w:pPr>
              <w:pStyle w:val="RollCallTable"/>
              <w:widowControl/>
              <w:rPr>
                <w:lang w:val="it-IT"/>
              </w:rPr>
            </w:pPr>
            <w:r w:rsidRPr="00BB5DE9">
              <w:rPr>
                <w:lang w:val="it-IT"/>
              </w:rPr>
              <w:t>Joachim Stanisław Brudziński</w:t>
            </w:r>
          </w:p>
        </w:tc>
      </w:tr>
      <w:tr w14:paraId="5269CF5E" w14:textId="77777777" w:rsidTr="00E55C05">
        <w:tblPrEx>
          <w:tblW w:w="0" w:type="auto"/>
          <w:tblInd w:w="145" w:type="dxa"/>
          <w:tblLayout w:type="fixed"/>
          <w:tblCellMar>
            <w:left w:w="145" w:type="dxa"/>
            <w:right w:w="145" w:type="dxa"/>
          </w:tblCellMar>
          <w:tblLook w:val="0000"/>
        </w:tblPrEx>
        <w:trPr>
          <w:cantSplit/>
        </w:trPr>
        <w:tc>
          <w:tcPr>
            <w:tcW w:w="1701" w:type="dxa"/>
            <w:shd w:val="clear" w:color="auto" w:fill="FFFFFF"/>
          </w:tcPr>
          <w:p w:rsidR="00AE735B" w:rsidRPr="00BB5DE9" w:rsidP="00C21444" w14:paraId="265C0241" w14:textId="77777777">
            <w:pPr>
              <w:pStyle w:val="RollCallTable"/>
              <w:widowControl/>
              <w:rPr>
                <w:lang w:val="it-IT"/>
              </w:rPr>
            </w:pPr>
            <w:r w:rsidRPr="00BB5DE9">
              <w:rPr>
                <w:lang w:val="it-IT"/>
              </w:rPr>
              <w:t>ESN</w:t>
            </w:r>
          </w:p>
        </w:tc>
        <w:tc>
          <w:tcPr>
            <w:tcW w:w="7371" w:type="dxa"/>
            <w:shd w:val="clear" w:color="auto" w:fill="FFFFFF"/>
          </w:tcPr>
          <w:p w:rsidR="00AE735B" w:rsidRPr="00BB5DE9" w:rsidP="00C21444" w14:paraId="32CF367B" w14:textId="77777777">
            <w:pPr>
              <w:pStyle w:val="RollCallTable"/>
              <w:widowControl/>
              <w:rPr>
                <w:lang w:val="it-IT"/>
              </w:rPr>
            </w:pPr>
            <w:r w:rsidRPr="00BB5DE9">
              <w:rPr>
                <w:lang w:val="it-IT"/>
              </w:rPr>
              <w:t>Arno Bausemer</w:t>
            </w:r>
          </w:p>
        </w:tc>
      </w:tr>
      <w:tr w14:paraId="7BAC9D8F" w14:textId="77777777" w:rsidTr="00E55C05">
        <w:tblPrEx>
          <w:tblW w:w="0" w:type="auto"/>
          <w:tblInd w:w="145" w:type="dxa"/>
          <w:tblLayout w:type="fixed"/>
          <w:tblCellMar>
            <w:left w:w="145" w:type="dxa"/>
            <w:right w:w="145" w:type="dxa"/>
          </w:tblCellMar>
          <w:tblLook w:val="0000"/>
        </w:tblPrEx>
        <w:trPr>
          <w:cantSplit/>
        </w:trPr>
        <w:tc>
          <w:tcPr>
            <w:tcW w:w="1701" w:type="dxa"/>
            <w:shd w:val="clear" w:color="auto" w:fill="FFFFFF"/>
          </w:tcPr>
          <w:p w:rsidR="00AE735B" w:rsidRPr="00BB5DE9" w:rsidP="00C21444" w14:paraId="40453C50" w14:textId="77777777">
            <w:pPr>
              <w:pStyle w:val="RollCallTable"/>
              <w:widowControl/>
              <w:rPr>
                <w:lang w:val="it-IT"/>
              </w:rPr>
            </w:pPr>
            <w:r w:rsidRPr="00BB5DE9">
              <w:rPr>
                <w:lang w:val="it-IT"/>
              </w:rPr>
              <w:t>PfE</w:t>
            </w:r>
          </w:p>
        </w:tc>
        <w:tc>
          <w:tcPr>
            <w:tcW w:w="7371" w:type="dxa"/>
            <w:shd w:val="clear" w:color="auto" w:fill="FFFFFF"/>
          </w:tcPr>
          <w:p w:rsidR="00AE735B" w:rsidRPr="00BB5DE9" w:rsidP="00C21444" w14:paraId="3B27A9DF" w14:textId="77777777">
            <w:pPr>
              <w:pStyle w:val="RollCallTable"/>
              <w:widowControl/>
              <w:rPr>
                <w:lang w:val="it-IT"/>
              </w:rPr>
            </w:pPr>
            <w:r w:rsidRPr="00BB5DE9">
              <w:rPr>
                <w:lang w:val="it-IT"/>
              </w:rPr>
              <w:t>Tamás Deutsch, Virginie Joron, Ondřej Knotek, Julien Sanchez</w:t>
            </w:r>
          </w:p>
        </w:tc>
      </w:tr>
    </w:tbl>
    <w:p w:rsidR="00AE735B" w:rsidRPr="00BB5DE9" w:rsidP="00C21444" w14:paraId="28257714" w14:textId="77777777">
      <w:pPr>
        <w:widowControl/>
      </w:pPr>
    </w:p>
    <w:tbl>
      <w:tblPr>
        <w:tblW w:w="0" w:type="auto"/>
        <w:tblInd w:w="145" w:type="dxa"/>
        <w:tblBorders>
          <w:top w:val="double" w:sz="2" w:space="0" w:color="000000"/>
          <w:left w:val="double" w:sz="2" w:space="0" w:color="000000"/>
          <w:bottom w:val="double" w:sz="2" w:space="0" w:color="000000"/>
          <w:right w:val="double" w:sz="2" w:space="0" w:color="000000"/>
          <w:insideH w:val="single" w:sz="2" w:space="0" w:color="000000"/>
          <w:insideV w:val="single" w:sz="2" w:space="0" w:color="000000"/>
        </w:tblBorders>
        <w:tblLayout w:type="fixed"/>
        <w:tblCellMar>
          <w:left w:w="145" w:type="dxa"/>
          <w:right w:w="145" w:type="dxa"/>
        </w:tblCellMar>
        <w:tblLook w:val="0000"/>
      </w:tblPr>
      <w:tblGrid>
        <w:gridCol w:w="1701"/>
        <w:gridCol w:w="7371"/>
      </w:tblGrid>
      <w:tr w14:paraId="46648AF1" w14:textId="77777777" w:rsidTr="00E55C05">
        <w:tblPrEx>
          <w:tblW w:w="0" w:type="auto"/>
          <w:tblInd w:w="145" w:type="dxa"/>
          <w:tblBorders>
            <w:top w:val="double" w:sz="2" w:space="0" w:color="000000"/>
            <w:left w:val="double" w:sz="2" w:space="0" w:color="000000"/>
            <w:bottom w:val="double" w:sz="2" w:space="0" w:color="000000"/>
            <w:right w:val="double" w:sz="2" w:space="0" w:color="000000"/>
            <w:insideH w:val="single" w:sz="2" w:space="0" w:color="000000"/>
            <w:insideV w:val="single" w:sz="2" w:space="0" w:color="000000"/>
          </w:tblBorders>
          <w:tblLayout w:type="fixed"/>
          <w:tblCellMar>
            <w:left w:w="145" w:type="dxa"/>
            <w:right w:w="145" w:type="dxa"/>
          </w:tblCellMar>
          <w:tblLook w:val="0000"/>
        </w:tblPrEx>
        <w:trPr>
          <w:cantSplit/>
        </w:trPr>
        <w:tc>
          <w:tcPr>
            <w:tcW w:w="1701" w:type="dxa"/>
            <w:shd w:val="pct10" w:color="000000" w:fill="FFFFFF"/>
            <w:vAlign w:val="center"/>
          </w:tcPr>
          <w:p w:rsidR="00AE735B" w:rsidRPr="00BB5DE9" w:rsidP="00C21444" w14:paraId="4056051F" w14:textId="77777777">
            <w:pPr>
              <w:pStyle w:val="RollCallVotes"/>
              <w:widowControl/>
              <w:rPr>
                <w:lang w:val="it-IT"/>
              </w:rPr>
            </w:pPr>
            <w:r w:rsidRPr="00BB5DE9">
              <w:rPr>
                <w:lang w:val="it-IT"/>
              </w:rPr>
              <w:t>1</w:t>
            </w:r>
          </w:p>
        </w:tc>
        <w:tc>
          <w:tcPr>
            <w:tcW w:w="7371" w:type="dxa"/>
            <w:shd w:val="pct10" w:color="000000" w:fill="FFFFFF"/>
          </w:tcPr>
          <w:p w:rsidR="00AE735B" w:rsidRPr="00BB5DE9" w:rsidP="00C21444" w14:paraId="3F0F3B59" w14:textId="77777777">
            <w:pPr>
              <w:pStyle w:val="RollCallSymbols14pt"/>
              <w:widowControl/>
              <w:rPr>
                <w:lang w:val="it-IT"/>
              </w:rPr>
            </w:pPr>
            <w:r w:rsidRPr="00BB5DE9">
              <w:rPr>
                <w:lang w:val="it-IT"/>
              </w:rPr>
              <w:t>0</w:t>
            </w:r>
          </w:p>
        </w:tc>
      </w:tr>
      <w:tr w14:paraId="194620B7" w14:textId="77777777" w:rsidTr="00E55C05">
        <w:tblPrEx>
          <w:tblW w:w="0" w:type="auto"/>
          <w:tblInd w:w="145" w:type="dxa"/>
          <w:tblLayout w:type="fixed"/>
          <w:tblCellMar>
            <w:left w:w="145" w:type="dxa"/>
            <w:right w:w="145" w:type="dxa"/>
          </w:tblCellMar>
          <w:tblLook w:val="0000"/>
        </w:tblPrEx>
        <w:trPr>
          <w:cantSplit/>
        </w:trPr>
        <w:tc>
          <w:tcPr>
            <w:tcW w:w="1701" w:type="dxa"/>
            <w:shd w:val="clear" w:color="auto" w:fill="FFFFFF"/>
          </w:tcPr>
          <w:p w:rsidR="00AE735B" w:rsidRPr="00BB5DE9" w:rsidP="00C21444" w14:paraId="1A330F94" w14:textId="77777777">
            <w:pPr>
              <w:pStyle w:val="RollCallTable"/>
              <w:widowControl/>
              <w:rPr>
                <w:lang w:val="it-IT"/>
              </w:rPr>
            </w:pPr>
            <w:r w:rsidRPr="00BB5DE9">
              <w:rPr>
                <w:lang w:val="it-IT"/>
              </w:rPr>
              <w:t>ECR</w:t>
            </w:r>
          </w:p>
        </w:tc>
        <w:tc>
          <w:tcPr>
            <w:tcW w:w="7371" w:type="dxa"/>
            <w:shd w:val="clear" w:color="auto" w:fill="FFFFFF"/>
          </w:tcPr>
          <w:p w:rsidR="00AE735B" w:rsidRPr="00BB5DE9" w:rsidP="00C21444" w14:paraId="33E953F1" w14:textId="77777777">
            <w:pPr>
              <w:pStyle w:val="RollCallTable"/>
              <w:widowControl/>
              <w:rPr>
                <w:lang w:val="it-IT"/>
              </w:rPr>
            </w:pPr>
            <w:r w:rsidRPr="00BB5DE9">
              <w:rPr>
                <w:lang w:val="it-IT"/>
              </w:rPr>
              <w:t>Dick Erixon</w:t>
            </w:r>
          </w:p>
        </w:tc>
      </w:tr>
    </w:tbl>
    <w:p w:rsidR="00AE735B" w:rsidRPr="00BB5DE9" w:rsidP="00C21444" w14:paraId="3261CFFE" w14:textId="77777777">
      <w:pPr>
        <w:pStyle w:val="Normal12a"/>
        <w:widowControl/>
        <w:rPr>
          <w:lang w:val="it-IT"/>
        </w:rPr>
      </w:pPr>
    </w:p>
    <w:p w:rsidR="00AE735B" w:rsidRPr="00BB5DE9" w:rsidP="00C21444" w14:paraId="6D750FFF" w14:textId="77777777">
      <w:pPr>
        <w:widowControl/>
      </w:pPr>
      <w:r w:rsidRPr="00BB5DE9">
        <w:t>Significato dei simboli utilizzati:</w:t>
      </w:r>
    </w:p>
    <w:p w:rsidR="00AE735B" w:rsidRPr="00BB5DE9" w:rsidP="00C21444" w14:paraId="3EF3A9D7" w14:textId="77777777">
      <w:pPr>
        <w:pStyle w:val="RollCallTabs"/>
        <w:widowControl/>
        <w:rPr>
          <w:lang w:val="it-IT"/>
        </w:rPr>
      </w:pPr>
      <w:r w:rsidRPr="00BB5DE9">
        <w:rPr>
          <w:lang w:val="it-IT"/>
        </w:rPr>
        <w:t>+</w:t>
      </w:r>
      <w:r w:rsidRPr="00BB5DE9">
        <w:rPr>
          <w:lang w:val="it-IT"/>
        </w:rPr>
        <w:tab/>
        <w:t>:</w:t>
      </w:r>
      <w:r w:rsidRPr="00BB5DE9">
        <w:rPr>
          <w:lang w:val="it-IT"/>
        </w:rPr>
        <w:tab/>
        <w:t>favorevoli</w:t>
      </w:r>
    </w:p>
    <w:p w:rsidR="00AE735B" w:rsidRPr="00BB5DE9" w:rsidP="00C21444" w14:paraId="24C76EDB" w14:textId="77777777">
      <w:pPr>
        <w:pStyle w:val="RollCallTabs"/>
        <w:widowControl/>
        <w:rPr>
          <w:lang w:val="it-IT"/>
        </w:rPr>
      </w:pPr>
      <w:r w:rsidRPr="00BB5DE9">
        <w:rPr>
          <w:lang w:val="it-IT"/>
        </w:rPr>
        <w:t>-</w:t>
      </w:r>
      <w:r w:rsidRPr="00BB5DE9">
        <w:rPr>
          <w:lang w:val="it-IT"/>
        </w:rPr>
        <w:tab/>
        <w:t>:</w:t>
      </w:r>
      <w:r w:rsidRPr="00BB5DE9">
        <w:rPr>
          <w:lang w:val="it-IT"/>
        </w:rPr>
        <w:tab/>
        <w:t>contrari</w:t>
      </w:r>
    </w:p>
    <w:p w:rsidR="00AE735B" w:rsidRPr="00BB5DE9" w:rsidP="00C21444" w14:paraId="11F4818E" w14:textId="77777777">
      <w:pPr>
        <w:pStyle w:val="RollCallTabs"/>
        <w:widowControl/>
        <w:rPr>
          <w:lang w:val="it-IT"/>
        </w:rPr>
      </w:pPr>
      <w:r w:rsidRPr="00BB5DE9">
        <w:rPr>
          <w:lang w:val="it-IT"/>
        </w:rPr>
        <w:t>0</w:t>
      </w:r>
      <w:r w:rsidRPr="00BB5DE9">
        <w:rPr>
          <w:lang w:val="it-IT"/>
        </w:rPr>
        <w:tab/>
        <w:t>:</w:t>
      </w:r>
      <w:r w:rsidRPr="00BB5DE9">
        <w:rPr>
          <w:lang w:val="it-IT"/>
        </w:rPr>
        <w:tab/>
        <w:t>astenuti</w:t>
      </w:r>
    </w:p>
    <w:p w:rsidR="00AE735B" w:rsidRPr="00BB5DE9" w:rsidP="00C21444" w14:paraId="6C1AEEB0" w14:textId="77777777">
      <w:pPr>
        <w:widowControl/>
      </w:pPr>
    </w:p>
    <w:bookmarkEnd w:id="40"/>
    <w:p w:rsidR="00AE735B" w:rsidRPr="00BB5DE9" w:rsidP="00C21444" w14:paraId="6043C86D" w14:textId="77777777">
      <w:pPr>
        <w:pStyle w:val="NormalHanging12a"/>
        <w:widowControl/>
      </w:pPr>
    </w:p>
    <w:p w:rsidR="00AE735B" w:rsidRPr="00BB5DE9" w:rsidP="00AE735B" w14:paraId="62B8E2DC" w14:textId="77777777">
      <w:pPr>
        <w:rPr>
          <w:snapToGrid/>
          <w:lang w:eastAsia="en-GB"/>
        </w:rPr>
        <w:sectPr w:rsidSect="00AE735B">
          <w:footnotePr>
            <w:numRestart w:val="eachSect"/>
          </w:footnotePr>
          <w:endnotePr>
            <w:numFmt w:val="decimal"/>
          </w:endnotePr>
          <w:pgSz w:w="11906" w:h="16838" w:code="9"/>
          <w:pgMar w:top="1134" w:right="1418" w:bottom="1134" w:left="1418" w:header="1134" w:footer="567" w:gutter="0"/>
          <w:cols w:space="720"/>
          <w:noEndnote/>
          <w:docGrid w:linePitch="326"/>
        </w:sectPr>
      </w:pPr>
    </w:p>
    <w:p w:rsidR="00AE735B" w:rsidRPr="00BB5DE9" w:rsidP="00AE735B" w14:paraId="674BEC2A" w14:textId="77777777">
      <w:pPr>
        <w:pStyle w:val="Normal24a"/>
        <w:rPr>
          <w:lang w:val="it-IT"/>
        </w:rPr>
      </w:pPr>
      <w:r w:rsidRPr="00BB5DE9">
        <w:rPr>
          <w:rStyle w:val="HideTWBExt"/>
          <w:lang w:val="it-IT"/>
        </w:rPr>
        <w:t>&lt;Date&gt;</w:t>
      </w:r>
      <w:r w:rsidRPr="00BB5DE9">
        <w:rPr>
          <w:rStyle w:val="HideTWBInt"/>
          <w:lang w:val="it-IT"/>
        </w:rPr>
        <w:t>{10/09/2026}</w:t>
      </w:r>
      <w:r w:rsidRPr="00BB5DE9">
        <w:rPr>
          <w:lang w:val="it-IT"/>
        </w:rPr>
        <w:t>10.9.2026</w:t>
      </w:r>
      <w:r w:rsidRPr="00BB5DE9">
        <w:rPr>
          <w:rStyle w:val="HideTWBExt"/>
          <w:lang w:val="it-IT"/>
        </w:rPr>
        <w:t>&lt;/Date&gt;</w:t>
      </w:r>
    </w:p>
    <w:p w:rsidR="00AE735B" w:rsidRPr="00BB5DE9" w:rsidP="00AE735B" w14:paraId="0F01952C" w14:textId="7060508D">
      <w:pPr>
        <w:pStyle w:val="PageHeading"/>
      </w:pPr>
      <w:bookmarkStart w:id="41" w:name="OpinionToc_14"/>
      <w:bookmarkStart w:id="42" w:name="_Toc243036431"/>
      <w:r w:rsidRPr="00BB5DE9">
        <w:t>LETTERA DELLA COMMISSIONE PER L'INDUSTRIA, LA RICERCA E L'ENERGIA</w:t>
      </w:r>
      <w:bookmarkEnd w:id="41"/>
      <w:bookmarkEnd w:id="42"/>
    </w:p>
    <w:p w:rsidR="00AE735B" w:rsidRPr="00BB5DE9" w14:paraId="4AC46ABD" w14:textId="77777777">
      <w:r w:rsidRPr="00BB5DE9">
        <w:t>On. Johan Van Overtveldt</w:t>
      </w:r>
    </w:p>
    <w:p w:rsidR="00AE735B" w:rsidRPr="00BB5DE9" w14:paraId="6C3F9F83" w14:textId="77777777">
      <w:r w:rsidRPr="00BB5DE9">
        <w:t>Presidente</w:t>
      </w:r>
    </w:p>
    <w:p w:rsidR="00AE735B" w:rsidRPr="00BB5DE9" w14:paraId="5FD75009" w14:textId="77777777">
      <w:r w:rsidRPr="00BB5DE9">
        <w:t>Commissione per i bilanci</w:t>
      </w:r>
    </w:p>
    <w:p w:rsidR="00AE735B" w:rsidRPr="00BB5DE9" w14:paraId="62265564" w14:textId="77777777">
      <w:r w:rsidRPr="00BB5DE9">
        <w:t>BRUXELLES</w:t>
      </w:r>
    </w:p>
    <w:p w:rsidR="00AE735B" w:rsidRPr="00BB5DE9" w:rsidP="009F796C" w14:paraId="73A6BB49" w14:textId="77777777">
      <w:pPr>
        <w:pStyle w:val="LetterSubject"/>
      </w:pPr>
      <w:r w:rsidRPr="00BB5DE9">
        <w:t>Oggetto:</w:t>
      </w:r>
      <w:r w:rsidRPr="00BB5DE9">
        <w:tab/>
      </w:r>
      <w:r w:rsidRPr="00BB5DE9">
        <w:rPr>
          <w:rStyle w:val="HideTWBExt"/>
        </w:rPr>
        <w:t>&lt;Titre&gt;</w:t>
      </w:r>
      <w:r w:rsidRPr="00BB5DE9">
        <w:t xml:space="preserve"> Parere sul bilancio generale dell'Unione europea per l'esercizio 2027 – tutte le sezioni</w:t>
      </w:r>
      <w:r w:rsidRPr="00BB5DE9">
        <w:rPr>
          <w:rStyle w:val="HideTWBExt"/>
        </w:rPr>
        <w:t>&lt;/Titre&gt;</w:t>
      </w:r>
      <w:r w:rsidRPr="00BB5DE9">
        <w:t xml:space="preserve"> </w:t>
      </w:r>
      <w:r w:rsidRPr="00BB5DE9">
        <w:rPr>
          <w:rStyle w:val="HideTWBExt"/>
        </w:rPr>
        <w:t>&lt;DocRef&gt;</w:t>
      </w:r>
      <w:r w:rsidRPr="00BB5DE9">
        <w:t>(2026/0196(BUD))</w:t>
      </w:r>
      <w:r w:rsidRPr="00BB5DE9">
        <w:rPr>
          <w:rStyle w:val="HideTWBExt"/>
        </w:rPr>
        <w:t>&lt;/DocRef&gt;</w:t>
      </w:r>
    </w:p>
    <w:p w:rsidR="00AE735B" w:rsidRPr="00BB5DE9" w:rsidP="007C3F41" w14:paraId="5E6BD72E" w14:textId="77777777">
      <w:pPr>
        <w:pStyle w:val="LetterSalutation"/>
      </w:pPr>
      <w:r w:rsidRPr="00BB5DE9">
        <w:t>Signor Presidente,</w:t>
      </w:r>
    </w:p>
    <w:p w:rsidR="00AE735B" w:rsidRPr="00BB5DE9" w:rsidP="00F56E20" w14:paraId="6A2ADCB2" w14:textId="77777777">
      <w:pPr>
        <w:pStyle w:val="Normal12a"/>
        <w:rPr>
          <w:lang w:val="it-IT"/>
        </w:rPr>
      </w:pPr>
      <w:r w:rsidRPr="00BB5DE9">
        <w:rPr>
          <w:lang w:val="it-IT"/>
        </w:rPr>
        <w:t>nel quadro della procedura in oggetto la commissione per l'industria, la ricerca e l'energia è stata incaricata di sottoporre un parere alla Sua commissione. Nella riunione del 6 maggio 2026 ha deciso di esprimere tale parere sotto forma di lettera.</w:t>
      </w:r>
    </w:p>
    <w:p w:rsidR="00AE735B" w:rsidRPr="00BB5DE9" w:rsidP="00F56E20" w14:paraId="09618277" w14:textId="77777777">
      <w:pPr>
        <w:pStyle w:val="Normal12a"/>
        <w:rPr>
          <w:lang w:val="it-IT"/>
        </w:rPr>
      </w:pPr>
      <w:r w:rsidRPr="00BB5DE9">
        <w:rPr>
          <w:lang w:val="it-IT"/>
        </w:rPr>
        <w:t>La commissione per l'industria, la ricerca e l'energia ha esaminato la questione nella riunione del 10 settembre 2026. In quest'ultima riunione ha deciso di invitare la commissione per i bilanci, competente per il merito, a includere nella proposta di risoluzione che approverà i suggerimenti in appresso.</w:t>
      </w:r>
    </w:p>
    <w:p w:rsidR="00AE735B" w:rsidRPr="00BB5DE9" w14:paraId="7CD6D4FC" w14:textId="77777777">
      <w:pPr>
        <w:pStyle w:val="Normal12a"/>
        <w:rPr>
          <w:lang w:val="it-IT"/>
        </w:rPr>
      </w:pPr>
    </w:p>
    <w:p w:rsidR="00AE735B" w:rsidRPr="00BB5DE9" w:rsidP="007C3F41" w14:paraId="58B5CBDE" w14:textId="77777777">
      <w:pPr>
        <w:pStyle w:val="Normal12a"/>
        <w:rPr>
          <w:lang w:val="it-IT"/>
        </w:rPr>
      </w:pPr>
      <w:r w:rsidRPr="00BB5DE9">
        <w:rPr>
          <w:lang w:val="it-IT"/>
        </w:rPr>
        <w:t>Voglia gradire, signor Presidente, i sensi della mia più profonda stima.</w:t>
      </w:r>
    </w:p>
    <w:p w:rsidR="00AE735B" w:rsidRPr="00BB5DE9" w14:paraId="515AFB75" w14:textId="77777777">
      <w:pPr>
        <w:pStyle w:val="LetterSignature66b"/>
      </w:pPr>
      <w:r w:rsidRPr="00BB5DE9">
        <w:t>(f.to) Borys Budka</w:t>
      </w:r>
    </w:p>
    <w:p w:rsidR="00AE735B" w:rsidRPr="00BB5DE9" w:rsidP="00F211E7" w14:paraId="2A6DA25A" w14:textId="77777777">
      <w:r w:rsidRPr="00BB5DE9">
        <w:t>Presidente</w:t>
      </w:r>
    </w:p>
    <w:p w:rsidR="00AE735B" w:rsidRPr="00BB5DE9" w:rsidP="00F211E7" w14:paraId="4AFA3149" w14:textId="77777777"/>
    <w:p w:rsidR="00AE735B" w:rsidRPr="00BB5DE9" w14:paraId="7B418825" w14:textId="77777777">
      <w:pPr>
        <w:widowControl/>
      </w:pPr>
      <w:r w:rsidRPr="00BB5DE9">
        <w:br w:type="page"/>
      </w:r>
    </w:p>
    <w:p w:rsidR="00AE735B" w:rsidRPr="00BB5DE9" w:rsidP="00F56E20" w14:paraId="1C10F059" w14:textId="77777777">
      <w:pPr>
        <w:pStyle w:val="PageHeadingNotTOC"/>
      </w:pPr>
      <w:r w:rsidRPr="00BB5DE9">
        <w:t>SUGGERIMENTI</w:t>
      </w:r>
    </w:p>
    <w:p w:rsidR="00AE735B" w:rsidRPr="00BB5DE9" w:rsidP="00F56E20" w14:paraId="50E15861" w14:textId="77777777">
      <w:pPr>
        <w:pStyle w:val="Normal12a"/>
        <w:ind w:left="720" w:hanging="360"/>
        <w:jc w:val="both"/>
        <w:rPr>
          <w:lang w:val="it-IT"/>
        </w:rPr>
      </w:pPr>
      <w:r w:rsidRPr="00BB5DE9">
        <w:rPr>
          <w:lang w:val="it-IT"/>
        </w:rPr>
        <w:t>1.</w:t>
      </w:r>
      <w:r w:rsidRPr="00BB5DE9">
        <w:rPr>
          <w:lang w:val="it-IT"/>
        </w:rPr>
        <w:tab/>
        <w:t>Ricorda il parere della commissione ITRE sugli orientamenti per il bilancio 2027, in cui si chiedeva un bilancio dell'UE ambizioso che rifletta le sfide che l'Europa si trova ad affrontare, quali l'invasione in corso della Russia in Ucraina e gli attacchi ibridi alle infrastrutture critiche degli Stati membri, la crisi in Medio Oriente e l'aumento dei prezzi dell'energia, nonché la necessità di investimenti nella competitività industriale e in posti di lavoro di qualità, nella duplice transizione pulita e digitale, nella sovranità tecnologica, nelle materie prime critiche, nell'indipendenza energetica e nell'industria della difesa, come pure di un sostegno costante all'Ucraina;</w:t>
      </w:r>
    </w:p>
    <w:p w:rsidR="00AE735B" w:rsidRPr="00BB5DE9" w:rsidP="00F56E20" w14:paraId="7008571A" w14:textId="77777777">
      <w:pPr>
        <w:pStyle w:val="Normal12a"/>
        <w:ind w:left="720" w:hanging="360"/>
        <w:jc w:val="both"/>
        <w:rPr>
          <w:lang w:val="it-IT"/>
        </w:rPr>
      </w:pPr>
      <w:r w:rsidRPr="00BB5DE9">
        <w:rPr>
          <w:lang w:val="it-IT"/>
        </w:rPr>
        <w:t>2.</w:t>
      </w:r>
      <w:r w:rsidRPr="00BB5DE9">
        <w:rPr>
          <w:lang w:val="it-IT"/>
        </w:rPr>
        <w:tab/>
        <w:t xml:space="preserve">sottolinea la necessità di sviluppare una base industriale più resiliente e competitiva nell'Unione e invita il Consiglio a sostenere un bilancio dell'UE che stanzi gli investimenti necessari; prende atto delle dipendenze esterne dell'Unione in settori di interesse fondamentale dal punto di vista strategico ed economico, quali le materie prime critiche, l'energia, le tecnologie digitali e di difesa; chiede che tali vulnerabilità siano affrontate; attende con interesse un centro dell'UE per le materie critiche, per il quale la Commissione dovrebbe mettere a disposizione finanziamenti e personale già a titolo del bilancio 2027; </w:t>
      </w:r>
    </w:p>
    <w:p w:rsidR="00AE735B" w:rsidRPr="00BB5DE9" w:rsidP="00F56E20" w14:paraId="0B0286CC" w14:textId="77777777">
      <w:pPr>
        <w:pStyle w:val="Normal12a"/>
        <w:ind w:left="720" w:hanging="360"/>
        <w:jc w:val="both"/>
        <w:rPr>
          <w:lang w:val="it-IT"/>
        </w:rPr>
      </w:pPr>
      <w:r w:rsidRPr="00BB5DE9">
        <w:rPr>
          <w:lang w:val="it-IT"/>
        </w:rPr>
        <w:t>3.</w:t>
      </w:r>
      <w:r w:rsidRPr="00BB5DE9">
        <w:rPr>
          <w:lang w:val="it-IT"/>
        </w:rPr>
        <w:tab/>
        <w:t>sottolinea la necessità di garantire la sicurezza dell'approvvigionamento energetico per l'Europa; evidenzia la necessità di eliminare rapidamente tutte le restanti importazioni di energia dalla Russia e di ridurre complessivamente la dipendenza dell'UE dai combustibili fossili; chiede pertanto di proseguire gli investimenti nelle infrastrutture energetiche resilienti, nell'elettrificazione, nella decarbonizzazione industriale, nelle misure di efficienza energetica e nella produzione interna di energia rinnovabile e pulita a prezzi accessibili, nonché nelle catene di approvvigionamento in Europa, nell'intento di approfondire il mercato dell'energia dell'UE;</w:t>
      </w:r>
    </w:p>
    <w:p w:rsidR="00AE735B" w:rsidRPr="00BB5DE9" w:rsidP="00F56E20" w14:paraId="7AF9E772" w14:textId="77777777">
      <w:pPr>
        <w:pStyle w:val="Normal12a"/>
        <w:ind w:left="720" w:hanging="360"/>
        <w:jc w:val="both"/>
        <w:rPr>
          <w:lang w:val="it-IT"/>
        </w:rPr>
      </w:pPr>
      <w:r w:rsidRPr="00BB5DE9">
        <w:rPr>
          <w:lang w:val="it-IT"/>
        </w:rPr>
        <w:t>4.</w:t>
      </w:r>
      <w:r w:rsidRPr="00BB5DE9">
        <w:rPr>
          <w:lang w:val="it-IT"/>
        </w:rPr>
        <w:tab/>
        <w:t>chiede quindi un aumento del programma "Meccanismo per collegare l'Europa – Energia" di 50 milioni di EUR rispetto al progetto di bilancio della Commissione, per continuare a investire in infrastrutture energetiche ad alte prestazioni, sostenibili e transfrontaliere e in progetti transfrontalieri in materia di energie rinnovabili, in particolare affrontando la necessità di aumentare la capacità di rete, la flessibilità e gli impianti di stoccaggio dell'energia; respinge con fermezza la proposta di ridurre gli impegni a favore di tale bilancio contenuta nella posizione del Consiglio (-10,0 milioni di EUR); chiede un aumento dei finanziamenti pari a 1,05 milioni di EUR nell'ambito del sottoprogramma Transizione all'energia pulita del programma LIFE, che contribuisce a responsabilizzare i consumatori e le comunità energetiche, affrontando in tal modo la povertà energetica;</w:t>
      </w:r>
    </w:p>
    <w:p w:rsidR="00AE735B" w:rsidRPr="00BB5DE9" w:rsidP="00F56E20" w14:paraId="6030E81D" w14:textId="77777777">
      <w:pPr>
        <w:pStyle w:val="Normal12a"/>
        <w:ind w:left="720" w:hanging="360"/>
        <w:jc w:val="both"/>
        <w:rPr>
          <w:lang w:val="it-IT"/>
        </w:rPr>
      </w:pPr>
      <w:r w:rsidRPr="00BB5DE9">
        <w:rPr>
          <w:lang w:val="it-IT"/>
        </w:rPr>
        <w:t>5.</w:t>
      </w:r>
      <w:r w:rsidRPr="00BB5DE9">
        <w:rPr>
          <w:lang w:val="it-IT"/>
        </w:rPr>
        <w:tab/>
        <w:t xml:space="preserve">ribadisce la richiesta di un sostegno adeguato alla ricerca fondamentale e applicata per promuovere la ricerca collaborativa e facilitare l'espansione e la commercializzazione dei risultati della ricerca; deplora vivamente i tagli proposti dal Consiglio alla ricerca e all'innovazione (-312,1 milioni di EUR), di cui 231,4 milioni di EUR in meno a Orizzonte Europa, il che contraddice le conclusioni della relazione Draghi in cui si critica l'insufficiente attenzione rivolta alle innovazioni pionieristiche; accoglie con favore i 760,30 milioni di EUR assegnati al polo tematico "Salute" nel progetto di </w:t>
      </w:r>
      <w:r w:rsidRPr="00BB5DE9">
        <w:rPr>
          <w:lang w:val="it-IT"/>
        </w:rPr>
        <w:t>bilancio, in quanto la ricerca in materia di sanità pubblica e gli investimenti nelle innovazioni e nelle tecnologie sanitarie sono fondamentali affinché l'UE rimanga all'avanguardia scientifica nell'ambito della salute umana; deplora pertanto i tagli proposti dal Consiglio a questa linea di bilancio (-74,50 milioni di EUR); ricorda che il Parlamento ha insistito affinché il polo tematico "Cultura, creatività e società inclusiva" spendesse almeno il 45 % per le industrie culturali e creative; si rammarica che la Commissione non abbia tradotto il significativo aumento di bilancio per questo polo tematico nell'importo previsto per la spesa destinata alle industrie culturali e creative; ritiene che in tali casi, quando la Commissione non rispetta i suoi impegni politici per quanto riguarda l'assegnazione dei fondi all'interno delle linee di bilancio, sia opportuno che i rispettivi fondi siano iscritti in riserva;</w:t>
      </w:r>
    </w:p>
    <w:p w:rsidR="00AE735B" w:rsidRPr="00BB5DE9" w:rsidP="00F56E20" w14:paraId="4F45895C" w14:textId="77777777">
      <w:pPr>
        <w:pStyle w:val="Normal12a"/>
        <w:ind w:left="720" w:hanging="360"/>
        <w:jc w:val="both"/>
        <w:rPr>
          <w:lang w:val="it-IT"/>
        </w:rPr>
      </w:pPr>
      <w:r w:rsidRPr="00BB5DE9">
        <w:rPr>
          <w:lang w:val="it-IT"/>
        </w:rPr>
        <w:t>6.</w:t>
      </w:r>
      <w:r w:rsidRPr="00BB5DE9">
        <w:rPr>
          <w:lang w:val="it-IT"/>
        </w:rPr>
        <w:tab/>
        <w:t>respinge i tagli apportati dal Consiglio al polo tematico "Clima, energia e mobilità" e all'impresa comune "Aviazione pulita"; ricorda l'articolo 16, paragrafo 5, del regolamento relativo al programma Orizzonte, sottolineando l'importanza del principio di garantire che la partecipazione dei paesi associati non vada a scapito dei ricercatori europei; accoglie con favore gli stanziamenti per i programmi Euratom di ricerca e formazione, in particolare considerando la necessità di sviluppi innovativi nei piccoli reattori modulari;</w:t>
      </w:r>
    </w:p>
    <w:p w:rsidR="00AE735B" w:rsidRPr="00BB5DE9" w:rsidP="00F56E20" w14:paraId="39B36CAF" w14:textId="77777777">
      <w:pPr>
        <w:pStyle w:val="Normal12a"/>
        <w:ind w:left="720" w:hanging="360"/>
        <w:jc w:val="both"/>
        <w:rPr>
          <w:lang w:val="it-IT"/>
        </w:rPr>
      </w:pPr>
      <w:r w:rsidRPr="00BB5DE9">
        <w:rPr>
          <w:lang w:val="it-IT"/>
        </w:rPr>
        <w:t>7.</w:t>
      </w:r>
      <w:r w:rsidRPr="00BB5DE9">
        <w:rPr>
          <w:lang w:val="it-IT"/>
        </w:rPr>
        <w:tab/>
        <w:t>chiede un sostegno adeguato per le piccole e medie imprese (PMI), le imprese a media capitalizzazione e le start-up, compresa una maggiore assistenza per consentire loro di espandersi e competere a livello mondiale;</w:t>
      </w:r>
    </w:p>
    <w:p w:rsidR="00AE735B" w:rsidRPr="00BB5DE9" w:rsidP="00F56E20" w14:paraId="335D3C62" w14:textId="77777777">
      <w:pPr>
        <w:pStyle w:val="Normal12a"/>
        <w:ind w:left="720" w:hanging="360"/>
        <w:jc w:val="both"/>
        <w:rPr>
          <w:lang w:val="it-IT"/>
        </w:rPr>
      </w:pPr>
      <w:r w:rsidRPr="00BB5DE9">
        <w:rPr>
          <w:lang w:val="it-IT"/>
        </w:rPr>
        <w:t>8.</w:t>
      </w:r>
      <w:r w:rsidRPr="00BB5DE9">
        <w:rPr>
          <w:lang w:val="it-IT"/>
        </w:rPr>
        <w:tab/>
        <w:t>prende atto degli stanziamenti del programma Europa digitale nel progetto di bilancio, a sostegno dell'accelerazione della trasformazione digitale della società e dell'economia; apprezza il significativo aumento rispetto al 2026 degli impegni a favore delle competenze (+ 70,8 milioni di EUR), il che riconosce la necessità di sviluppare le competenze digitali e di riqualificare la forza lavoro in tutta Europa; sostiene l'incremento proposto per l'intelligenza artificiale (IA) e la diffusione dell'IA, del cloud e della capacità di calcolo, alla luce della necessità di un settore dell'IA forte ed efficiente sotto il profilo energetico con sede nell'UE, nonché la rapida adozione dell'IA da parte di altri settori; ritiene che dovrebbe essere stanziato un bilancio adeguato per la cibersicurezza, alla luce delle crescenti minacce informatiche basate sull'IA che l'Unione si trova ad affrontare; chiede pertanto un aumento di 5 milioni di EUR per la cibersicurezza e respinge la posizione del Consiglio che desidera ridurre gli impegni di bilancio di 33,0 milioni di EUR per le competenze, di 11,0 milioni di EUR per l'intelligenza artificiale e di 12,6 milioni di EUR per EuroHPC, riduzioni che rischiano di aggravare la dipendenza dell'Europa da fornitori stranieri di capacità di calcolo e modelli di IA;</w:t>
      </w:r>
    </w:p>
    <w:p w:rsidR="00AE735B" w:rsidRPr="00BB5DE9" w:rsidP="00F56E20" w14:paraId="1AE24808" w14:textId="77777777">
      <w:pPr>
        <w:pStyle w:val="Normal12a"/>
        <w:ind w:left="720" w:hanging="360"/>
        <w:jc w:val="both"/>
        <w:rPr>
          <w:lang w:val="it-IT"/>
        </w:rPr>
      </w:pPr>
      <w:r w:rsidRPr="00BB5DE9">
        <w:rPr>
          <w:lang w:val="it-IT"/>
        </w:rPr>
        <w:t>9.</w:t>
      </w:r>
      <w:r w:rsidRPr="00BB5DE9">
        <w:rPr>
          <w:lang w:val="it-IT"/>
        </w:rPr>
        <w:tab/>
        <w:t>accoglie con favore gli stanziamenti del progetto di bilancio della Commissione per la rubrica 5 – Difesa (+ 13,42 % in stanziamenti di impegno); chiede un aumento di 5 milioni di EUR degli impegni per la ricerca nel settore della difesa, fondamentale per finanziare la ricerca collaborativa e transfrontaliera e lo sviluppo di tecnologie innovative di difesa e a duplice uso;</w:t>
      </w:r>
    </w:p>
    <w:p w:rsidR="00AE735B" w:rsidRPr="00BB5DE9" w:rsidP="00F56E20" w14:paraId="75F218DE" w14:textId="36FA6A4D">
      <w:pPr>
        <w:pStyle w:val="Normal12a"/>
        <w:ind w:left="720" w:hanging="360"/>
        <w:jc w:val="both"/>
        <w:rPr>
          <w:lang w:val="it-IT"/>
        </w:rPr>
      </w:pPr>
      <w:r w:rsidRPr="00BB5DE9">
        <w:rPr>
          <w:lang w:val="it-IT"/>
        </w:rPr>
        <w:t>10.</w:t>
      </w:r>
      <w:r w:rsidRPr="00BB5DE9">
        <w:rPr>
          <w:lang w:val="it-IT"/>
        </w:rPr>
        <w:tab/>
        <w:t xml:space="preserve">accoglie con favore il programma AGILE per un'innovazione agile e rapida nel settore </w:t>
      </w:r>
      <w:r w:rsidRPr="00BB5DE9">
        <w:rPr>
          <w:lang w:val="it-IT"/>
        </w:rPr>
        <w:t>della difesa in Europa, volto a rafforzare la capacità dell'UE di creare innovazione nel settore della difesa in modo più rapido ed efficace; si rammarica del fatto che questa nuova iniziativa sarà finanziata mediante riassegnazioni dai programmi spaziali e di difesa esistenti e che pertanto non costituisce un finanziamento dell'UE completamente nuovo;</w:t>
      </w:r>
    </w:p>
    <w:p w:rsidR="00AE735B" w:rsidRPr="00BB5DE9" w:rsidP="00F56E20" w14:paraId="63B1052A" w14:textId="77777777">
      <w:pPr>
        <w:pStyle w:val="Normal12a"/>
        <w:ind w:left="720" w:hanging="360"/>
        <w:jc w:val="both"/>
        <w:rPr>
          <w:lang w:val="it-IT"/>
        </w:rPr>
      </w:pPr>
      <w:r w:rsidRPr="00BB5DE9">
        <w:rPr>
          <w:lang w:val="it-IT"/>
        </w:rPr>
        <w:t>11.</w:t>
      </w:r>
      <w:r w:rsidRPr="00BB5DE9">
        <w:rPr>
          <w:lang w:val="it-IT"/>
        </w:rPr>
        <w:tab/>
        <w:t>ricorda l'importanza dei programmi spaziali dell'Unione per la sicurezza, per stimolare l'innovazione e la sovranità tecnologica e sostenere l'azione per il clima; deplora la posizione del Consiglio di ridurre di 10,0 milioni di EUR gli impegni del programma Copernicus;</w:t>
      </w:r>
    </w:p>
    <w:p w:rsidR="00821202" w:rsidRPr="00BB5DE9" w:rsidP="00F56E20" w14:paraId="5254834A" w14:textId="77777777">
      <w:pPr>
        <w:pStyle w:val="Normal12a"/>
        <w:ind w:left="720" w:hanging="360"/>
        <w:jc w:val="both"/>
        <w:rPr>
          <w:lang w:val="it-IT"/>
        </w:rPr>
        <w:sectPr w:rsidSect="00AE735B">
          <w:headerReference w:type="even" r:id="rId70"/>
          <w:headerReference w:type="default" r:id="rId71"/>
          <w:headerReference w:type="first" r:id="rId72"/>
          <w:footerReference w:type="first" r:id="rId73"/>
          <w:footnotePr>
            <w:numRestart w:val="eachSect"/>
          </w:footnotePr>
          <w:endnotePr>
            <w:numFmt w:val="decimal"/>
          </w:endnotePr>
          <w:pgSz w:w="11906" w:h="16838" w:code="9"/>
          <w:pgMar w:top="1134" w:right="1418" w:bottom="1134" w:left="1418" w:header="1134" w:footer="567" w:gutter="0"/>
          <w:cols w:space="720"/>
          <w:noEndnote/>
          <w:docGrid w:linePitch="326"/>
        </w:sectPr>
      </w:pPr>
      <w:r w:rsidRPr="00BB5DE9">
        <w:rPr>
          <w:lang w:val="it-IT"/>
        </w:rPr>
        <w:t>12.</w:t>
      </w:r>
      <w:r w:rsidRPr="00BB5DE9">
        <w:rPr>
          <w:lang w:val="it-IT"/>
        </w:rPr>
        <w:tab/>
        <w:t>invita la Commissione europea e il Consiglio a fornire finanziamenti e personale adeguati a tutte le agenzie e a tutti gli organismi dell'Unione nei settori strategici dell'industria, della ricerca, dello spazio, dell'energia e della cibersicurezza, affinché possano svolgere adeguatamente le loro attività;</w:t>
      </w:r>
    </w:p>
    <w:p w:rsidR="00AE735B" w:rsidRPr="00BB5DE9" w:rsidP="002B2C72" w14:paraId="787E1625" w14:textId="77777777">
      <w:pPr>
        <w:pStyle w:val="PageHeadingNotTOC"/>
      </w:pPr>
      <w:r w:rsidRPr="00BB5DE9">
        <w:t>ALLEGATO: DICHIARAZIONE DEI CONTRIBUTI</w:t>
      </w:r>
    </w:p>
    <w:p w:rsidR="00AE735B" w:rsidRPr="00BB5DE9" w:rsidP="00F56E20" w14:paraId="1824751E" w14:textId="77777777">
      <w:pPr>
        <w:pStyle w:val="Normal24a"/>
        <w:rPr>
          <w:lang w:val="it-IT"/>
        </w:rPr>
      </w:pPr>
      <w:r w:rsidRPr="00BB5DE9">
        <w:rPr>
          <w:rStyle w:val="HideTWBExt"/>
          <w:lang w:val="it-IT"/>
        </w:rPr>
        <w:t>&lt;FootprintIntro&gt;</w:t>
      </w:r>
      <w:r w:rsidRPr="00BB5DE9">
        <w:rPr>
          <w:lang w:val="it-IT"/>
        </w:rPr>
        <w:t>Il relatore per parere dichiara, sotto la sua esclusiva responsabilità, di non aver incluso nel suo parere alcun contributo di rappresentanti di interessi che rientrano nell'ambito di applicazione dell'accordo interistituzionale su un registro per la trasparenza obbligatorio</w:t>
      </w:r>
      <w:r>
        <w:rPr>
          <w:rStyle w:val="FootnoteReference"/>
          <w:lang w:val="it-IT"/>
        </w:rPr>
        <w:footnoteReference w:id="38"/>
      </w:r>
      <w:r w:rsidRPr="00BB5DE9">
        <w:rPr>
          <w:lang w:val="it-IT"/>
        </w:rPr>
        <w:t>, o di rappresentanti delle pubbliche autorità di paesi terzi, incluse le loro missioni diplomatiche e ambasciate, da enumerare nel presente allegato in virtù dell'allegato I, articolo 8, del regolamento.</w:t>
      </w:r>
      <w:r w:rsidRPr="00BB5DE9">
        <w:rPr>
          <w:rStyle w:val="HideTWBExt"/>
          <w:lang w:val="it-IT"/>
        </w:rPr>
        <w:t>&lt;/FootprintIntro&gt;</w:t>
      </w:r>
    </w:p>
    <w:p w:rsidR="00AE735B" w:rsidRPr="00BB5DE9" w:rsidP="00F56E20" w14:paraId="49ADB420" w14:textId="77777777">
      <w:pPr>
        <w:sectPr w:rsidSect="00AE735B">
          <w:footnotePr>
            <w:numRestart w:val="eachSect"/>
          </w:footnotePr>
          <w:endnotePr>
            <w:numFmt w:val="decimal"/>
          </w:endnotePr>
          <w:pgSz w:w="11906" w:h="16838" w:code="9"/>
          <w:pgMar w:top="1134" w:right="1418" w:bottom="1134" w:left="1418" w:header="1134" w:footer="567" w:gutter="0"/>
          <w:cols w:space="720"/>
          <w:noEndnote/>
          <w:docGrid w:linePitch="326"/>
        </w:sectPr>
      </w:pPr>
    </w:p>
    <w:p w:rsidR="00AE735B" w:rsidRPr="00BB5DE9" w:rsidP="00C36610" w14:paraId="27E3FA41" w14:textId="77777777">
      <w:pPr>
        <w:pStyle w:val="PageHeadingNotTOC"/>
      </w:pPr>
      <w:r w:rsidRPr="00BB5DE9">
        <w:t>VOTAZIONE FINALE PER APPELLO NOMINALE</w:t>
      </w:r>
      <w:r w:rsidRPr="00BB5DE9">
        <w:br/>
        <w:t>DA PARTE DELLA COMMISSIONE COMPETENTE PER PARERE</w:t>
      </w:r>
    </w:p>
    <w:tbl>
      <w:tblPr>
        <w:tblW w:w="0" w:type="auto"/>
        <w:tblInd w:w="145" w:type="dxa"/>
        <w:tblBorders>
          <w:top w:val="double" w:sz="2" w:space="0" w:color="000000"/>
          <w:left w:val="double" w:sz="2" w:space="0" w:color="000000"/>
          <w:bottom w:val="double" w:sz="2" w:space="0" w:color="000000"/>
          <w:right w:val="double" w:sz="2" w:space="0" w:color="000000"/>
          <w:insideH w:val="single" w:sz="2" w:space="0" w:color="000000"/>
          <w:insideV w:val="single" w:sz="2" w:space="0" w:color="000000"/>
        </w:tblBorders>
        <w:tblLayout w:type="fixed"/>
        <w:tblCellMar>
          <w:left w:w="145" w:type="dxa"/>
          <w:right w:w="145" w:type="dxa"/>
        </w:tblCellMar>
        <w:tblLook w:val="0000"/>
      </w:tblPr>
      <w:tblGrid>
        <w:gridCol w:w="1701"/>
        <w:gridCol w:w="7371"/>
      </w:tblGrid>
      <w:tr w14:paraId="0897C9EB" w14:textId="77777777" w:rsidTr="00A556AA">
        <w:tblPrEx>
          <w:tblW w:w="0" w:type="auto"/>
          <w:tblInd w:w="145" w:type="dxa"/>
          <w:tblBorders>
            <w:top w:val="double" w:sz="2" w:space="0" w:color="000000"/>
            <w:left w:val="double" w:sz="2" w:space="0" w:color="000000"/>
            <w:bottom w:val="double" w:sz="2" w:space="0" w:color="000000"/>
            <w:right w:val="double" w:sz="2" w:space="0" w:color="000000"/>
            <w:insideH w:val="single" w:sz="2" w:space="0" w:color="000000"/>
            <w:insideV w:val="single" w:sz="2" w:space="0" w:color="000000"/>
          </w:tblBorders>
          <w:tblLayout w:type="fixed"/>
          <w:tblCellMar>
            <w:left w:w="145" w:type="dxa"/>
            <w:right w:w="145" w:type="dxa"/>
          </w:tblCellMar>
          <w:tblLook w:val="0000"/>
        </w:tblPrEx>
        <w:trPr>
          <w:cantSplit/>
        </w:trPr>
        <w:tc>
          <w:tcPr>
            <w:tcW w:w="1701" w:type="dxa"/>
            <w:shd w:val="pct10" w:color="000000" w:fill="FFFFFF"/>
            <w:vAlign w:val="center"/>
          </w:tcPr>
          <w:p w:rsidR="00AE735B" w:rsidRPr="00BB5DE9" w:rsidP="00A556AA" w14:paraId="70046627" w14:textId="77777777">
            <w:pPr>
              <w:pStyle w:val="RollCallVotes"/>
              <w:rPr>
                <w:lang w:val="it-IT"/>
              </w:rPr>
            </w:pPr>
            <w:r w:rsidRPr="00BB5DE9">
              <w:rPr>
                <w:lang w:val="it-IT"/>
              </w:rPr>
              <w:t>57</w:t>
            </w:r>
          </w:p>
        </w:tc>
        <w:tc>
          <w:tcPr>
            <w:tcW w:w="7371" w:type="dxa"/>
            <w:shd w:val="pct10" w:color="000000" w:fill="FFFFFF"/>
          </w:tcPr>
          <w:p w:rsidR="00AE735B" w:rsidRPr="00BB5DE9" w:rsidP="00A556AA" w14:paraId="73CFDE80" w14:textId="77777777">
            <w:pPr>
              <w:pStyle w:val="RollCallSymbols14pt"/>
              <w:rPr>
                <w:lang w:val="it-IT"/>
              </w:rPr>
            </w:pPr>
            <w:r w:rsidRPr="00BB5DE9">
              <w:rPr>
                <w:lang w:val="it-IT"/>
              </w:rPr>
              <w:t>+</w:t>
            </w:r>
          </w:p>
        </w:tc>
      </w:tr>
      <w:tr w14:paraId="73064FCE" w14:textId="77777777" w:rsidTr="00A556AA">
        <w:tblPrEx>
          <w:tblW w:w="0" w:type="auto"/>
          <w:tblInd w:w="145" w:type="dxa"/>
          <w:tblLayout w:type="fixed"/>
          <w:tblCellMar>
            <w:left w:w="145" w:type="dxa"/>
            <w:right w:w="145" w:type="dxa"/>
          </w:tblCellMar>
          <w:tblLook w:val="0000"/>
        </w:tblPrEx>
        <w:trPr>
          <w:cantSplit/>
        </w:trPr>
        <w:tc>
          <w:tcPr>
            <w:tcW w:w="1701" w:type="dxa"/>
            <w:shd w:val="clear" w:color="auto" w:fill="FFFFFF"/>
          </w:tcPr>
          <w:p w:rsidR="00AE735B" w:rsidRPr="00BB5DE9" w:rsidP="00A556AA" w14:paraId="4229E1C3" w14:textId="77777777">
            <w:pPr>
              <w:pStyle w:val="RollCallTable"/>
              <w:rPr>
                <w:lang w:val="it-IT"/>
              </w:rPr>
            </w:pPr>
            <w:r w:rsidRPr="00BB5DE9">
              <w:rPr>
                <w:lang w:val="it-IT"/>
              </w:rPr>
              <w:t>PPE</w:t>
            </w:r>
          </w:p>
        </w:tc>
        <w:tc>
          <w:tcPr>
            <w:tcW w:w="7371" w:type="dxa"/>
            <w:shd w:val="clear" w:color="auto" w:fill="FFFFFF"/>
          </w:tcPr>
          <w:p w:rsidR="00AE735B" w:rsidRPr="00BB5DE9" w:rsidP="00A556AA" w14:paraId="5BC6C1D1" w14:textId="77777777">
            <w:pPr>
              <w:pStyle w:val="RollCallTable"/>
              <w:rPr>
                <w:lang w:val="it-IT"/>
              </w:rPr>
            </w:pPr>
            <w:r w:rsidRPr="00BB5DE9">
              <w:rPr>
                <w:lang w:val="it-IT"/>
              </w:rPr>
              <w:t>Hildegard Bentele, Pilar del Castillo Vera, Raúl de la Hoz Quintano, Niels Flemming Hansen, Krzysztof Hetman, Seán Kelly, Łukasz Kohut, Willemien Koning, Angelika Niebler, Andrey Novakov, Mirosława Nykiel, Virgil-Daniel Popescu, Jüri Ratas, Aura Salla, Paulius Saudargas, Oliver Schenk, Matej Tonin, Marion Walsmann, Andrea Wechsler, Iuliu Winkler, Angelika Winzig, Tomáš Zdechovský</w:t>
            </w:r>
          </w:p>
        </w:tc>
      </w:tr>
      <w:tr w14:paraId="5DB73A7D" w14:textId="77777777" w:rsidTr="00A556AA">
        <w:tblPrEx>
          <w:tblW w:w="0" w:type="auto"/>
          <w:tblInd w:w="145" w:type="dxa"/>
          <w:tblLayout w:type="fixed"/>
          <w:tblCellMar>
            <w:left w:w="145" w:type="dxa"/>
            <w:right w:w="145" w:type="dxa"/>
          </w:tblCellMar>
          <w:tblLook w:val="0000"/>
        </w:tblPrEx>
        <w:trPr>
          <w:cantSplit/>
        </w:trPr>
        <w:tc>
          <w:tcPr>
            <w:tcW w:w="1701" w:type="dxa"/>
            <w:shd w:val="clear" w:color="auto" w:fill="FFFFFF"/>
          </w:tcPr>
          <w:p w:rsidR="00AE735B" w:rsidRPr="00BB5DE9" w:rsidP="00A556AA" w14:paraId="54308CB8" w14:textId="77777777">
            <w:pPr>
              <w:pStyle w:val="RollCallTable"/>
              <w:rPr>
                <w:lang w:val="it-IT"/>
              </w:rPr>
            </w:pPr>
            <w:r w:rsidRPr="00BB5DE9">
              <w:rPr>
                <w:lang w:val="it-IT"/>
              </w:rPr>
              <w:t>PfE</w:t>
            </w:r>
          </w:p>
        </w:tc>
        <w:tc>
          <w:tcPr>
            <w:tcW w:w="7371" w:type="dxa"/>
            <w:shd w:val="clear" w:color="auto" w:fill="FFFFFF"/>
          </w:tcPr>
          <w:p w:rsidR="00AE735B" w:rsidRPr="00BB5DE9" w:rsidP="00A556AA" w14:paraId="6593447C" w14:textId="77777777">
            <w:pPr>
              <w:pStyle w:val="RollCallTable"/>
              <w:rPr>
                <w:lang w:val="it-IT"/>
              </w:rPr>
            </w:pPr>
            <w:r w:rsidRPr="00BB5DE9">
              <w:rPr>
                <w:lang w:val="it-IT"/>
              </w:rPr>
              <w:t>Jana Nagyová</w:t>
            </w:r>
          </w:p>
        </w:tc>
      </w:tr>
      <w:tr w14:paraId="3201F1E8" w14:textId="77777777" w:rsidTr="00A556AA">
        <w:tblPrEx>
          <w:tblW w:w="0" w:type="auto"/>
          <w:tblInd w:w="145" w:type="dxa"/>
          <w:tblLayout w:type="fixed"/>
          <w:tblCellMar>
            <w:left w:w="145" w:type="dxa"/>
            <w:right w:w="145" w:type="dxa"/>
          </w:tblCellMar>
          <w:tblLook w:val="0000"/>
        </w:tblPrEx>
        <w:trPr>
          <w:cantSplit/>
        </w:trPr>
        <w:tc>
          <w:tcPr>
            <w:tcW w:w="1701" w:type="dxa"/>
            <w:shd w:val="clear" w:color="auto" w:fill="FFFFFF"/>
          </w:tcPr>
          <w:p w:rsidR="00AE735B" w:rsidRPr="00BB5DE9" w:rsidP="00A556AA" w14:paraId="594BA766" w14:textId="77777777">
            <w:pPr>
              <w:pStyle w:val="RollCallTable"/>
              <w:rPr>
                <w:lang w:val="it-IT"/>
              </w:rPr>
            </w:pPr>
            <w:r w:rsidRPr="00BB5DE9">
              <w:rPr>
                <w:lang w:val="it-IT"/>
              </w:rPr>
              <w:t>Renew</w:t>
            </w:r>
          </w:p>
        </w:tc>
        <w:tc>
          <w:tcPr>
            <w:tcW w:w="7371" w:type="dxa"/>
            <w:shd w:val="clear" w:color="auto" w:fill="FFFFFF"/>
          </w:tcPr>
          <w:p w:rsidR="00AE735B" w:rsidRPr="00BB5DE9" w:rsidP="00A556AA" w14:paraId="4661D3AA" w14:textId="77777777">
            <w:pPr>
              <w:pStyle w:val="RollCallTable"/>
              <w:rPr>
                <w:lang w:val="it-IT"/>
              </w:rPr>
            </w:pPr>
            <w:r w:rsidRPr="00BB5DE9">
              <w:rPr>
                <w:lang w:val="it-IT"/>
              </w:rPr>
              <w:t>João Cotrim De Figueiredo, Sigrid Friis, Bart Groothuis, Michał Kobosko, Ilhan Kyuchyuk, Morten Løkkegaard, Anna Stürgkh, Brigitte van den Berg, Yvan Verougstraete</w:t>
            </w:r>
          </w:p>
        </w:tc>
      </w:tr>
      <w:tr w14:paraId="15855112" w14:textId="77777777" w:rsidTr="00A556AA">
        <w:tblPrEx>
          <w:tblW w:w="0" w:type="auto"/>
          <w:tblInd w:w="145" w:type="dxa"/>
          <w:tblLayout w:type="fixed"/>
          <w:tblCellMar>
            <w:left w:w="145" w:type="dxa"/>
            <w:right w:w="145" w:type="dxa"/>
          </w:tblCellMar>
          <w:tblLook w:val="0000"/>
        </w:tblPrEx>
        <w:trPr>
          <w:cantSplit/>
        </w:trPr>
        <w:tc>
          <w:tcPr>
            <w:tcW w:w="1701" w:type="dxa"/>
            <w:shd w:val="clear" w:color="auto" w:fill="FFFFFF"/>
          </w:tcPr>
          <w:p w:rsidR="00AE735B" w:rsidRPr="00BB5DE9" w:rsidP="00A556AA" w14:paraId="0FAA2042" w14:textId="77777777">
            <w:pPr>
              <w:pStyle w:val="RollCallTable"/>
              <w:rPr>
                <w:lang w:val="it-IT"/>
              </w:rPr>
            </w:pPr>
            <w:r w:rsidRPr="00BB5DE9">
              <w:rPr>
                <w:lang w:val="it-IT"/>
              </w:rPr>
              <w:t>S&amp;D</w:t>
            </w:r>
          </w:p>
        </w:tc>
        <w:tc>
          <w:tcPr>
            <w:tcW w:w="7371" w:type="dxa"/>
            <w:shd w:val="clear" w:color="auto" w:fill="FFFFFF"/>
          </w:tcPr>
          <w:p w:rsidR="00AE735B" w:rsidRPr="00BB5DE9" w:rsidP="00A556AA" w14:paraId="0CA448B0" w14:textId="77777777">
            <w:pPr>
              <w:pStyle w:val="RollCallTable"/>
              <w:rPr>
                <w:lang w:val="it-IT"/>
              </w:rPr>
            </w:pPr>
            <w:r w:rsidRPr="00BB5DE9">
              <w:rPr>
                <w:lang w:val="it-IT"/>
              </w:rPr>
              <w:t>Estelle Ceulemans, Christophe Clergeau, Annalisa Corrado, Niels Fuglsang, Lina Gálvez, Jens Geier, Bruno Gonçalves, Nicolás González Casares, Maria Grapini, Eero Heinäluoma, Evin Incir, Thomas Pellerin-Carlin, Tsvetelina Penkova, René Repasi, Elena Sancho Murillo, Bruno Tobback, Nicola Zingaretti</w:t>
            </w:r>
          </w:p>
        </w:tc>
      </w:tr>
      <w:tr w14:paraId="01B6BF46" w14:textId="77777777" w:rsidTr="00A556AA">
        <w:tblPrEx>
          <w:tblW w:w="0" w:type="auto"/>
          <w:tblInd w:w="145" w:type="dxa"/>
          <w:tblLayout w:type="fixed"/>
          <w:tblCellMar>
            <w:left w:w="145" w:type="dxa"/>
            <w:right w:w="145" w:type="dxa"/>
          </w:tblCellMar>
          <w:tblLook w:val="0000"/>
        </w:tblPrEx>
        <w:trPr>
          <w:cantSplit/>
        </w:trPr>
        <w:tc>
          <w:tcPr>
            <w:tcW w:w="1701" w:type="dxa"/>
            <w:shd w:val="clear" w:color="auto" w:fill="FFFFFF"/>
          </w:tcPr>
          <w:p w:rsidR="00AE735B" w:rsidRPr="00BB5DE9" w:rsidP="00A556AA" w14:paraId="3683DDCE" w14:textId="77777777">
            <w:pPr>
              <w:pStyle w:val="RollCallTable"/>
              <w:rPr>
                <w:lang w:val="it-IT"/>
              </w:rPr>
            </w:pPr>
            <w:r w:rsidRPr="00BB5DE9">
              <w:rPr>
                <w:lang w:val="it-IT"/>
              </w:rPr>
              <w:t>The Left</w:t>
            </w:r>
          </w:p>
        </w:tc>
        <w:tc>
          <w:tcPr>
            <w:tcW w:w="7371" w:type="dxa"/>
            <w:shd w:val="clear" w:color="auto" w:fill="FFFFFF"/>
          </w:tcPr>
          <w:p w:rsidR="00AE735B" w:rsidRPr="00BB5DE9" w:rsidP="00A556AA" w14:paraId="7BE0FF80" w14:textId="77777777">
            <w:pPr>
              <w:pStyle w:val="RollCallTable"/>
              <w:rPr>
                <w:lang w:val="it-IT"/>
              </w:rPr>
            </w:pPr>
            <w:r w:rsidRPr="00BB5DE9">
              <w:rPr>
                <w:lang w:val="it-IT"/>
              </w:rPr>
              <w:t>Jussi Saramo</w:t>
            </w:r>
          </w:p>
        </w:tc>
      </w:tr>
      <w:tr w14:paraId="3CE16321" w14:textId="77777777" w:rsidTr="00A556AA">
        <w:tblPrEx>
          <w:tblW w:w="0" w:type="auto"/>
          <w:tblInd w:w="145" w:type="dxa"/>
          <w:tblLayout w:type="fixed"/>
          <w:tblCellMar>
            <w:left w:w="145" w:type="dxa"/>
            <w:right w:w="145" w:type="dxa"/>
          </w:tblCellMar>
          <w:tblLook w:val="0000"/>
        </w:tblPrEx>
        <w:trPr>
          <w:cantSplit/>
        </w:trPr>
        <w:tc>
          <w:tcPr>
            <w:tcW w:w="1701" w:type="dxa"/>
            <w:shd w:val="clear" w:color="auto" w:fill="FFFFFF"/>
          </w:tcPr>
          <w:p w:rsidR="00AE735B" w:rsidRPr="00BB5DE9" w:rsidP="00A556AA" w14:paraId="5AD497F3" w14:textId="77777777">
            <w:pPr>
              <w:pStyle w:val="RollCallTable"/>
              <w:rPr>
                <w:lang w:val="it-IT"/>
              </w:rPr>
            </w:pPr>
            <w:r w:rsidRPr="00BB5DE9">
              <w:rPr>
                <w:lang w:val="it-IT"/>
              </w:rPr>
              <w:t>Verts/ALE</w:t>
            </w:r>
          </w:p>
        </w:tc>
        <w:tc>
          <w:tcPr>
            <w:tcW w:w="7371" w:type="dxa"/>
            <w:shd w:val="clear" w:color="auto" w:fill="FFFFFF"/>
          </w:tcPr>
          <w:p w:rsidR="00AE735B" w:rsidRPr="00BB5DE9" w:rsidP="00A556AA" w14:paraId="28D635F9" w14:textId="77777777">
            <w:pPr>
              <w:pStyle w:val="RollCallTable"/>
              <w:rPr>
                <w:lang w:val="it-IT"/>
              </w:rPr>
            </w:pPr>
            <w:r w:rsidRPr="00BB5DE9">
              <w:rPr>
                <w:lang w:val="it-IT"/>
              </w:rPr>
              <w:t>Michael Bloss, Damian Boeselager, Markéta Gregorová, Ville Niinistö, Majdouline Sbai, Lena Schilling, Villy Søvndal</w:t>
            </w:r>
          </w:p>
        </w:tc>
      </w:tr>
    </w:tbl>
    <w:p w:rsidR="00AE735B" w:rsidRPr="00BB5DE9" w:rsidP="0098790C" w14:paraId="2DA4C261" w14:textId="77777777"/>
    <w:tbl>
      <w:tblPr>
        <w:tblW w:w="0" w:type="auto"/>
        <w:tblInd w:w="145" w:type="dxa"/>
        <w:tblBorders>
          <w:top w:val="double" w:sz="2" w:space="0" w:color="000000"/>
          <w:left w:val="double" w:sz="2" w:space="0" w:color="000000"/>
          <w:bottom w:val="double" w:sz="2" w:space="0" w:color="000000"/>
          <w:right w:val="double" w:sz="2" w:space="0" w:color="000000"/>
          <w:insideH w:val="single" w:sz="2" w:space="0" w:color="000000"/>
          <w:insideV w:val="single" w:sz="2" w:space="0" w:color="000000"/>
        </w:tblBorders>
        <w:tblLayout w:type="fixed"/>
        <w:tblCellMar>
          <w:left w:w="145" w:type="dxa"/>
          <w:right w:w="145" w:type="dxa"/>
        </w:tblCellMar>
        <w:tblLook w:val="0000"/>
      </w:tblPr>
      <w:tblGrid>
        <w:gridCol w:w="1701"/>
        <w:gridCol w:w="7371"/>
      </w:tblGrid>
      <w:tr w14:paraId="638CC886" w14:textId="77777777" w:rsidTr="00A556AA">
        <w:tblPrEx>
          <w:tblW w:w="0" w:type="auto"/>
          <w:tblInd w:w="145" w:type="dxa"/>
          <w:tblBorders>
            <w:top w:val="double" w:sz="2" w:space="0" w:color="000000"/>
            <w:left w:val="double" w:sz="2" w:space="0" w:color="000000"/>
            <w:bottom w:val="double" w:sz="2" w:space="0" w:color="000000"/>
            <w:right w:val="double" w:sz="2" w:space="0" w:color="000000"/>
            <w:insideH w:val="single" w:sz="2" w:space="0" w:color="000000"/>
            <w:insideV w:val="single" w:sz="2" w:space="0" w:color="000000"/>
          </w:tblBorders>
          <w:tblLayout w:type="fixed"/>
          <w:tblCellMar>
            <w:left w:w="145" w:type="dxa"/>
            <w:right w:w="145" w:type="dxa"/>
          </w:tblCellMar>
          <w:tblLook w:val="0000"/>
        </w:tblPrEx>
        <w:trPr>
          <w:cantSplit/>
        </w:trPr>
        <w:tc>
          <w:tcPr>
            <w:tcW w:w="1701" w:type="dxa"/>
            <w:shd w:val="pct10" w:color="000000" w:fill="FFFFFF"/>
            <w:vAlign w:val="center"/>
          </w:tcPr>
          <w:p w:rsidR="00AE735B" w:rsidRPr="00BB5DE9" w:rsidP="00A556AA" w14:paraId="24C1D177" w14:textId="77777777">
            <w:pPr>
              <w:pStyle w:val="RollCallVotes"/>
              <w:rPr>
                <w:lang w:val="it-IT"/>
              </w:rPr>
            </w:pPr>
            <w:r w:rsidRPr="00BB5DE9">
              <w:rPr>
                <w:lang w:val="it-IT"/>
              </w:rPr>
              <w:t>3</w:t>
            </w:r>
          </w:p>
        </w:tc>
        <w:tc>
          <w:tcPr>
            <w:tcW w:w="7371" w:type="dxa"/>
            <w:shd w:val="pct10" w:color="000000" w:fill="FFFFFF"/>
          </w:tcPr>
          <w:p w:rsidR="00AE735B" w:rsidRPr="00BB5DE9" w:rsidP="00A556AA" w14:paraId="3A8D8DFC" w14:textId="77777777">
            <w:pPr>
              <w:pStyle w:val="RollCallSymbols14pt"/>
              <w:rPr>
                <w:lang w:val="it-IT"/>
              </w:rPr>
            </w:pPr>
            <w:r w:rsidRPr="00BB5DE9">
              <w:rPr>
                <w:lang w:val="it-IT"/>
              </w:rPr>
              <w:t>-</w:t>
            </w:r>
          </w:p>
        </w:tc>
      </w:tr>
      <w:tr w14:paraId="44DDCE06" w14:textId="77777777" w:rsidTr="00A556AA">
        <w:tblPrEx>
          <w:tblW w:w="0" w:type="auto"/>
          <w:tblInd w:w="145" w:type="dxa"/>
          <w:tblLayout w:type="fixed"/>
          <w:tblCellMar>
            <w:left w:w="145" w:type="dxa"/>
            <w:right w:w="145" w:type="dxa"/>
          </w:tblCellMar>
          <w:tblLook w:val="0000"/>
        </w:tblPrEx>
        <w:trPr>
          <w:cantSplit/>
        </w:trPr>
        <w:tc>
          <w:tcPr>
            <w:tcW w:w="1701" w:type="dxa"/>
            <w:shd w:val="clear" w:color="auto" w:fill="FFFFFF"/>
          </w:tcPr>
          <w:p w:rsidR="00AE735B" w:rsidRPr="00BB5DE9" w:rsidP="00A556AA" w14:paraId="2AF59D90" w14:textId="77777777">
            <w:pPr>
              <w:pStyle w:val="RollCallTable"/>
              <w:rPr>
                <w:lang w:val="it-IT"/>
              </w:rPr>
            </w:pPr>
            <w:r w:rsidRPr="00BB5DE9">
              <w:rPr>
                <w:lang w:val="it-IT"/>
              </w:rPr>
              <w:t>ESN</w:t>
            </w:r>
          </w:p>
        </w:tc>
        <w:tc>
          <w:tcPr>
            <w:tcW w:w="7371" w:type="dxa"/>
            <w:shd w:val="clear" w:color="auto" w:fill="FFFFFF"/>
          </w:tcPr>
          <w:p w:rsidR="00AE735B" w:rsidRPr="00BB5DE9" w:rsidP="00A556AA" w14:paraId="2BAA71D5" w14:textId="77777777">
            <w:pPr>
              <w:pStyle w:val="RollCallTable"/>
              <w:rPr>
                <w:lang w:val="it-IT"/>
              </w:rPr>
            </w:pPr>
            <w:r w:rsidRPr="00BB5DE9">
              <w:rPr>
                <w:lang w:val="it-IT"/>
              </w:rPr>
              <w:t>Markus Buchheit</w:t>
            </w:r>
          </w:p>
        </w:tc>
      </w:tr>
      <w:tr w14:paraId="26348B57" w14:textId="77777777" w:rsidTr="00A556AA">
        <w:tblPrEx>
          <w:tblW w:w="0" w:type="auto"/>
          <w:tblInd w:w="145" w:type="dxa"/>
          <w:tblLayout w:type="fixed"/>
          <w:tblCellMar>
            <w:left w:w="145" w:type="dxa"/>
            <w:right w:w="145" w:type="dxa"/>
          </w:tblCellMar>
          <w:tblLook w:val="0000"/>
        </w:tblPrEx>
        <w:trPr>
          <w:cantSplit/>
        </w:trPr>
        <w:tc>
          <w:tcPr>
            <w:tcW w:w="1701" w:type="dxa"/>
            <w:shd w:val="clear" w:color="auto" w:fill="FFFFFF"/>
          </w:tcPr>
          <w:p w:rsidR="00AE735B" w:rsidRPr="00BB5DE9" w:rsidP="00A556AA" w14:paraId="0C358743" w14:textId="77777777">
            <w:pPr>
              <w:pStyle w:val="RollCallTable"/>
              <w:rPr>
                <w:lang w:val="it-IT"/>
              </w:rPr>
            </w:pPr>
            <w:r w:rsidRPr="00BB5DE9">
              <w:rPr>
                <w:lang w:val="it-IT"/>
              </w:rPr>
              <w:t>PfE</w:t>
            </w:r>
          </w:p>
        </w:tc>
        <w:tc>
          <w:tcPr>
            <w:tcW w:w="7371" w:type="dxa"/>
            <w:shd w:val="clear" w:color="auto" w:fill="FFFFFF"/>
          </w:tcPr>
          <w:p w:rsidR="00AE735B" w:rsidRPr="00BB5DE9" w:rsidP="00A556AA" w14:paraId="7C92C8F6" w14:textId="77777777">
            <w:pPr>
              <w:pStyle w:val="RollCallTable"/>
              <w:rPr>
                <w:lang w:val="it-IT"/>
              </w:rPr>
            </w:pPr>
            <w:r w:rsidRPr="00BB5DE9">
              <w:rPr>
                <w:lang w:val="it-IT"/>
              </w:rPr>
              <w:t>András Gyürk, Auke Zijlstra</w:t>
            </w:r>
          </w:p>
        </w:tc>
      </w:tr>
    </w:tbl>
    <w:p w:rsidR="00AE735B" w:rsidRPr="00BB5DE9" w:rsidP="0098790C" w14:paraId="48D259C1" w14:textId="77777777"/>
    <w:tbl>
      <w:tblPr>
        <w:tblW w:w="0" w:type="auto"/>
        <w:tblInd w:w="145" w:type="dxa"/>
        <w:tblBorders>
          <w:top w:val="double" w:sz="2" w:space="0" w:color="000000"/>
          <w:left w:val="double" w:sz="2" w:space="0" w:color="000000"/>
          <w:bottom w:val="double" w:sz="2" w:space="0" w:color="000000"/>
          <w:right w:val="double" w:sz="2" w:space="0" w:color="000000"/>
          <w:insideH w:val="single" w:sz="2" w:space="0" w:color="000000"/>
          <w:insideV w:val="single" w:sz="2" w:space="0" w:color="000000"/>
        </w:tblBorders>
        <w:tblLayout w:type="fixed"/>
        <w:tblCellMar>
          <w:left w:w="145" w:type="dxa"/>
          <w:right w:w="145" w:type="dxa"/>
        </w:tblCellMar>
        <w:tblLook w:val="0000"/>
      </w:tblPr>
      <w:tblGrid>
        <w:gridCol w:w="1701"/>
        <w:gridCol w:w="7371"/>
      </w:tblGrid>
      <w:tr w14:paraId="1C93E04F" w14:textId="77777777" w:rsidTr="00A556AA">
        <w:tblPrEx>
          <w:tblW w:w="0" w:type="auto"/>
          <w:tblInd w:w="145" w:type="dxa"/>
          <w:tblBorders>
            <w:top w:val="double" w:sz="2" w:space="0" w:color="000000"/>
            <w:left w:val="double" w:sz="2" w:space="0" w:color="000000"/>
            <w:bottom w:val="double" w:sz="2" w:space="0" w:color="000000"/>
            <w:right w:val="double" w:sz="2" w:space="0" w:color="000000"/>
            <w:insideH w:val="single" w:sz="2" w:space="0" w:color="000000"/>
            <w:insideV w:val="single" w:sz="2" w:space="0" w:color="000000"/>
          </w:tblBorders>
          <w:tblLayout w:type="fixed"/>
          <w:tblCellMar>
            <w:left w:w="145" w:type="dxa"/>
            <w:right w:w="145" w:type="dxa"/>
          </w:tblCellMar>
          <w:tblLook w:val="0000"/>
        </w:tblPrEx>
        <w:trPr>
          <w:cantSplit/>
        </w:trPr>
        <w:tc>
          <w:tcPr>
            <w:tcW w:w="1701" w:type="dxa"/>
            <w:shd w:val="pct10" w:color="000000" w:fill="FFFFFF"/>
            <w:vAlign w:val="center"/>
          </w:tcPr>
          <w:p w:rsidR="00AE735B" w:rsidRPr="00BB5DE9" w:rsidP="00A556AA" w14:paraId="48CA1016" w14:textId="77777777">
            <w:pPr>
              <w:pStyle w:val="RollCallVotes"/>
              <w:rPr>
                <w:lang w:val="it-IT"/>
              </w:rPr>
            </w:pPr>
            <w:r w:rsidRPr="00BB5DE9">
              <w:rPr>
                <w:lang w:val="it-IT"/>
              </w:rPr>
              <w:t>15</w:t>
            </w:r>
          </w:p>
        </w:tc>
        <w:tc>
          <w:tcPr>
            <w:tcW w:w="7371" w:type="dxa"/>
            <w:shd w:val="pct10" w:color="000000" w:fill="FFFFFF"/>
          </w:tcPr>
          <w:p w:rsidR="00AE735B" w:rsidRPr="00BB5DE9" w:rsidP="00A556AA" w14:paraId="0AD80711" w14:textId="77777777">
            <w:pPr>
              <w:pStyle w:val="RollCallSymbols14pt"/>
              <w:rPr>
                <w:lang w:val="it-IT"/>
              </w:rPr>
            </w:pPr>
            <w:r w:rsidRPr="00BB5DE9">
              <w:rPr>
                <w:lang w:val="it-IT"/>
              </w:rPr>
              <w:t>0</w:t>
            </w:r>
          </w:p>
        </w:tc>
      </w:tr>
      <w:tr w14:paraId="702E339C" w14:textId="77777777" w:rsidTr="00A556AA">
        <w:tblPrEx>
          <w:tblW w:w="0" w:type="auto"/>
          <w:tblInd w:w="145" w:type="dxa"/>
          <w:tblLayout w:type="fixed"/>
          <w:tblCellMar>
            <w:left w:w="145" w:type="dxa"/>
            <w:right w:w="145" w:type="dxa"/>
          </w:tblCellMar>
          <w:tblLook w:val="0000"/>
        </w:tblPrEx>
        <w:trPr>
          <w:cantSplit/>
        </w:trPr>
        <w:tc>
          <w:tcPr>
            <w:tcW w:w="1701" w:type="dxa"/>
            <w:shd w:val="clear" w:color="auto" w:fill="FFFFFF"/>
          </w:tcPr>
          <w:p w:rsidR="00AE735B" w:rsidRPr="00BB5DE9" w:rsidP="00A556AA" w14:paraId="7010F4F6" w14:textId="77777777">
            <w:pPr>
              <w:pStyle w:val="RollCallTable"/>
              <w:rPr>
                <w:lang w:val="it-IT"/>
              </w:rPr>
            </w:pPr>
            <w:r w:rsidRPr="00BB5DE9">
              <w:rPr>
                <w:lang w:val="it-IT"/>
              </w:rPr>
              <w:t>ECR</w:t>
            </w:r>
          </w:p>
        </w:tc>
        <w:tc>
          <w:tcPr>
            <w:tcW w:w="7371" w:type="dxa"/>
            <w:shd w:val="clear" w:color="auto" w:fill="FFFFFF"/>
          </w:tcPr>
          <w:p w:rsidR="00AE735B" w:rsidRPr="00BB5DE9" w:rsidP="00A556AA" w14:paraId="55927F65" w14:textId="77777777">
            <w:pPr>
              <w:pStyle w:val="RollCallTable"/>
              <w:rPr>
                <w:lang w:val="it-IT"/>
              </w:rPr>
            </w:pPr>
            <w:r w:rsidRPr="00BB5DE9">
              <w:rPr>
                <w:lang w:val="it-IT"/>
              </w:rPr>
              <w:t>Elena Donazzan, Rihards Kols, Daniel Obajtek, Diego Solier, Claudiu-Richard Târziu, Francesco Torselli, Kris Van Dijck, Mariateresa Vivaldini</w:t>
            </w:r>
          </w:p>
        </w:tc>
      </w:tr>
      <w:tr w14:paraId="60B7CF56" w14:textId="77777777" w:rsidTr="00A556AA">
        <w:tblPrEx>
          <w:tblW w:w="0" w:type="auto"/>
          <w:tblInd w:w="145" w:type="dxa"/>
          <w:tblLayout w:type="fixed"/>
          <w:tblCellMar>
            <w:left w:w="145" w:type="dxa"/>
            <w:right w:w="145" w:type="dxa"/>
          </w:tblCellMar>
          <w:tblLook w:val="0000"/>
        </w:tblPrEx>
        <w:trPr>
          <w:cantSplit/>
        </w:trPr>
        <w:tc>
          <w:tcPr>
            <w:tcW w:w="1701" w:type="dxa"/>
            <w:shd w:val="clear" w:color="auto" w:fill="FFFFFF"/>
          </w:tcPr>
          <w:p w:rsidR="00AE735B" w:rsidRPr="00BB5DE9" w:rsidP="00A556AA" w14:paraId="377ED36B" w14:textId="77777777">
            <w:pPr>
              <w:pStyle w:val="RollCallTable"/>
              <w:rPr>
                <w:lang w:val="it-IT"/>
              </w:rPr>
            </w:pPr>
            <w:r w:rsidRPr="00BB5DE9">
              <w:rPr>
                <w:lang w:val="it-IT"/>
              </w:rPr>
              <w:t>PPE</w:t>
            </w:r>
          </w:p>
        </w:tc>
        <w:tc>
          <w:tcPr>
            <w:tcW w:w="7371" w:type="dxa"/>
            <w:shd w:val="clear" w:color="auto" w:fill="FFFFFF"/>
          </w:tcPr>
          <w:p w:rsidR="00AE735B" w:rsidRPr="00BB5DE9" w:rsidP="00A556AA" w14:paraId="17819181" w14:textId="77777777">
            <w:pPr>
              <w:pStyle w:val="RollCallTable"/>
              <w:rPr>
                <w:lang w:val="it-IT"/>
              </w:rPr>
            </w:pPr>
            <w:r w:rsidRPr="00BB5DE9">
              <w:rPr>
                <w:lang w:val="it-IT"/>
              </w:rPr>
              <w:t>Eszter Lakos</w:t>
            </w:r>
          </w:p>
        </w:tc>
      </w:tr>
      <w:tr w14:paraId="429574A9" w14:textId="77777777" w:rsidTr="00A556AA">
        <w:tblPrEx>
          <w:tblW w:w="0" w:type="auto"/>
          <w:tblInd w:w="145" w:type="dxa"/>
          <w:tblLayout w:type="fixed"/>
          <w:tblCellMar>
            <w:left w:w="145" w:type="dxa"/>
            <w:right w:w="145" w:type="dxa"/>
          </w:tblCellMar>
          <w:tblLook w:val="0000"/>
        </w:tblPrEx>
        <w:trPr>
          <w:cantSplit/>
        </w:trPr>
        <w:tc>
          <w:tcPr>
            <w:tcW w:w="1701" w:type="dxa"/>
            <w:shd w:val="clear" w:color="auto" w:fill="FFFFFF"/>
          </w:tcPr>
          <w:p w:rsidR="00AE735B" w:rsidRPr="00BB5DE9" w:rsidP="00A556AA" w14:paraId="069A0F68" w14:textId="77777777">
            <w:pPr>
              <w:pStyle w:val="RollCallTable"/>
              <w:rPr>
                <w:lang w:val="it-IT"/>
              </w:rPr>
            </w:pPr>
            <w:r w:rsidRPr="00BB5DE9">
              <w:rPr>
                <w:lang w:val="it-IT"/>
              </w:rPr>
              <w:t>PfE</w:t>
            </w:r>
          </w:p>
        </w:tc>
        <w:tc>
          <w:tcPr>
            <w:tcW w:w="7371" w:type="dxa"/>
            <w:shd w:val="clear" w:color="auto" w:fill="FFFFFF"/>
          </w:tcPr>
          <w:p w:rsidR="00AE735B" w:rsidRPr="00BB5DE9" w:rsidP="00A556AA" w14:paraId="5F4DB13E" w14:textId="77777777">
            <w:pPr>
              <w:pStyle w:val="RollCallTable"/>
              <w:rPr>
                <w:lang w:val="it-IT"/>
              </w:rPr>
            </w:pPr>
            <w:r w:rsidRPr="00BB5DE9">
              <w:rPr>
                <w:lang w:val="it-IT"/>
              </w:rPr>
              <w:t>Majbritt Birkholm, Mélanie Disdier, Pierre-Romain Thionnet</w:t>
            </w:r>
          </w:p>
        </w:tc>
      </w:tr>
      <w:tr w14:paraId="406DE36A" w14:textId="77777777" w:rsidTr="00A556AA">
        <w:tblPrEx>
          <w:tblW w:w="0" w:type="auto"/>
          <w:tblInd w:w="145" w:type="dxa"/>
          <w:tblLayout w:type="fixed"/>
          <w:tblCellMar>
            <w:left w:w="145" w:type="dxa"/>
            <w:right w:w="145" w:type="dxa"/>
          </w:tblCellMar>
          <w:tblLook w:val="0000"/>
        </w:tblPrEx>
        <w:trPr>
          <w:cantSplit/>
        </w:trPr>
        <w:tc>
          <w:tcPr>
            <w:tcW w:w="1701" w:type="dxa"/>
            <w:shd w:val="clear" w:color="auto" w:fill="FFFFFF"/>
          </w:tcPr>
          <w:p w:rsidR="00AE735B" w:rsidRPr="00BB5DE9" w:rsidP="00A556AA" w14:paraId="7AA948C3" w14:textId="77777777">
            <w:pPr>
              <w:pStyle w:val="RollCallTable"/>
              <w:rPr>
                <w:lang w:val="it-IT"/>
              </w:rPr>
            </w:pPr>
            <w:r w:rsidRPr="00BB5DE9">
              <w:rPr>
                <w:lang w:val="it-IT"/>
              </w:rPr>
              <w:t>The Left</w:t>
            </w:r>
          </w:p>
        </w:tc>
        <w:tc>
          <w:tcPr>
            <w:tcW w:w="7371" w:type="dxa"/>
            <w:shd w:val="clear" w:color="auto" w:fill="FFFFFF"/>
          </w:tcPr>
          <w:p w:rsidR="00AE735B" w:rsidRPr="00BB5DE9" w:rsidP="00A556AA" w14:paraId="4B596B15" w14:textId="77777777">
            <w:pPr>
              <w:pStyle w:val="RollCallTable"/>
              <w:rPr>
                <w:lang w:val="it-IT"/>
              </w:rPr>
            </w:pPr>
            <w:r w:rsidRPr="00BB5DE9">
              <w:rPr>
                <w:lang w:val="it-IT"/>
              </w:rPr>
              <w:t>Marina Mesure, Gaetano Pedulla', Dario Tamburrano</w:t>
            </w:r>
          </w:p>
        </w:tc>
      </w:tr>
    </w:tbl>
    <w:p w:rsidR="00AE735B" w:rsidRPr="00BB5DE9" w:rsidP="00147FBF" w14:paraId="52BA2ABB" w14:textId="77777777">
      <w:pPr>
        <w:pStyle w:val="Normal12a"/>
        <w:rPr>
          <w:lang w:val="it-IT"/>
        </w:rPr>
      </w:pPr>
    </w:p>
    <w:p w:rsidR="00AE735B" w:rsidRPr="00BB5DE9" w:rsidP="00B735E3" w14:paraId="4B061DE0" w14:textId="77777777">
      <w:r w:rsidRPr="00BB5DE9">
        <w:t>Significato dei simboli utilizzati:</w:t>
      </w:r>
    </w:p>
    <w:p w:rsidR="00AE735B" w:rsidRPr="00BB5DE9" w:rsidP="003858C5" w14:paraId="44B50154" w14:textId="77777777">
      <w:pPr>
        <w:pStyle w:val="RollCallTabs"/>
        <w:rPr>
          <w:lang w:val="it-IT"/>
        </w:rPr>
      </w:pPr>
      <w:r w:rsidRPr="00BB5DE9">
        <w:rPr>
          <w:lang w:val="it-IT"/>
        </w:rPr>
        <w:t>+</w:t>
      </w:r>
      <w:r w:rsidRPr="00BB5DE9">
        <w:rPr>
          <w:lang w:val="it-IT"/>
        </w:rPr>
        <w:tab/>
        <w:t>:</w:t>
      </w:r>
      <w:r w:rsidRPr="00BB5DE9">
        <w:rPr>
          <w:lang w:val="it-IT"/>
        </w:rPr>
        <w:tab/>
        <w:t>favorevoli</w:t>
      </w:r>
    </w:p>
    <w:p w:rsidR="00AE735B" w:rsidRPr="00BB5DE9" w:rsidP="003858C5" w14:paraId="6F00BD05" w14:textId="77777777">
      <w:pPr>
        <w:pStyle w:val="RollCallTabs"/>
        <w:rPr>
          <w:lang w:val="it-IT"/>
        </w:rPr>
      </w:pPr>
      <w:r w:rsidRPr="00BB5DE9">
        <w:rPr>
          <w:lang w:val="it-IT"/>
        </w:rPr>
        <w:t>-</w:t>
      </w:r>
      <w:r w:rsidRPr="00BB5DE9">
        <w:rPr>
          <w:lang w:val="it-IT"/>
        </w:rPr>
        <w:tab/>
        <w:t>:</w:t>
      </w:r>
      <w:r w:rsidRPr="00BB5DE9">
        <w:rPr>
          <w:lang w:val="it-IT"/>
        </w:rPr>
        <w:tab/>
        <w:t>contrari</w:t>
      </w:r>
    </w:p>
    <w:p w:rsidR="00AE735B" w:rsidRPr="00BB5DE9" w:rsidP="003858C5" w14:paraId="0A6049ED" w14:textId="77777777">
      <w:pPr>
        <w:pStyle w:val="RollCallTabs"/>
        <w:rPr>
          <w:lang w:val="it-IT"/>
        </w:rPr>
      </w:pPr>
      <w:r w:rsidRPr="00BB5DE9">
        <w:rPr>
          <w:lang w:val="it-IT"/>
        </w:rPr>
        <w:t>0</w:t>
      </w:r>
      <w:r w:rsidRPr="00BB5DE9">
        <w:rPr>
          <w:lang w:val="it-IT"/>
        </w:rPr>
        <w:tab/>
        <w:t>:</w:t>
      </w:r>
      <w:r w:rsidRPr="00BB5DE9">
        <w:rPr>
          <w:lang w:val="it-IT"/>
        </w:rPr>
        <w:tab/>
        <w:t>astenuti</w:t>
      </w:r>
    </w:p>
    <w:p w:rsidR="00AE735B" w:rsidRPr="00BB5DE9" w:rsidP="00207509" w14:paraId="2B00CC29" w14:textId="77777777"/>
    <w:p w:rsidR="00AE735B" w:rsidRPr="00BB5DE9" w:rsidP="00F56E20" w14:paraId="58A50A2C" w14:textId="77777777"/>
    <w:p w:rsidR="00AE735B" w:rsidRPr="00BB5DE9" w:rsidP="00AE735B" w14:paraId="0199DD44" w14:textId="77777777">
      <w:pPr>
        <w:rPr>
          <w:snapToGrid/>
          <w:lang w:eastAsia="en-GB"/>
        </w:rPr>
        <w:sectPr w:rsidSect="00AE735B">
          <w:footnotePr>
            <w:numRestart w:val="eachSect"/>
          </w:footnotePr>
          <w:endnotePr>
            <w:numFmt w:val="decimal"/>
          </w:endnotePr>
          <w:pgSz w:w="11906" w:h="16838" w:code="9"/>
          <w:pgMar w:top="1134" w:right="1418" w:bottom="1134" w:left="1418" w:header="1134" w:footer="567" w:gutter="0"/>
          <w:cols w:space="720"/>
          <w:noEndnote/>
          <w:docGrid w:linePitch="326"/>
        </w:sectPr>
      </w:pPr>
    </w:p>
    <w:p w:rsidR="00AE735B" w:rsidRPr="00BB5DE9" w:rsidP="00AE735B" w14:paraId="238DB30B" w14:textId="77777777">
      <w:pPr>
        <w:pStyle w:val="Normal24a"/>
        <w:rPr>
          <w:lang w:val="it-IT"/>
        </w:rPr>
      </w:pPr>
      <w:r w:rsidRPr="00BB5DE9">
        <w:rPr>
          <w:rStyle w:val="HideTWBExt"/>
          <w:lang w:val="it-IT"/>
        </w:rPr>
        <w:t>&lt;Date&gt;</w:t>
      </w:r>
      <w:r w:rsidRPr="00BB5DE9">
        <w:rPr>
          <w:rStyle w:val="HideTWBInt"/>
          <w:lang w:val="it-IT"/>
        </w:rPr>
        <w:t>{03/08/2026}</w:t>
      </w:r>
      <w:r w:rsidRPr="00BB5DE9">
        <w:rPr>
          <w:lang w:val="it-IT"/>
        </w:rPr>
        <w:t>3.8.2026</w:t>
      </w:r>
      <w:r w:rsidRPr="00BB5DE9">
        <w:rPr>
          <w:rStyle w:val="HideTWBExt"/>
          <w:lang w:val="it-IT"/>
        </w:rPr>
        <w:t>&lt;/Date&gt;</w:t>
      </w:r>
    </w:p>
    <w:p w:rsidR="00AE735B" w:rsidRPr="00BB5DE9" w:rsidP="00AE735B" w14:paraId="238A1A2D" w14:textId="6D9C211E">
      <w:pPr>
        <w:pStyle w:val="PageHeading"/>
      </w:pPr>
      <w:bookmarkStart w:id="43" w:name="OpinionToc_15"/>
      <w:bookmarkStart w:id="44" w:name="_Toc243036432"/>
      <w:r w:rsidRPr="00BB5DE9">
        <w:t>LETTERA DELLA COMMISSIONE PER I TRASPORTI E IL TURISMO</w:t>
      </w:r>
      <w:bookmarkEnd w:id="43"/>
      <w:bookmarkEnd w:id="44"/>
    </w:p>
    <w:p w:rsidR="00AE735B" w:rsidRPr="00BB5DE9" w14:paraId="041B064C" w14:textId="77777777">
      <w:r w:rsidRPr="00BB5DE9">
        <w:t>On. Johan Van Overtveldt</w:t>
      </w:r>
    </w:p>
    <w:p w:rsidR="00AE735B" w:rsidRPr="00BB5DE9" w14:paraId="1BCD42D7" w14:textId="77777777">
      <w:r w:rsidRPr="00BB5DE9">
        <w:t>Presidente</w:t>
      </w:r>
    </w:p>
    <w:p w:rsidR="00AE735B" w:rsidRPr="00BB5DE9" w14:paraId="2C89F28C" w14:textId="77777777">
      <w:r w:rsidRPr="00BB5DE9">
        <w:t>Commissione per i bilanci</w:t>
      </w:r>
    </w:p>
    <w:p w:rsidR="00AE735B" w:rsidRPr="00BB5DE9" w14:paraId="432AA06D" w14:textId="77777777">
      <w:r w:rsidRPr="00BB5DE9">
        <w:t>BRUXELLES</w:t>
      </w:r>
    </w:p>
    <w:p w:rsidR="00AE735B" w:rsidRPr="00BB5DE9" w:rsidP="009F796C" w14:paraId="55595EF2" w14:textId="77777777">
      <w:pPr>
        <w:pStyle w:val="LetterSubject"/>
      </w:pPr>
      <w:r w:rsidRPr="00BB5DE9">
        <w:t>Oggetto:</w:t>
      </w:r>
      <w:r w:rsidRPr="00BB5DE9">
        <w:tab/>
      </w:r>
      <w:r w:rsidRPr="00BB5DE9">
        <w:rPr>
          <w:rStyle w:val="HideTWBExt"/>
        </w:rPr>
        <w:t>&lt;Titre&gt;</w:t>
      </w:r>
      <w:r w:rsidRPr="00BB5DE9">
        <w:t>Parere sul bilancio generale dell'Unione europea per l'esercizio 2027 – tutte le sezioni</w:t>
      </w:r>
      <w:r w:rsidRPr="00BB5DE9">
        <w:rPr>
          <w:rStyle w:val="HideTWBExt"/>
        </w:rPr>
        <w:t>&lt;/Titre&gt;</w:t>
      </w:r>
      <w:r w:rsidRPr="00BB5DE9">
        <w:t xml:space="preserve"> </w:t>
      </w:r>
      <w:r w:rsidRPr="00BB5DE9">
        <w:rPr>
          <w:rStyle w:val="HideTWBExt"/>
        </w:rPr>
        <w:t>&lt;DocRef&gt;</w:t>
      </w:r>
      <w:r w:rsidRPr="00BB5DE9">
        <w:t>2026/0196(BUD)</w:t>
      </w:r>
      <w:r w:rsidRPr="00BB5DE9">
        <w:rPr>
          <w:rStyle w:val="HideTWBExt"/>
        </w:rPr>
        <w:t>&lt;/DocRef&gt;</w:t>
      </w:r>
    </w:p>
    <w:p w:rsidR="00AE735B" w:rsidRPr="00BB5DE9" w:rsidP="007C3F41" w14:paraId="609C5296" w14:textId="77777777">
      <w:pPr>
        <w:pStyle w:val="LetterSalutation"/>
      </w:pPr>
      <w:r w:rsidRPr="00BB5DE9">
        <w:t>Signor Presidente,</w:t>
      </w:r>
    </w:p>
    <w:p w:rsidR="00AE735B" w:rsidRPr="00BB5DE9" w:rsidP="007C0E6D" w14:paraId="68193B2D" w14:textId="77777777">
      <w:pPr>
        <w:pStyle w:val="Normal12a"/>
        <w:jc w:val="both"/>
        <w:rPr>
          <w:lang w:val="it-IT"/>
        </w:rPr>
      </w:pPr>
      <w:r w:rsidRPr="00BB5DE9">
        <w:rPr>
          <w:lang w:val="it-IT"/>
        </w:rPr>
        <w:t>nel quadro della procedura in oggetto la commissione per i trasporti e il turismo è stata incaricata di sottoporre un parere alla Sua commissione. Nella riunione del 2 dicembre 2025 i coordinatori della commissione TRAN hanno deciso di esprimere tale parere sotto forma di lettera, che la commissione TRAN ha approvato nella riunione del 15 luglio 2026</w:t>
      </w:r>
      <w:r>
        <w:rPr>
          <w:rStyle w:val="FootnoteReference"/>
          <w:lang w:val="it-IT"/>
        </w:rPr>
        <w:footnoteReference w:id="39"/>
      </w:r>
      <w:r w:rsidRPr="00BB5DE9">
        <w:rPr>
          <w:lang w:val="it-IT"/>
        </w:rPr>
        <w:t>.</w:t>
      </w:r>
    </w:p>
    <w:p w:rsidR="00AE735B" w:rsidRPr="00BB5DE9" w:rsidP="007C0E6D" w14:paraId="2B0022C3" w14:textId="77777777">
      <w:pPr>
        <w:pStyle w:val="Normal12a"/>
        <w:jc w:val="both"/>
        <w:rPr>
          <w:lang w:val="it-IT"/>
        </w:rPr>
      </w:pPr>
      <w:r w:rsidRPr="00BB5DE9">
        <w:rPr>
          <w:lang w:val="it-IT"/>
        </w:rPr>
        <w:t>Con l'avvicinarsi dell'ultimo anno del quadro finanziario pluriennale (QFP) 2021-2027, la commissione sottolinea ancora una volta che il meccanismo per collegare l'Europa (MCE-T) è indispensabile per promuovere infrastrutture TEN-T strategiche, sostenibili e di alta qualità in tutta l'Unione.</w:t>
      </w:r>
    </w:p>
    <w:p w:rsidR="00AE735B" w:rsidRPr="00BB5DE9" w:rsidP="007C0E6D" w14:paraId="3F425E85" w14:textId="77777777">
      <w:pPr>
        <w:pStyle w:val="Normal12a"/>
        <w:jc w:val="both"/>
        <w:rPr>
          <w:lang w:val="it-IT"/>
        </w:rPr>
      </w:pPr>
      <w:r w:rsidRPr="00BB5DE9">
        <w:rPr>
          <w:lang w:val="it-IT"/>
        </w:rPr>
        <w:t>La commissione ricorda che l'intero bilancio dell'MCE è già stato impegnato nell'ambito dell'invito del 2024 – l'ultimo invito ordinario – il che dimostra ancora una volta il successo del programma, ma rivela anche che i grandi progetti saranno in grado di ottenere nuovi finanziamenti solo nell'ambito del prossimo QFP, quando saranno disponibili nuove risorse.</w:t>
      </w:r>
    </w:p>
    <w:p w:rsidR="00AE735B" w:rsidRPr="00BB5DE9" w:rsidP="007C0E6D" w14:paraId="7030D953" w14:textId="77777777">
      <w:pPr>
        <w:pStyle w:val="Normal12a"/>
        <w:jc w:val="both"/>
        <w:rPr>
          <w:lang w:val="it-IT"/>
        </w:rPr>
      </w:pPr>
      <w:r w:rsidRPr="00BB5DE9">
        <w:rPr>
          <w:lang w:val="it-IT"/>
        </w:rPr>
        <w:t>In tale contesto, la commissione richiama l'attenzione sul programma di lavoro pluriennale 2021-2027 dell'MCE-T</w:t>
      </w:r>
      <w:r>
        <w:rPr>
          <w:rStyle w:val="FootnoteReference"/>
          <w:lang w:val="it-IT"/>
        </w:rPr>
        <w:footnoteReference w:id="40"/>
      </w:r>
      <w:r w:rsidRPr="00BB5DE9">
        <w:rPr>
          <w:lang w:val="it-IT"/>
        </w:rPr>
        <w:t>, che prevede un unico invito a presentare proposte per il rientro di fondi pubblicato nel giugno 2026</w:t>
      </w:r>
      <w:r>
        <w:rPr>
          <w:rStyle w:val="FootnoteReference"/>
          <w:lang w:val="it-IT"/>
        </w:rPr>
        <w:footnoteReference w:id="41"/>
      </w:r>
      <w:r w:rsidRPr="00BB5DE9">
        <w:rPr>
          <w:lang w:val="it-IT"/>
        </w:rPr>
        <w:t>. La commissione sottolinea che l'invito del 2026, con circa 1,11 miliardi di EUR a disposizione, copre un'ampia serie di priorità, con obiettivi e livelli di finanziamento calibrati sulle esigenze strategiche nonostante i margini di bilancio ristretti. In effetti, oltre alle rimanenti esigenze derivanti dai termini vincolanti per il completamento delle reti transeuropee centrali, estese e globali, è introdotta una serie diversificata di ulteriori priorità attraverso documenti strategici di recente adozione, tra cui la comunicazione sulle ferrovie ad alta velocità</w:t>
      </w:r>
      <w:r>
        <w:rPr>
          <w:rStyle w:val="FootnoteReference"/>
          <w:lang w:val="it-IT"/>
        </w:rPr>
        <w:footnoteReference w:id="42"/>
      </w:r>
      <w:r w:rsidRPr="00BB5DE9">
        <w:rPr>
          <w:lang w:val="it-IT"/>
        </w:rPr>
        <w:t>, il piano d'azione per il settore automobilistico</w:t>
      </w:r>
      <w:r>
        <w:rPr>
          <w:rStyle w:val="FootnoteReference"/>
          <w:lang w:val="it-IT"/>
        </w:rPr>
        <w:footnoteReference w:id="43"/>
      </w:r>
      <w:r w:rsidRPr="00BB5DE9">
        <w:rPr>
          <w:lang w:val="it-IT"/>
        </w:rPr>
        <w:t xml:space="preserve">, la strategia industriale marittima </w:t>
      </w:r>
      <w:r w:rsidRPr="00BB5DE9">
        <w:rPr>
          <w:lang w:val="it-IT"/>
        </w:rPr>
        <w:t>dell'UE</w:t>
      </w:r>
      <w:r>
        <w:rPr>
          <w:rStyle w:val="FootnoteReference"/>
          <w:lang w:val="it-IT"/>
        </w:rPr>
        <w:footnoteReference w:id="44"/>
      </w:r>
      <w:r w:rsidRPr="00BB5DE9">
        <w:rPr>
          <w:lang w:val="it-IT"/>
        </w:rPr>
        <w:t>, la strategia portuale dell'UE</w:t>
      </w:r>
      <w:r>
        <w:rPr>
          <w:rStyle w:val="FootnoteReference"/>
          <w:lang w:val="it-IT"/>
        </w:rPr>
        <w:footnoteReference w:id="45"/>
      </w:r>
      <w:r w:rsidRPr="00BB5DE9">
        <w:rPr>
          <w:lang w:val="it-IT"/>
        </w:rPr>
        <w:t>, l'atto legislativo sull'accelerazione industriale</w:t>
      </w:r>
      <w:r>
        <w:rPr>
          <w:rStyle w:val="FootnoteReference"/>
          <w:lang w:val="it-IT"/>
        </w:rPr>
        <w:footnoteReference w:id="46"/>
      </w:r>
      <w:r w:rsidRPr="00BB5DE9">
        <w:rPr>
          <w:lang w:val="it-IT"/>
        </w:rPr>
        <w:t xml:space="preserve"> e altri. La commissione sottolinea che queste nuove priorità dovrebbero integrare e rafforzare gli obiettivi fondamentali dell'MCE, ovvero il miglioramento di infrastrutture di trasporto sicure, sostenibili e interoperabili con un elevato valore aggiunto europeo, garantendo nel contempo uno sviluppo territoriale equilibrato in tutta l'Unione. Devono essere debitamente riconosciute anche le tratte nazionali con rilevanza transfrontaliera, in quanto indispensabili per garantire prestazioni adeguate e affidabili della rete.</w:t>
      </w:r>
    </w:p>
    <w:p w:rsidR="00AE735B" w:rsidRPr="00BB5DE9" w:rsidP="007C0E6D" w14:paraId="1D0E2A28" w14:textId="77777777">
      <w:pPr>
        <w:pStyle w:val="Normal12a"/>
        <w:jc w:val="both"/>
        <w:rPr>
          <w:lang w:val="it-IT"/>
        </w:rPr>
      </w:pPr>
      <w:r w:rsidRPr="00BB5DE9">
        <w:rPr>
          <w:lang w:val="it-IT"/>
        </w:rPr>
        <w:t>Inoltre, nell'attuale contesto geopolitico, la commissione evidenzia che i trasporti sono un pilastro strategico della difesa dell'Europa. Pone l'accento sulle priorità nell'ambito del pacchetto sulla mobilità militare</w:t>
      </w:r>
      <w:r>
        <w:rPr>
          <w:rStyle w:val="FootnoteReference"/>
          <w:lang w:val="it-IT"/>
        </w:rPr>
        <w:footnoteReference w:id="47"/>
      </w:r>
      <w:r w:rsidRPr="00BB5DE9">
        <w:rPr>
          <w:lang w:val="it-IT"/>
        </w:rPr>
        <w:t>, ribadendo che la mobilità militare dipende interamente dalle infrastrutture civili e dalla capacità di risposta degli operatori in caso di emergenza, compresa una forza lavoro qualificata, e sottolineando che l'invito del 2026 finanzierà anche opere e studi relativi al duplice uso lungo i quattro corridoi prioritari dell'UE per la mobilità militare, tenendo conto dei requisiti infrastrutturali specifici applicabili alle infrastrutture a duplice uso.</w:t>
      </w:r>
    </w:p>
    <w:p w:rsidR="00AE735B" w:rsidRPr="00BB5DE9" w:rsidP="007C0E6D" w14:paraId="437414AD" w14:textId="77777777">
      <w:pPr>
        <w:pStyle w:val="Normal12a"/>
        <w:jc w:val="both"/>
        <w:rPr>
          <w:lang w:val="it-IT"/>
        </w:rPr>
      </w:pPr>
      <w:r w:rsidRPr="00BB5DE9">
        <w:rPr>
          <w:lang w:val="it-IT"/>
        </w:rPr>
        <w:t>La commissione sottolinea la necessità di mantenere un forte sostegno ai corridoi di solidarietà UE-Ucraina, ricordando che hanno già consentito scambi condivisi per 282 miliardi di EUR e rimangono il canale essenziale per i prodotti industriali, nonostante il graduale ritorno del trasporto marittimo nel Mar Nero. Osserva che i risultati dei corridoi di solidarietà nel primo semestre del 2026 sono rimasti sostanzialmente stabili e che il corridoio trasporta costantemente la maggior parte delle importazioni dell'Ucraina e circa la metà delle sue esportazioni non agricole. La commissione osserva inoltre che i corridoi di solidarietà hanno ricevuto sostegno da diversi strumenti di finanziamento dell'UE, tra cui la politica di coesione e l'MCE-T, con investimenti in tutta la rete, in particolare nelle regioni frontaliere orientali, per rafforzare le infrastrutture a duplice uso e aumentare la capacità dei valichi di frontiera e dei porti. Tali sforzi dimostrano il valore strategico degli investimenti nei trasporti per rafforzare la sicurezza, la resilienza e la connettività dell'Unione europea nel suo complesso.</w:t>
      </w:r>
    </w:p>
    <w:p w:rsidR="00AE735B" w:rsidRPr="00BB5DE9" w:rsidP="007C0E6D" w14:paraId="574A0A03" w14:textId="77777777">
      <w:pPr>
        <w:pStyle w:val="Normal12a"/>
        <w:jc w:val="both"/>
        <w:rPr>
          <w:lang w:val="it-IT"/>
        </w:rPr>
      </w:pPr>
      <w:r w:rsidRPr="00BB5DE9">
        <w:rPr>
          <w:lang w:val="it-IT"/>
        </w:rPr>
        <w:t>Di conseguenza, dato che il 2027 rappresenta l'ultima tornata di selezione dei progetti nell'ambito dell'attuale QFP, la commissione sottolinea che la comprovata efficacia del programma rende necessario e giustificato il rafforzamento del bilancio dell'MCE per il 2027. Chiede pertanto una strategia di finanziamento dell'UE coerente ed esorta la Commissione a stanziare le risorse necessarie per rispettare le scadenze e gli obiettivi TEN-T, integrando nel contempo nuove strategie e progetti prioritari in linea con le norme di ammissibilità dell'MCE. Allo stesso tempo, invita la Banca europea per gli investimenti (BEI) a intensificare il sostegno ai nuovi orientamenti strategici e incoraggia gli Stati membri a utilizzare appieno i fondi di coesione per i progetti di trasporto e mobilità militare nell'ambito dei propri programmi.</w:t>
      </w:r>
    </w:p>
    <w:p w:rsidR="00AE735B" w:rsidRPr="00BB5DE9" w:rsidP="007C0E6D" w14:paraId="4E6EF4C6" w14:textId="77777777">
      <w:pPr>
        <w:pStyle w:val="Normal12a"/>
        <w:jc w:val="both"/>
        <w:rPr>
          <w:lang w:val="it-IT"/>
        </w:rPr>
      </w:pPr>
      <w:r w:rsidRPr="00BB5DE9">
        <w:rPr>
          <w:lang w:val="it-IT"/>
        </w:rPr>
        <w:t xml:space="preserve">In tale contesto, e in vista degli imminenti negoziati sul prossimo QFP, la commissione afferma chiaramente che tale anno di transizione fondamentale deve tracciare la rotta verso un MCE III rafforzato e più ambizioso. A tale riguardo, la commissione sottolinea che lo schema di negoziato del Consiglio prevede una riduzione del bilancio dell'MCE sia per i trasporti che per la mobilità militare e, considerando le accresciute pressioni geopolitiche che rendono </w:t>
      </w:r>
      <w:r w:rsidRPr="00BB5DE9">
        <w:rPr>
          <w:lang w:val="it-IT"/>
        </w:rPr>
        <w:t>indispensabile un bilancio consistente in questi settori, si oppone fermamente a tali tagli. Per contro, la commissione ricorda che la relazione interlocutoria del Parlamento europeo sul QFP 2028-2034</w:t>
      </w:r>
      <w:r>
        <w:rPr>
          <w:rStyle w:val="FootnoteReference"/>
          <w:lang w:val="it-IT"/>
        </w:rPr>
        <w:footnoteReference w:id="48"/>
      </w:r>
      <w:r w:rsidRPr="00BB5DE9">
        <w:rPr>
          <w:lang w:val="it-IT"/>
        </w:rPr>
        <w:t>, riconoscendo l'entità delle esigenze, ha chiesto un aumento di circa il 12,7 % del bilancio dell'MCE. Ricorda inoltre che l'assenza di previsione strategica per quanto riguarda le infrastrutture a duplice uso ha portato in un'occasione a una riduzione del 75 % della dotazione per la mobilità militare durante i negoziati sul QFP 2021-2027, il che ha portato all'anticipazione del bilancio e al suo completo utilizzo all'inizio del 2024, e insiste sul fatto che tale situazione non deve ripetersi.</w:t>
      </w:r>
    </w:p>
    <w:p w:rsidR="00AE735B" w:rsidRPr="00BB5DE9" w:rsidP="007C0E6D" w14:paraId="11B1280C" w14:textId="77777777">
      <w:pPr>
        <w:pStyle w:val="Normal12a"/>
        <w:jc w:val="both"/>
        <w:rPr>
          <w:lang w:val="it-IT"/>
        </w:rPr>
      </w:pPr>
      <w:r w:rsidRPr="00BB5DE9">
        <w:rPr>
          <w:lang w:val="it-IT"/>
        </w:rPr>
        <w:t>La commissione accoglie con favore gli stanziamenti più elevati per il 2027 a favore delle tre agenzie dei trasporti, ma avverte che l'ampliamento dei loro mandati richiederà risorse notevolmente maggiori per sostenere gli obiettivi fondamentali di sicurezza, sostenibilità, interoperabilità e modernizzazione.</w:t>
      </w:r>
    </w:p>
    <w:p w:rsidR="00AE735B" w:rsidRPr="00BB5DE9" w:rsidP="007C0E6D" w14:paraId="545A1F36" w14:textId="77777777">
      <w:pPr>
        <w:pStyle w:val="Normal12a"/>
        <w:jc w:val="both"/>
        <w:rPr>
          <w:lang w:val="it-IT"/>
        </w:rPr>
      </w:pPr>
      <w:r w:rsidRPr="00BB5DE9">
        <w:rPr>
          <w:lang w:val="it-IT"/>
        </w:rPr>
        <w:t>La commissione ribadisce che l'Agenzia dell'Unione europea per le ferrovie (ERA) dovrebbe far fronte a un aumento sostanziale del carico di lavoro a causa dell'ampliamento delle sue responsabilità a norma del regolamento sulla capacità dell'infrastruttura ferroviaria, ora in vigore</w:t>
      </w:r>
      <w:r>
        <w:rPr>
          <w:rStyle w:val="FootnoteReference"/>
          <w:lang w:val="it-IT"/>
        </w:rPr>
        <w:footnoteReference w:id="49"/>
      </w:r>
      <w:r w:rsidRPr="00BB5DE9">
        <w:rPr>
          <w:lang w:val="it-IT"/>
        </w:rPr>
        <w:t>, del pacchetto sulla mobilità militare e di altre nuove normative, tra cui i metodi comuni di sicurezza per la valutazione del livello di sicurezza e delle prestazioni di sicurezza, e della prossima revisione del regolamento ERA</w:t>
      </w:r>
      <w:r>
        <w:rPr>
          <w:rStyle w:val="FootnoteReference"/>
          <w:lang w:val="it-IT"/>
        </w:rPr>
        <w:footnoteReference w:id="50"/>
      </w:r>
      <w:r w:rsidRPr="00BB5DE9">
        <w:rPr>
          <w:lang w:val="it-IT"/>
        </w:rPr>
        <w:t>. Prende atto dei finanziamenti supplementari previsti per l'Agenzia nel regolamento che istituisce un quadro di misure per agevolare il trasporto di attrezzature, beni e personale militari in tutta l'Unione</w:t>
      </w:r>
      <w:r>
        <w:rPr>
          <w:rStyle w:val="FootnoteReference"/>
          <w:rFonts w:eastAsia="TimesNewRomanPSMT"/>
          <w:lang w:val="it-IT"/>
        </w:rPr>
        <w:footnoteReference w:id="51"/>
      </w:r>
      <w:r w:rsidRPr="00BB5DE9">
        <w:rPr>
          <w:lang w:val="it-IT"/>
        </w:rPr>
        <w:t xml:space="preserve"> e nel regolamento sulla capacità dell'infrastruttura ferroviaria. Accoglie inoltre con favore l'aumento dell'organico dell'Agenzia, in linea con la crescita attuale e prevista del suo carico di lavoro per la certificazione.</w:t>
      </w:r>
    </w:p>
    <w:p w:rsidR="00AE735B" w:rsidRPr="00BB5DE9" w:rsidP="007C0E6D" w14:paraId="206C4611" w14:textId="77777777">
      <w:pPr>
        <w:pStyle w:val="Normal12a"/>
        <w:jc w:val="both"/>
        <w:rPr>
          <w:lang w:val="it-IT"/>
        </w:rPr>
      </w:pPr>
      <w:r w:rsidRPr="00BB5DE9">
        <w:rPr>
          <w:lang w:val="it-IT"/>
        </w:rPr>
        <w:t xml:space="preserve">La commissione accoglie con favore la proposta di rafforzare l'Agenzia dell'Unione europea per la sicurezza aerea (AESA) con 29 posti in organico per far fronte al forte aumento del carico di lavoro nella certificazione delle apparecchiature per la gestione del traffico aereo e i servizi di navigazione aerea, nonché nell'approvazione delle organizzazioni di progettazione o produzione, settori in cui il volume delle domande supera di gran lunga i livelli previsti al momento della conclusione del regolamento di base riveduto nel 2018. Tuttavia, la commissione osserva che negli ultimi anni l'AESA ha dovuto far fronte a un crescente deficit di contributi dell'UE, dovuto all'aumento del carico di lavoro, all'elevata inflazione, alle richieste di digitalizzazione e allo squilibrio tra le proroghe del mandato e le risorse disponibili. A tale riguardo, la commissione prende atto dell'aumento proposto di 2 milioni di EUR per l'attività normativa dell'AESA, fondamentale per la competitività dell'aviazione europea, e in particolare per le start-up e le PMI europee che operano in settori innovativi quali i sistemi aeromobili senza equipaggio e la mobilità aerea avanzata. Tuttavia, in primo luogo sottolinea che tale aumento rimane insufficiente e, in secondo luogo, deplora che, nonostante i suoi </w:t>
      </w:r>
      <w:r w:rsidRPr="00BB5DE9">
        <w:rPr>
          <w:lang w:val="it-IT"/>
        </w:rPr>
        <w:t>precedenti avvertimenti, l'aumento sia stato attinto dall'MCE-T.</w:t>
      </w:r>
    </w:p>
    <w:p w:rsidR="00AE735B" w:rsidRPr="00BB5DE9" w:rsidP="007C0E6D" w14:paraId="74C8BFC8" w14:textId="77777777">
      <w:pPr>
        <w:pStyle w:val="Normal12a"/>
        <w:jc w:val="both"/>
        <w:rPr>
          <w:lang w:val="it-IT"/>
        </w:rPr>
      </w:pPr>
      <w:r w:rsidRPr="00BB5DE9">
        <w:rPr>
          <w:lang w:val="it-IT"/>
        </w:rPr>
        <w:t>La commissione esprime delusione per il fatto che l'adeguamento dell'organico dell'Agenzia europea per la sicurezza marittima (EMSA) sia limitato a un unico posto, un adeguamento del tutto insufficiente considerando il ruolo dell'Agenzia nel contesto delle attuali sfide geopolitiche, nonché il rinnovato interesse e la rinnovata priorità attribuiti al settore marittimo, come emerge dalle strategie portuali e industriali marittime.</w:t>
      </w:r>
    </w:p>
    <w:p w:rsidR="00AE735B" w:rsidRPr="00BB5DE9" w:rsidP="007C0E6D" w14:paraId="5472520B" w14:textId="77777777">
      <w:pPr>
        <w:pStyle w:val="Normal12a"/>
        <w:jc w:val="both"/>
        <w:rPr>
          <w:lang w:val="it-IT"/>
        </w:rPr>
      </w:pPr>
      <w:r w:rsidRPr="00BB5DE9">
        <w:rPr>
          <w:lang w:val="it-IT"/>
        </w:rPr>
        <w:t>La commissione sottolinea la necessità strategica di una rete TEN-T resiliente ai cambiamenti climatici e di una pianificazione proattiva della preparazione per salvaguardare la competitività, la coesione e la connettività a lungo termine dell'UE. Riconoscendo il contributo dell'Agenzia esecutiva europea per il clima, l'infrastruttura e l'ambiente (CINEA) nel sostenere una mobilità intelligente, sostenibile e resiliente e la necessità di garantire risorse adeguate, la commissione accoglie con favore la proposta di aumentare i suoi livelli di organico nel 2027 rispetto al 2026.</w:t>
      </w:r>
    </w:p>
    <w:p w:rsidR="00AE735B" w:rsidRPr="00BB5DE9" w:rsidP="007C0E6D" w14:paraId="40C24989" w14:textId="77777777">
      <w:pPr>
        <w:pStyle w:val="Normal12a"/>
        <w:jc w:val="both"/>
        <w:rPr>
          <w:lang w:val="it-IT"/>
        </w:rPr>
      </w:pPr>
      <w:r w:rsidRPr="00BB5DE9">
        <w:rPr>
          <w:lang w:val="it-IT"/>
        </w:rPr>
        <w:t>La commissione prende atto con soddisfazione dell'aumento sostanziale del contributo finanziario dell'UE all'impresa comune Aviazione pulita, ma osserva che SESAR 3 ottiene solo guadagni marginali e che l'impresa comune Ferrovie europee deve far fronte a un taglio pari a circa due terzi del suo bilancio precedente. Sottolinea che sono essenziali investimenti forti e lungimiranti in tutte e tre le imprese comuni, data la loro capacità di mobilitare preziose risorse aggiuntive e di promuovere le transizioni verde e digitale dell'UE, nonché la sua competitività. In linea con tale approccio, la commissione esorta a salvaguardare le tre imprese comuni nel settore dei trasporti nel prossimo programma Orizzonte. Inoltre, la commissione ribadisce la sua richiesta di una strategia globale su Hyperloop, con tempistiche chiare, quadri di investimento dettagliati e sostegno alla ricerca, allo sviluppo e alla diffusione, sulla base dell'esperienza recentemente maturata da iniziative all'avanguardia in materia di Hyperloop, che si sono trovate ad affrontare notevoli difficoltà finanziarie e operative.</w:t>
      </w:r>
    </w:p>
    <w:p w:rsidR="00AE735B" w:rsidRPr="00BB5DE9" w:rsidP="007C0E6D" w14:paraId="788BE8EE" w14:textId="77777777">
      <w:pPr>
        <w:pStyle w:val="Normal12a"/>
        <w:jc w:val="both"/>
        <w:rPr>
          <w:lang w:val="it-IT"/>
        </w:rPr>
      </w:pPr>
      <w:r w:rsidRPr="00BB5DE9">
        <w:rPr>
          <w:lang w:val="it-IT"/>
        </w:rPr>
        <w:t>Consapevole che i trasporti e il turismo figurano tra i settori più esposti alla trasformazione economica dell'UE, la commissione prende atto della valutazione in corso delle condizioni di lavoro nel settore dei trasporti da parte della Commissione europea e chiede idonee misure per affrontare le sfide che potrebbero emergere. Di conseguenza, ritiene essenziale che, durante l'ultimo anno dell'attuale QFP, il Fondo sociale per il clima e il Fondo per una transizione giusta fungano da pilastri di una transizione equa, ponendo in primo piano le misure di riqualificazione e miglioramento del livello delle competenze della forza lavoro. Oltre a ciò, la commissione prende atto della decisione della Commissione europea di esaminare, insieme alla BEI, il nuovo meccanismo di anticipazione finanziaria del nuovo sistema di scambio delle quote di emissione dell'UE (ETS 2) per gli Stati membri. Tale strumento prefinanzierebbe misure volte ad affrontare la povertà dei trasporti, a migliorare l'accessibilità economica per gli utenti dei trasporti e le famiglie vulnerabili e ad accelerare l'adozione di tecnologie per la mobilità pulita, sostenendo in tal modo l'attuazione del Fondo sociale per il clima.</w:t>
      </w:r>
    </w:p>
    <w:p w:rsidR="00AE735B" w:rsidRPr="00BB5DE9" w:rsidP="007C0E6D" w14:paraId="2A73DC56" w14:textId="77777777">
      <w:pPr>
        <w:pStyle w:val="Normal12a"/>
        <w:jc w:val="both"/>
        <w:rPr>
          <w:lang w:val="it-IT"/>
        </w:rPr>
      </w:pPr>
      <w:r w:rsidRPr="00BB5DE9">
        <w:rPr>
          <w:lang w:val="it-IT"/>
        </w:rPr>
        <w:t xml:space="preserve">Infine, la commissione sottolinea con forza il ruolo chiave e strategico del turismo nell'economia dell'Unione. Di conseguenza, sollecita un'attuazione ambiziosa della prossima strategia dell'UE per il turismo sostenibile, dando priorità al miglioramento delle infrastrutture per trasporti intelligenti, sostenibili, sicuri e resilienti; a una mobilità transfrontaliera più agevole; a una distribuzione più equilibrata del turismo in tutta Europa; a una gestione più efficace delle destinazioni; al rafforzamento della resilienza delle destinazioni per sostenere un </w:t>
      </w:r>
      <w:r w:rsidRPr="00BB5DE9">
        <w:rPr>
          <w:lang w:val="it-IT"/>
        </w:rPr>
        <w:t>efficace adattamento ai cambiamenti climatici; e al sostegno alla crescita, all'occupazione di qualità e alle opportunità economiche locali, tutelando al contempo il benessere delle comunità. La commissione ricorda che tali priorità rispecchiano quelle definite nella sua relazione di iniziativa di recente adozione dal titolo "Rafforzamento della connettività, tutela del patrimonio culturale e valorizzazione dell'eccellenza locale nel turismo europeo – Gestione delle destinazioni e sviluppo del turismo regionale"</w:t>
      </w:r>
      <w:r>
        <w:rPr>
          <w:rStyle w:val="FootnoteReference"/>
          <w:lang w:val="it-IT"/>
        </w:rPr>
        <w:footnoteReference w:id="52"/>
      </w:r>
      <w:r w:rsidRPr="00BB5DE9">
        <w:rPr>
          <w:lang w:val="it-IT"/>
        </w:rPr>
        <w:t>.</w:t>
      </w:r>
    </w:p>
    <w:p w:rsidR="00AE735B" w:rsidRPr="00BB5DE9" w:rsidP="007C0E6D" w14:paraId="39D89C0B" w14:textId="77777777">
      <w:pPr>
        <w:pStyle w:val="Normal12a"/>
        <w:jc w:val="both"/>
        <w:rPr>
          <w:lang w:val="it-IT"/>
        </w:rPr>
      </w:pPr>
      <w:r w:rsidRPr="00BB5DE9">
        <w:rPr>
          <w:lang w:val="it-IT"/>
        </w:rPr>
        <w:t>Nello stesso spirito, la commissione osserva il rinnovato slancio politico a favore delle isole</w:t>
      </w:r>
      <w:r>
        <w:rPr>
          <w:rStyle w:val="FootnoteReference"/>
          <w:lang w:val="it-IT"/>
        </w:rPr>
        <w:footnoteReference w:id="53"/>
      </w:r>
      <w:r w:rsidRPr="00BB5DE9">
        <w:rPr>
          <w:lang w:val="it-IT"/>
        </w:rPr>
        <w:t xml:space="preserve"> e delle comunità costiere</w:t>
      </w:r>
      <w:r>
        <w:rPr>
          <w:rStyle w:val="FootnoteReference"/>
          <w:lang w:val="it-IT"/>
        </w:rPr>
        <w:footnoteReference w:id="54"/>
      </w:r>
      <w:r w:rsidRPr="00BB5DE9">
        <w:rPr>
          <w:lang w:val="it-IT"/>
        </w:rPr>
        <w:t>, come dimostrato dalle strategie recentemente pubblicate dalla Commissione e dalla prossima strategia per le regioni ultraperiferiche. Nel loro insieme, queste iniziative rappresentano il primo approccio europeo coordinato per affrontare gli svantaggi strutturali permanenti e liberare il potenziale a lungo termine di tali regioni, affrontando le pressioni condivise tenendo conto nel contempo delle loro realtà distinte, comprese le gravi sfide sociali quali la carenza di alloggi, la stagionalità, lo squilibrio del turismo, i servizi limitati e i vincoli di connettività. La commissione avverte che per tenere pienamente conto delle esigenze specifiche delle isole e delle comunità costiere nelle future proposte – e per allinearle alle più ampie priorità dell'UE – sarà necessario un sostegno di bilancio mirato e prevedibile. Sottolinea pertanto l'importanza di integrare nei futuri piani di partenariato nazionali e regionali misure specifiche per lo sviluppo di tali zone.</w:t>
      </w:r>
    </w:p>
    <w:p w:rsidR="00AE735B" w:rsidRPr="00BB5DE9" w:rsidP="007C0E6D" w14:paraId="45E732CE" w14:textId="77777777">
      <w:pPr>
        <w:pStyle w:val="Normal12a"/>
        <w:jc w:val="both"/>
        <w:rPr>
          <w:lang w:val="it-IT"/>
        </w:rPr>
      </w:pPr>
      <w:r w:rsidRPr="00BB5DE9">
        <w:rPr>
          <w:lang w:val="it-IT"/>
        </w:rPr>
        <w:t>Un'ultima considerazione è che il turismo potrà realizzare appieno il proprio potenziale – ed essere gestito in modo responsabile – solo se gli verrà attribuito un ruolo di maggiore rilievo nella definizione delle priorità e delle dotazioni finanziarie del QFP 2028-2034. Tuttavia, anche se l'architettura del prossimo QFP offre un percorso più chiaro per ancorare il turismo come priorità industriale strategica, la commissione ritiene che gli attuali progressi siano lungi dall'essere sufficienti. La commissione deplora altresì che, ancora una volta, la proposta non riesca a predisporre un apposito programma e una linea di bilancio specifica per il turismo sostenibile.</w:t>
      </w:r>
    </w:p>
    <w:p w:rsidR="00AE735B" w:rsidRPr="00BB5DE9" w:rsidP="007C3F41" w14:paraId="5194D663" w14:textId="77777777">
      <w:pPr>
        <w:pStyle w:val="Normal12a"/>
        <w:rPr>
          <w:lang w:val="it-IT"/>
        </w:rPr>
      </w:pPr>
      <w:r w:rsidRPr="00BB5DE9">
        <w:rPr>
          <w:lang w:val="it-IT"/>
        </w:rPr>
        <w:t>Voglia gradire, signor Presidente, i sensi della mia più profonda stima.</w:t>
      </w:r>
    </w:p>
    <w:p w:rsidR="00AE735B" w:rsidRPr="00BB5DE9" w:rsidP="007C3F41" w14:paraId="55F16DBA" w14:textId="77777777">
      <w:pPr>
        <w:pStyle w:val="Normal12a"/>
        <w:rPr>
          <w:lang w:val="it-IT"/>
        </w:rPr>
      </w:pPr>
    </w:p>
    <w:p w:rsidR="00AE735B" w:rsidRPr="00BB5DE9" w:rsidP="007C0E6D" w14:paraId="2A0B69A4" w14:textId="77777777">
      <w:pPr>
        <w:pStyle w:val="Normal12a"/>
        <w:rPr>
          <w:lang w:val="it-IT"/>
        </w:rPr>
      </w:pPr>
      <w:r w:rsidRPr="00BB5DE9">
        <w:rPr>
          <w:lang w:val="it-IT"/>
        </w:rPr>
        <w:t>(f.to) Elissavet Vozemberg</w:t>
      </w:r>
      <w:r w:rsidRPr="00BB5DE9">
        <w:rPr>
          <w:lang w:val="it-IT"/>
        </w:rPr>
        <w:noBreakHyphen/>
        <w:t>Vrionidi</w:t>
      </w:r>
      <w:r w:rsidRPr="00BB5DE9">
        <w:rPr>
          <w:lang w:val="it-IT"/>
        </w:rPr>
        <w:tab/>
      </w:r>
      <w:r w:rsidRPr="00BB5DE9">
        <w:rPr>
          <w:lang w:val="it-IT"/>
        </w:rPr>
        <w:tab/>
      </w:r>
      <w:r w:rsidRPr="00BB5DE9">
        <w:rPr>
          <w:lang w:val="it-IT"/>
        </w:rPr>
        <w:tab/>
      </w:r>
      <w:r w:rsidRPr="00BB5DE9">
        <w:rPr>
          <w:lang w:val="it-IT"/>
        </w:rPr>
        <w:tab/>
        <w:t>Rosa Serrano Sierra</w:t>
      </w:r>
    </w:p>
    <w:p w:rsidR="00AE735B" w:rsidRPr="00BB5DE9" w:rsidP="007C0E6D" w14:paraId="12E06FBA" w14:textId="77777777">
      <w:pPr>
        <w:pStyle w:val="Normal12a"/>
        <w:ind w:left="5812"/>
        <w:rPr>
          <w:lang w:val="it-IT"/>
        </w:rPr>
      </w:pPr>
      <w:r w:rsidRPr="00BB5DE9">
        <w:rPr>
          <w:lang w:val="it-IT"/>
        </w:rPr>
        <w:t>Relatrice</w:t>
      </w:r>
    </w:p>
    <w:p w:rsidR="00AE735B" w:rsidRPr="00BB5DE9" w14:paraId="472B006C" w14:textId="77777777">
      <w:pPr>
        <w:widowControl/>
        <w:sectPr w:rsidSect="00AE735B">
          <w:headerReference w:type="even" r:id="rId74"/>
          <w:headerReference w:type="default" r:id="rId75"/>
          <w:headerReference w:type="first" r:id="rId76"/>
          <w:footerReference w:type="first" r:id="rId77"/>
          <w:footnotePr>
            <w:numRestart w:val="eachSect"/>
          </w:footnotePr>
          <w:endnotePr>
            <w:numFmt w:val="decimal"/>
          </w:endnotePr>
          <w:pgSz w:w="11906" w:h="16838" w:code="9"/>
          <w:pgMar w:top="1134" w:right="1418" w:bottom="1134" w:left="1418" w:header="1134" w:footer="567" w:gutter="0"/>
          <w:cols w:space="720"/>
          <w:noEndnote/>
          <w:docGrid w:linePitch="326"/>
        </w:sectPr>
      </w:pPr>
    </w:p>
    <w:p w:rsidR="00AE735B" w:rsidRPr="00BB5DE9" w14:paraId="57BBFE82" w14:textId="77777777">
      <w:pPr>
        <w:widowControl/>
      </w:pPr>
    </w:p>
    <w:p w:rsidR="00AE735B" w:rsidRPr="00BB5DE9" w:rsidP="002B2C72" w14:paraId="621FA1CF" w14:textId="77777777">
      <w:pPr>
        <w:pStyle w:val="PageHeadingNotTOC"/>
      </w:pPr>
      <w:r w:rsidRPr="00BB5DE9">
        <w:t>ALLEGATO: DICHIARAZIONE DEI CONTRIBUTI</w:t>
      </w:r>
    </w:p>
    <w:p w:rsidR="00AE735B" w:rsidRPr="00BB5DE9" w:rsidP="00AE3212" w14:paraId="728F6135" w14:textId="77777777">
      <w:pPr>
        <w:pStyle w:val="Normal24a"/>
        <w:rPr>
          <w:lang w:val="it-IT"/>
        </w:rPr>
      </w:pPr>
      <w:r w:rsidRPr="00BB5DE9">
        <w:rPr>
          <w:rStyle w:val="HideTWBExt"/>
          <w:lang w:val="it-IT"/>
        </w:rPr>
        <w:t>&lt;FootprintIntro&gt;</w:t>
      </w:r>
      <w:r w:rsidRPr="00BB5DE9">
        <w:rPr>
          <w:lang w:val="it-IT"/>
        </w:rPr>
        <w:t>La relatrice per parere dichiara, sotto la sua esclusiva responsabilità, di non aver incluso nel suo parere alcun contributo di rappresentanti di interessi che rientrano nell'ambito di applicazione dell'accordo interistituzionale su un registro per la trasparenza obbligatorio</w:t>
      </w:r>
      <w:r>
        <w:rPr>
          <w:rStyle w:val="FootnoteReference"/>
          <w:lang w:val="it-IT"/>
        </w:rPr>
        <w:footnoteReference w:id="55"/>
      </w:r>
      <w:r w:rsidRPr="00BB5DE9">
        <w:rPr>
          <w:lang w:val="it-IT"/>
        </w:rPr>
        <w:t>, o di rappresentanti delle pubbliche autorità di paesi terzi, incluse le loro missioni diplomatiche e ambasciate, da enumerare nel presente allegato in virtù dell'allegato I, articolo 8, del regolamento.</w:t>
      </w:r>
      <w:r w:rsidRPr="00BB5DE9">
        <w:rPr>
          <w:rStyle w:val="HideTWBExt"/>
          <w:lang w:val="it-IT"/>
        </w:rPr>
        <w:t>&lt;/FootprintIntro&gt;</w:t>
      </w:r>
    </w:p>
    <w:p w:rsidR="00AE735B" w:rsidRPr="00BB5DE9" w:rsidP="00AE3212" w14:paraId="01911463" w14:textId="77777777">
      <w:pPr>
        <w:pStyle w:val="Normal12a"/>
        <w:rPr>
          <w:lang w:val="it-IT"/>
        </w:rPr>
        <w:sectPr w:rsidSect="00AE735B">
          <w:footnotePr>
            <w:numRestart w:val="eachSect"/>
          </w:footnotePr>
          <w:endnotePr>
            <w:numFmt w:val="decimal"/>
          </w:endnotePr>
          <w:pgSz w:w="11906" w:h="16838" w:code="9"/>
          <w:pgMar w:top="1134" w:right="1418" w:bottom="1418" w:left="1418" w:header="1134" w:footer="567" w:gutter="0"/>
          <w:cols w:space="720"/>
          <w:noEndnote/>
          <w:docGrid w:linePitch="326"/>
        </w:sectPr>
      </w:pPr>
    </w:p>
    <w:p w:rsidR="00AE735B" w:rsidRPr="00BB5DE9" w:rsidP="00C36610" w14:paraId="35C7BD42" w14:textId="77777777">
      <w:pPr>
        <w:pStyle w:val="PageHeadingNotTOC"/>
      </w:pPr>
      <w:r w:rsidRPr="00BB5DE9">
        <w:t>VOTAZIONE FINALE PER APPELLO NOMINALE</w:t>
      </w:r>
      <w:r w:rsidRPr="00BB5DE9">
        <w:br/>
        <w:t>DA PARTE DELLA COMMISSIONE COMPETENTE PER PARERE</w:t>
      </w:r>
    </w:p>
    <w:tbl>
      <w:tblPr>
        <w:tblW w:w="0" w:type="auto"/>
        <w:tblInd w:w="145" w:type="dxa"/>
        <w:tblBorders>
          <w:top w:val="double" w:sz="2" w:space="0" w:color="000000"/>
          <w:left w:val="double" w:sz="2" w:space="0" w:color="000000"/>
          <w:bottom w:val="double" w:sz="2" w:space="0" w:color="000000"/>
          <w:right w:val="double" w:sz="2" w:space="0" w:color="000000"/>
          <w:insideH w:val="single" w:sz="2" w:space="0" w:color="000000"/>
          <w:insideV w:val="single" w:sz="2" w:space="0" w:color="000000"/>
        </w:tblBorders>
        <w:tblLayout w:type="fixed"/>
        <w:tblCellMar>
          <w:left w:w="145" w:type="dxa"/>
          <w:right w:w="145" w:type="dxa"/>
        </w:tblCellMar>
        <w:tblLook w:val="0000"/>
      </w:tblPr>
      <w:tblGrid>
        <w:gridCol w:w="1701"/>
        <w:gridCol w:w="7371"/>
      </w:tblGrid>
      <w:tr w14:paraId="550BA739" w14:textId="77777777" w:rsidTr="00497655">
        <w:tblPrEx>
          <w:tblW w:w="0" w:type="auto"/>
          <w:tblInd w:w="145" w:type="dxa"/>
          <w:tblBorders>
            <w:top w:val="double" w:sz="2" w:space="0" w:color="000000"/>
            <w:left w:val="double" w:sz="2" w:space="0" w:color="000000"/>
            <w:bottom w:val="double" w:sz="2" w:space="0" w:color="000000"/>
            <w:right w:val="double" w:sz="2" w:space="0" w:color="000000"/>
            <w:insideH w:val="single" w:sz="2" w:space="0" w:color="000000"/>
            <w:insideV w:val="single" w:sz="2" w:space="0" w:color="000000"/>
          </w:tblBorders>
          <w:tblLayout w:type="fixed"/>
          <w:tblCellMar>
            <w:left w:w="145" w:type="dxa"/>
            <w:right w:w="145" w:type="dxa"/>
          </w:tblCellMar>
          <w:tblLook w:val="0000"/>
        </w:tblPrEx>
        <w:trPr>
          <w:cantSplit/>
        </w:trPr>
        <w:tc>
          <w:tcPr>
            <w:tcW w:w="1701" w:type="dxa"/>
            <w:shd w:val="pct10" w:color="000000" w:fill="FFFFFF"/>
            <w:vAlign w:val="center"/>
          </w:tcPr>
          <w:p w:rsidR="00AE735B" w:rsidRPr="00BB5DE9" w:rsidP="00497655" w14:paraId="4AB455A8" w14:textId="77777777">
            <w:pPr>
              <w:pStyle w:val="RollCallVotes"/>
              <w:rPr>
                <w:lang w:val="it-IT"/>
              </w:rPr>
            </w:pPr>
            <w:r w:rsidRPr="00BB5DE9">
              <w:rPr>
                <w:lang w:val="it-IT"/>
              </w:rPr>
              <w:t>32</w:t>
            </w:r>
          </w:p>
        </w:tc>
        <w:tc>
          <w:tcPr>
            <w:tcW w:w="7371" w:type="dxa"/>
            <w:shd w:val="pct10" w:color="000000" w:fill="FFFFFF"/>
          </w:tcPr>
          <w:p w:rsidR="00AE735B" w:rsidRPr="00BB5DE9" w:rsidP="00497655" w14:paraId="0346FAAE" w14:textId="77777777">
            <w:pPr>
              <w:pStyle w:val="RollCallSymbols14pt"/>
              <w:rPr>
                <w:lang w:val="it-IT"/>
              </w:rPr>
            </w:pPr>
            <w:r w:rsidRPr="00BB5DE9">
              <w:rPr>
                <w:lang w:val="it-IT"/>
              </w:rPr>
              <w:t>+</w:t>
            </w:r>
          </w:p>
        </w:tc>
      </w:tr>
      <w:tr w14:paraId="2B07F6AC" w14:textId="77777777" w:rsidTr="00497655">
        <w:tblPrEx>
          <w:tblW w:w="0" w:type="auto"/>
          <w:tblInd w:w="145" w:type="dxa"/>
          <w:tblLayout w:type="fixed"/>
          <w:tblCellMar>
            <w:left w:w="145" w:type="dxa"/>
            <w:right w:w="145" w:type="dxa"/>
          </w:tblCellMar>
          <w:tblLook w:val="0000"/>
        </w:tblPrEx>
        <w:trPr>
          <w:cantSplit/>
        </w:trPr>
        <w:tc>
          <w:tcPr>
            <w:tcW w:w="1701" w:type="dxa"/>
            <w:shd w:val="clear" w:color="auto" w:fill="FFFFFF"/>
          </w:tcPr>
          <w:p w:rsidR="00AE735B" w:rsidRPr="00BB5DE9" w:rsidP="00497655" w14:paraId="3B1B1086" w14:textId="77777777">
            <w:pPr>
              <w:pStyle w:val="RollCallTable"/>
              <w:rPr>
                <w:lang w:val="it-IT"/>
              </w:rPr>
            </w:pPr>
            <w:r w:rsidRPr="00BB5DE9">
              <w:rPr>
                <w:lang w:val="it-IT"/>
              </w:rPr>
              <w:t>ECR</w:t>
            </w:r>
          </w:p>
        </w:tc>
        <w:tc>
          <w:tcPr>
            <w:tcW w:w="7371" w:type="dxa"/>
            <w:shd w:val="clear" w:color="auto" w:fill="FFFFFF"/>
          </w:tcPr>
          <w:p w:rsidR="00AE735B" w:rsidRPr="00BB5DE9" w:rsidP="00497655" w14:paraId="1855B4DB" w14:textId="77777777">
            <w:pPr>
              <w:pStyle w:val="RollCallTable"/>
              <w:rPr>
                <w:lang w:val="it-IT"/>
              </w:rPr>
            </w:pPr>
            <w:r w:rsidRPr="00BB5DE9">
              <w:rPr>
                <w:lang w:val="it-IT"/>
              </w:rPr>
              <w:t>Carlo Ciccioli, Şerban Dimitrie Sturdza, Kris Van Dijck</w:t>
            </w:r>
          </w:p>
        </w:tc>
      </w:tr>
      <w:tr w14:paraId="320FD5C1" w14:textId="77777777" w:rsidTr="00497655">
        <w:tblPrEx>
          <w:tblW w:w="0" w:type="auto"/>
          <w:tblInd w:w="145" w:type="dxa"/>
          <w:tblLayout w:type="fixed"/>
          <w:tblCellMar>
            <w:left w:w="145" w:type="dxa"/>
            <w:right w:w="145" w:type="dxa"/>
          </w:tblCellMar>
          <w:tblLook w:val="0000"/>
        </w:tblPrEx>
        <w:trPr>
          <w:cantSplit/>
        </w:trPr>
        <w:tc>
          <w:tcPr>
            <w:tcW w:w="1701" w:type="dxa"/>
            <w:shd w:val="clear" w:color="auto" w:fill="FFFFFF"/>
          </w:tcPr>
          <w:p w:rsidR="00AE735B" w:rsidRPr="00BB5DE9" w:rsidP="00497655" w14:paraId="6B8EF867" w14:textId="77777777">
            <w:pPr>
              <w:pStyle w:val="RollCallTable"/>
              <w:rPr>
                <w:lang w:val="it-IT"/>
              </w:rPr>
            </w:pPr>
            <w:r w:rsidRPr="00BB5DE9">
              <w:rPr>
                <w:lang w:val="it-IT"/>
              </w:rPr>
              <w:t>NI</w:t>
            </w:r>
          </w:p>
        </w:tc>
        <w:tc>
          <w:tcPr>
            <w:tcW w:w="7371" w:type="dxa"/>
            <w:shd w:val="clear" w:color="auto" w:fill="FFFFFF"/>
          </w:tcPr>
          <w:p w:rsidR="00AE735B" w:rsidRPr="00BB5DE9" w:rsidP="00497655" w14:paraId="66DC720A" w14:textId="77777777">
            <w:pPr>
              <w:pStyle w:val="RollCallTable"/>
              <w:rPr>
                <w:lang w:val="it-IT"/>
              </w:rPr>
            </w:pPr>
            <w:r w:rsidRPr="00BB5DE9">
              <w:rPr>
                <w:lang w:val="it-IT"/>
              </w:rPr>
              <w:t>Luis-Vicențiu Lazarus</w:t>
            </w:r>
          </w:p>
        </w:tc>
      </w:tr>
      <w:tr w14:paraId="0EAA0671" w14:textId="77777777" w:rsidTr="00497655">
        <w:tblPrEx>
          <w:tblW w:w="0" w:type="auto"/>
          <w:tblInd w:w="145" w:type="dxa"/>
          <w:tblLayout w:type="fixed"/>
          <w:tblCellMar>
            <w:left w:w="145" w:type="dxa"/>
            <w:right w:w="145" w:type="dxa"/>
          </w:tblCellMar>
          <w:tblLook w:val="0000"/>
        </w:tblPrEx>
        <w:trPr>
          <w:cantSplit/>
        </w:trPr>
        <w:tc>
          <w:tcPr>
            <w:tcW w:w="1701" w:type="dxa"/>
            <w:shd w:val="clear" w:color="auto" w:fill="FFFFFF"/>
          </w:tcPr>
          <w:p w:rsidR="00AE735B" w:rsidRPr="00BB5DE9" w:rsidP="00497655" w14:paraId="24882B13" w14:textId="77777777">
            <w:pPr>
              <w:pStyle w:val="RollCallTable"/>
              <w:rPr>
                <w:lang w:val="it-IT"/>
              </w:rPr>
            </w:pPr>
            <w:r w:rsidRPr="00BB5DE9">
              <w:rPr>
                <w:lang w:val="it-IT"/>
              </w:rPr>
              <w:t>PPE</w:t>
            </w:r>
          </w:p>
        </w:tc>
        <w:tc>
          <w:tcPr>
            <w:tcW w:w="7371" w:type="dxa"/>
            <w:shd w:val="clear" w:color="auto" w:fill="FFFFFF"/>
          </w:tcPr>
          <w:p w:rsidR="00AE735B" w:rsidRPr="00BB5DE9" w:rsidP="00497655" w14:paraId="16E94934" w14:textId="77777777">
            <w:pPr>
              <w:pStyle w:val="RollCallTable"/>
              <w:rPr>
                <w:lang w:val="it-IT"/>
              </w:rPr>
            </w:pPr>
            <w:r w:rsidRPr="00BB5DE9">
              <w:rPr>
                <w:lang w:val="it-IT"/>
              </w:rPr>
              <w:t>Nina Carberry, Gheorghe Falcă, Jens Gieseke, Borja Giménez Larraz, Dariusz Joński, Martine Kemp, Willemien Koning, Verena Mertens, Lídia Pereira, Flavio Tosi, Elissavet Vozemberg-Vrionidi, Marion Walsmann</w:t>
            </w:r>
          </w:p>
        </w:tc>
      </w:tr>
      <w:tr w14:paraId="27D394C0" w14:textId="77777777" w:rsidTr="00497655">
        <w:tblPrEx>
          <w:tblW w:w="0" w:type="auto"/>
          <w:tblInd w:w="145" w:type="dxa"/>
          <w:tblLayout w:type="fixed"/>
          <w:tblCellMar>
            <w:left w:w="145" w:type="dxa"/>
            <w:right w:w="145" w:type="dxa"/>
          </w:tblCellMar>
          <w:tblLook w:val="0000"/>
        </w:tblPrEx>
        <w:trPr>
          <w:cantSplit/>
        </w:trPr>
        <w:tc>
          <w:tcPr>
            <w:tcW w:w="1701" w:type="dxa"/>
            <w:shd w:val="clear" w:color="auto" w:fill="FFFFFF"/>
          </w:tcPr>
          <w:p w:rsidR="00AE735B" w:rsidRPr="00BB5DE9" w:rsidP="00497655" w14:paraId="2BC5D985" w14:textId="77777777">
            <w:pPr>
              <w:pStyle w:val="RollCallTable"/>
              <w:rPr>
                <w:lang w:val="it-IT"/>
              </w:rPr>
            </w:pPr>
            <w:r w:rsidRPr="00BB5DE9">
              <w:rPr>
                <w:lang w:val="it-IT"/>
              </w:rPr>
              <w:t>Renew</w:t>
            </w:r>
          </w:p>
        </w:tc>
        <w:tc>
          <w:tcPr>
            <w:tcW w:w="7371" w:type="dxa"/>
            <w:shd w:val="clear" w:color="auto" w:fill="FFFFFF"/>
          </w:tcPr>
          <w:p w:rsidR="00AE735B" w:rsidRPr="00BB5DE9" w:rsidP="00497655" w14:paraId="60368D32" w14:textId="77777777">
            <w:pPr>
              <w:pStyle w:val="RollCallTable"/>
              <w:rPr>
                <w:lang w:val="it-IT"/>
              </w:rPr>
            </w:pPr>
            <w:r w:rsidRPr="00BB5DE9">
              <w:rPr>
                <w:lang w:val="it-IT"/>
              </w:rPr>
              <w:t>Oihane Agirregoitia Martínez, Benoit Cassart, Valérie Devaux, Jan-Christoph Oetjen, Marjan Šarec</w:t>
            </w:r>
          </w:p>
        </w:tc>
      </w:tr>
      <w:tr w14:paraId="1B5282D6" w14:textId="77777777" w:rsidTr="00497655">
        <w:tblPrEx>
          <w:tblW w:w="0" w:type="auto"/>
          <w:tblInd w:w="145" w:type="dxa"/>
          <w:tblLayout w:type="fixed"/>
          <w:tblCellMar>
            <w:left w:w="145" w:type="dxa"/>
            <w:right w:w="145" w:type="dxa"/>
          </w:tblCellMar>
          <w:tblLook w:val="0000"/>
        </w:tblPrEx>
        <w:trPr>
          <w:cantSplit/>
        </w:trPr>
        <w:tc>
          <w:tcPr>
            <w:tcW w:w="1701" w:type="dxa"/>
            <w:shd w:val="clear" w:color="auto" w:fill="FFFFFF"/>
          </w:tcPr>
          <w:p w:rsidR="00AE735B" w:rsidRPr="00BB5DE9" w:rsidP="00497655" w14:paraId="7AFE5E91" w14:textId="77777777">
            <w:pPr>
              <w:pStyle w:val="RollCallTable"/>
              <w:rPr>
                <w:lang w:val="it-IT"/>
              </w:rPr>
            </w:pPr>
            <w:r w:rsidRPr="00BB5DE9">
              <w:rPr>
                <w:lang w:val="it-IT"/>
              </w:rPr>
              <w:t>S&amp;D</w:t>
            </w:r>
          </w:p>
        </w:tc>
        <w:tc>
          <w:tcPr>
            <w:tcW w:w="7371" w:type="dxa"/>
            <w:shd w:val="clear" w:color="auto" w:fill="FFFFFF"/>
          </w:tcPr>
          <w:p w:rsidR="00AE735B" w:rsidRPr="00BB5DE9" w:rsidP="00497655" w14:paraId="0B7ED232" w14:textId="77777777">
            <w:pPr>
              <w:pStyle w:val="RollCallTable"/>
              <w:rPr>
                <w:lang w:val="it-IT"/>
              </w:rPr>
            </w:pPr>
            <w:r w:rsidRPr="00BB5DE9">
              <w:rPr>
                <w:lang w:val="it-IT"/>
              </w:rPr>
              <w:t>Vivien Costanzo, Sérgio Gonçalves, Elisabeth Grossmann, François Kalfon, Ştefan Muşoiu, Matteo Ricci, Rosa Serrano Sierra, Marianne Vind</w:t>
            </w:r>
          </w:p>
        </w:tc>
      </w:tr>
      <w:tr w14:paraId="242BD945" w14:textId="77777777" w:rsidTr="00497655">
        <w:tblPrEx>
          <w:tblW w:w="0" w:type="auto"/>
          <w:tblInd w:w="145" w:type="dxa"/>
          <w:tblLayout w:type="fixed"/>
          <w:tblCellMar>
            <w:left w:w="145" w:type="dxa"/>
            <w:right w:w="145" w:type="dxa"/>
          </w:tblCellMar>
          <w:tblLook w:val="0000"/>
        </w:tblPrEx>
        <w:trPr>
          <w:cantSplit/>
        </w:trPr>
        <w:tc>
          <w:tcPr>
            <w:tcW w:w="1701" w:type="dxa"/>
            <w:shd w:val="clear" w:color="auto" w:fill="FFFFFF"/>
          </w:tcPr>
          <w:p w:rsidR="00AE735B" w:rsidRPr="00BB5DE9" w:rsidP="00497655" w14:paraId="477207D6" w14:textId="77777777">
            <w:pPr>
              <w:pStyle w:val="RollCallTable"/>
              <w:rPr>
                <w:lang w:val="it-IT"/>
              </w:rPr>
            </w:pPr>
            <w:r w:rsidRPr="00BB5DE9">
              <w:rPr>
                <w:lang w:val="it-IT"/>
              </w:rPr>
              <w:t>Verts/ALE</w:t>
            </w:r>
          </w:p>
        </w:tc>
        <w:tc>
          <w:tcPr>
            <w:tcW w:w="7371" w:type="dxa"/>
            <w:shd w:val="clear" w:color="auto" w:fill="FFFFFF"/>
          </w:tcPr>
          <w:p w:rsidR="00AE735B" w:rsidRPr="00BB5DE9" w:rsidP="00497655" w14:paraId="7CA36A24" w14:textId="77777777">
            <w:pPr>
              <w:pStyle w:val="RollCallTable"/>
              <w:rPr>
                <w:lang w:val="it-IT"/>
              </w:rPr>
            </w:pPr>
            <w:r w:rsidRPr="00BB5DE9">
              <w:rPr>
                <w:lang w:val="it-IT"/>
              </w:rPr>
              <w:t>Vicent Marzà Ibáñez, Jutta Paulus, Kai Tegethoff</w:t>
            </w:r>
          </w:p>
        </w:tc>
      </w:tr>
    </w:tbl>
    <w:p w:rsidR="00AE735B" w:rsidRPr="00BB5DE9" w:rsidP="00AE3212" w14:paraId="413AFF03" w14:textId="77777777"/>
    <w:tbl>
      <w:tblPr>
        <w:tblW w:w="0" w:type="auto"/>
        <w:tblInd w:w="145" w:type="dxa"/>
        <w:tblBorders>
          <w:top w:val="double" w:sz="2" w:space="0" w:color="000000"/>
          <w:left w:val="double" w:sz="2" w:space="0" w:color="000000"/>
          <w:bottom w:val="double" w:sz="2" w:space="0" w:color="000000"/>
          <w:right w:val="double" w:sz="2" w:space="0" w:color="000000"/>
          <w:insideH w:val="single" w:sz="2" w:space="0" w:color="000000"/>
          <w:insideV w:val="single" w:sz="2" w:space="0" w:color="000000"/>
        </w:tblBorders>
        <w:tblLayout w:type="fixed"/>
        <w:tblCellMar>
          <w:left w:w="145" w:type="dxa"/>
          <w:right w:w="145" w:type="dxa"/>
        </w:tblCellMar>
        <w:tblLook w:val="0000"/>
      </w:tblPr>
      <w:tblGrid>
        <w:gridCol w:w="1701"/>
        <w:gridCol w:w="7371"/>
      </w:tblGrid>
      <w:tr w14:paraId="47BCC67A" w14:textId="77777777" w:rsidTr="00497655">
        <w:tblPrEx>
          <w:tblW w:w="0" w:type="auto"/>
          <w:tblInd w:w="145" w:type="dxa"/>
          <w:tblBorders>
            <w:top w:val="double" w:sz="2" w:space="0" w:color="000000"/>
            <w:left w:val="double" w:sz="2" w:space="0" w:color="000000"/>
            <w:bottom w:val="double" w:sz="2" w:space="0" w:color="000000"/>
            <w:right w:val="double" w:sz="2" w:space="0" w:color="000000"/>
            <w:insideH w:val="single" w:sz="2" w:space="0" w:color="000000"/>
            <w:insideV w:val="single" w:sz="2" w:space="0" w:color="000000"/>
          </w:tblBorders>
          <w:tblLayout w:type="fixed"/>
          <w:tblCellMar>
            <w:left w:w="145" w:type="dxa"/>
            <w:right w:w="145" w:type="dxa"/>
          </w:tblCellMar>
          <w:tblLook w:val="0000"/>
        </w:tblPrEx>
        <w:trPr>
          <w:cantSplit/>
        </w:trPr>
        <w:tc>
          <w:tcPr>
            <w:tcW w:w="1701" w:type="dxa"/>
            <w:shd w:val="pct10" w:color="000000" w:fill="FFFFFF"/>
            <w:vAlign w:val="center"/>
          </w:tcPr>
          <w:p w:rsidR="00AE735B" w:rsidRPr="00BB5DE9" w:rsidP="00497655" w14:paraId="0F55F2DB" w14:textId="77777777">
            <w:pPr>
              <w:pStyle w:val="RollCallVotes"/>
              <w:rPr>
                <w:lang w:val="it-IT"/>
              </w:rPr>
            </w:pPr>
            <w:r w:rsidRPr="00BB5DE9">
              <w:rPr>
                <w:lang w:val="it-IT"/>
              </w:rPr>
              <w:t>3</w:t>
            </w:r>
          </w:p>
        </w:tc>
        <w:tc>
          <w:tcPr>
            <w:tcW w:w="7371" w:type="dxa"/>
            <w:shd w:val="pct10" w:color="000000" w:fill="FFFFFF"/>
          </w:tcPr>
          <w:p w:rsidR="00AE735B" w:rsidRPr="00BB5DE9" w:rsidP="00497655" w14:paraId="6F526A16" w14:textId="77777777">
            <w:pPr>
              <w:pStyle w:val="RollCallSymbols14pt"/>
              <w:rPr>
                <w:lang w:val="it-IT"/>
              </w:rPr>
            </w:pPr>
            <w:r w:rsidRPr="00BB5DE9">
              <w:rPr>
                <w:lang w:val="it-IT"/>
              </w:rPr>
              <w:t>-</w:t>
            </w:r>
          </w:p>
        </w:tc>
      </w:tr>
      <w:tr w14:paraId="35760DB1" w14:textId="77777777" w:rsidTr="00497655">
        <w:tblPrEx>
          <w:tblW w:w="0" w:type="auto"/>
          <w:tblInd w:w="145" w:type="dxa"/>
          <w:tblLayout w:type="fixed"/>
          <w:tblCellMar>
            <w:left w:w="145" w:type="dxa"/>
            <w:right w:w="145" w:type="dxa"/>
          </w:tblCellMar>
          <w:tblLook w:val="0000"/>
        </w:tblPrEx>
        <w:trPr>
          <w:cantSplit/>
        </w:trPr>
        <w:tc>
          <w:tcPr>
            <w:tcW w:w="1701" w:type="dxa"/>
            <w:shd w:val="clear" w:color="auto" w:fill="FFFFFF"/>
          </w:tcPr>
          <w:p w:rsidR="00AE735B" w:rsidRPr="00BB5DE9" w:rsidP="00497655" w14:paraId="30171328" w14:textId="77777777">
            <w:pPr>
              <w:pStyle w:val="RollCallTable"/>
              <w:rPr>
                <w:lang w:val="it-IT"/>
              </w:rPr>
            </w:pPr>
            <w:r w:rsidRPr="00BB5DE9">
              <w:rPr>
                <w:lang w:val="it-IT"/>
              </w:rPr>
              <w:t>ESN</w:t>
            </w:r>
          </w:p>
        </w:tc>
        <w:tc>
          <w:tcPr>
            <w:tcW w:w="7371" w:type="dxa"/>
            <w:shd w:val="clear" w:color="auto" w:fill="FFFFFF"/>
          </w:tcPr>
          <w:p w:rsidR="00AE735B" w:rsidRPr="00BB5DE9" w:rsidP="00497655" w14:paraId="0046C166" w14:textId="77777777">
            <w:pPr>
              <w:pStyle w:val="RollCallTable"/>
              <w:rPr>
                <w:lang w:val="it-IT"/>
              </w:rPr>
            </w:pPr>
            <w:r w:rsidRPr="00BB5DE9">
              <w:rPr>
                <w:lang w:val="it-IT"/>
              </w:rPr>
              <w:t>Milan Mazurek</w:t>
            </w:r>
          </w:p>
        </w:tc>
      </w:tr>
      <w:tr w14:paraId="09946264" w14:textId="77777777" w:rsidTr="00497655">
        <w:tblPrEx>
          <w:tblW w:w="0" w:type="auto"/>
          <w:tblInd w:w="145" w:type="dxa"/>
          <w:tblLayout w:type="fixed"/>
          <w:tblCellMar>
            <w:left w:w="145" w:type="dxa"/>
            <w:right w:w="145" w:type="dxa"/>
          </w:tblCellMar>
          <w:tblLook w:val="0000"/>
        </w:tblPrEx>
        <w:trPr>
          <w:cantSplit/>
        </w:trPr>
        <w:tc>
          <w:tcPr>
            <w:tcW w:w="1701" w:type="dxa"/>
            <w:shd w:val="clear" w:color="auto" w:fill="FFFFFF"/>
          </w:tcPr>
          <w:p w:rsidR="00AE735B" w:rsidRPr="00BB5DE9" w:rsidP="00497655" w14:paraId="0CF81C84" w14:textId="77777777">
            <w:pPr>
              <w:pStyle w:val="RollCallTable"/>
              <w:rPr>
                <w:lang w:val="it-IT"/>
              </w:rPr>
            </w:pPr>
            <w:r w:rsidRPr="00BB5DE9">
              <w:rPr>
                <w:lang w:val="it-IT"/>
              </w:rPr>
              <w:t>PfE</w:t>
            </w:r>
          </w:p>
        </w:tc>
        <w:tc>
          <w:tcPr>
            <w:tcW w:w="7371" w:type="dxa"/>
            <w:shd w:val="clear" w:color="auto" w:fill="FFFFFF"/>
          </w:tcPr>
          <w:p w:rsidR="00AE735B" w:rsidRPr="00BB5DE9" w:rsidP="00497655" w14:paraId="256AB452" w14:textId="77777777">
            <w:pPr>
              <w:pStyle w:val="RollCallTable"/>
              <w:rPr>
                <w:lang w:val="it-IT"/>
              </w:rPr>
            </w:pPr>
            <w:r w:rsidRPr="00BB5DE9">
              <w:rPr>
                <w:lang w:val="it-IT"/>
              </w:rPr>
              <w:t>Julien Leonardelli, Philippe Olivier</w:t>
            </w:r>
          </w:p>
        </w:tc>
      </w:tr>
    </w:tbl>
    <w:p w:rsidR="00AE735B" w:rsidRPr="00BB5DE9" w:rsidP="00AE3212" w14:paraId="1C8F5D70" w14:textId="77777777"/>
    <w:tbl>
      <w:tblPr>
        <w:tblW w:w="0" w:type="auto"/>
        <w:tblInd w:w="145" w:type="dxa"/>
        <w:tblBorders>
          <w:top w:val="double" w:sz="2" w:space="0" w:color="000000"/>
          <w:left w:val="double" w:sz="2" w:space="0" w:color="000000"/>
          <w:bottom w:val="double" w:sz="2" w:space="0" w:color="000000"/>
          <w:right w:val="double" w:sz="2" w:space="0" w:color="000000"/>
          <w:insideH w:val="single" w:sz="2" w:space="0" w:color="000000"/>
          <w:insideV w:val="single" w:sz="2" w:space="0" w:color="000000"/>
        </w:tblBorders>
        <w:tblLayout w:type="fixed"/>
        <w:tblCellMar>
          <w:left w:w="145" w:type="dxa"/>
          <w:right w:w="145" w:type="dxa"/>
        </w:tblCellMar>
        <w:tblLook w:val="0000"/>
      </w:tblPr>
      <w:tblGrid>
        <w:gridCol w:w="1701"/>
        <w:gridCol w:w="7371"/>
      </w:tblGrid>
      <w:tr w14:paraId="3386B1C0" w14:textId="77777777" w:rsidTr="00497655">
        <w:tblPrEx>
          <w:tblW w:w="0" w:type="auto"/>
          <w:tblInd w:w="145" w:type="dxa"/>
          <w:tblBorders>
            <w:top w:val="double" w:sz="2" w:space="0" w:color="000000"/>
            <w:left w:val="double" w:sz="2" w:space="0" w:color="000000"/>
            <w:bottom w:val="double" w:sz="2" w:space="0" w:color="000000"/>
            <w:right w:val="double" w:sz="2" w:space="0" w:color="000000"/>
            <w:insideH w:val="single" w:sz="2" w:space="0" w:color="000000"/>
            <w:insideV w:val="single" w:sz="2" w:space="0" w:color="000000"/>
          </w:tblBorders>
          <w:tblLayout w:type="fixed"/>
          <w:tblCellMar>
            <w:left w:w="145" w:type="dxa"/>
            <w:right w:w="145" w:type="dxa"/>
          </w:tblCellMar>
          <w:tblLook w:val="0000"/>
        </w:tblPrEx>
        <w:trPr>
          <w:cantSplit/>
        </w:trPr>
        <w:tc>
          <w:tcPr>
            <w:tcW w:w="1701" w:type="dxa"/>
            <w:shd w:val="pct10" w:color="000000" w:fill="FFFFFF"/>
            <w:vAlign w:val="center"/>
          </w:tcPr>
          <w:p w:rsidR="00AE735B" w:rsidRPr="00BB5DE9" w:rsidP="00497655" w14:paraId="430053A0" w14:textId="77777777">
            <w:pPr>
              <w:pStyle w:val="RollCallVotes"/>
              <w:rPr>
                <w:lang w:val="it-IT"/>
              </w:rPr>
            </w:pPr>
            <w:r w:rsidRPr="00BB5DE9">
              <w:rPr>
                <w:lang w:val="it-IT"/>
              </w:rPr>
              <w:t>4</w:t>
            </w:r>
          </w:p>
        </w:tc>
        <w:tc>
          <w:tcPr>
            <w:tcW w:w="7371" w:type="dxa"/>
            <w:shd w:val="pct10" w:color="000000" w:fill="FFFFFF"/>
          </w:tcPr>
          <w:p w:rsidR="00AE735B" w:rsidRPr="00BB5DE9" w:rsidP="00497655" w14:paraId="7E94F4F7" w14:textId="77777777">
            <w:pPr>
              <w:pStyle w:val="RollCallSymbols14pt"/>
              <w:rPr>
                <w:lang w:val="it-IT"/>
              </w:rPr>
            </w:pPr>
            <w:r w:rsidRPr="00BB5DE9">
              <w:rPr>
                <w:lang w:val="it-IT"/>
              </w:rPr>
              <w:t>0</w:t>
            </w:r>
          </w:p>
        </w:tc>
      </w:tr>
      <w:tr w14:paraId="3598199D" w14:textId="77777777" w:rsidTr="00497655">
        <w:tblPrEx>
          <w:tblW w:w="0" w:type="auto"/>
          <w:tblInd w:w="145" w:type="dxa"/>
          <w:tblLayout w:type="fixed"/>
          <w:tblCellMar>
            <w:left w:w="145" w:type="dxa"/>
            <w:right w:w="145" w:type="dxa"/>
          </w:tblCellMar>
          <w:tblLook w:val="0000"/>
        </w:tblPrEx>
        <w:trPr>
          <w:cantSplit/>
        </w:trPr>
        <w:tc>
          <w:tcPr>
            <w:tcW w:w="1701" w:type="dxa"/>
            <w:shd w:val="clear" w:color="auto" w:fill="FFFFFF"/>
          </w:tcPr>
          <w:p w:rsidR="00AE735B" w:rsidRPr="00BB5DE9" w:rsidP="00497655" w14:paraId="515DDCB4" w14:textId="77777777">
            <w:pPr>
              <w:pStyle w:val="RollCallTable"/>
              <w:rPr>
                <w:lang w:val="it-IT"/>
              </w:rPr>
            </w:pPr>
            <w:r w:rsidRPr="00BB5DE9">
              <w:rPr>
                <w:lang w:val="it-IT"/>
              </w:rPr>
              <w:t>ESN</w:t>
            </w:r>
          </w:p>
        </w:tc>
        <w:tc>
          <w:tcPr>
            <w:tcW w:w="7371" w:type="dxa"/>
            <w:shd w:val="clear" w:color="auto" w:fill="FFFFFF"/>
          </w:tcPr>
          <w:p w:rsidR="00AE735B" w:rsidRPr="00BB5DE9" w:rsidP="00497655" w14:paraId="18E8C9F2" w14:textId="77777777">
            <w:pPr>
              <w:pStyle w:val="RollCallTable"/>
              <w:rPr>
                <w:lang w:val="it-IT"/>
              </w:rPr>
            </w:pPr>
            <w:r w:rsidRPr="00BB5DE9">
              <w:rPr>
                <w:lang w:val="it-IT"/>
              </w:rPr>
              <w:t>Volker Schnurrbusch, Stanislav Stoyanov</w:t>
            </w:r>
          </w:p>
        </w:tc>
      </w:tr>
      <w:tr w14:paraId="5C0178A1" w14:textId="77777777" w:rsidTr="00497655">
        <w:tblPrEx>
          <w:tblW w:w="0" w:type="auto"/>
          <w:tblInd w:w="145" w:type="dxa"/>
          <w:tblLayout w:type="fixed"/>
          <w:tblCellMar>
            <w:left w:w="145" w:type="dxa"/>
            <w:right w:w="145" w:type="dxa"/>
          </w:tblCellMar>
          <w:tblLook w:val="0000"/>
        </w:tblPrEx>
        <w:trPr>
          <w:cantSplit/>
        </w:trPr>
        <w:tc>
          <w:tcPr>
            <w:tcW w:w="1701" w:type="dxa"/>
            <w:shd w:val="clear" w:color="auto" w:fill="FFFFFF"/>
          </w:tcPr>
          <w:p w:rsidR="00AE735B" w:rsidRPr="00BB5DE9" w:rsidP="00497655" w14:paraId="271B6791" w14:textId="77777777">
            <w:pPr>
              <w:pStyle w:val="RollCallTable"/>
              <w:rPr>
                <w:lang w:val="it-IT"/>
              </w:rPr>
            </w:pPr>
            <w:r w:rsidRPr="00BB5DE9">
              <w:rPr>
                <w:lang w:val="it-IT"/>
              </w:rPr>
              <w:t>PfE</w:t>
            </w:r>
          </w:p>
        </w:tc>
        <w:tc>
          <w:tcPr>
            <w:tcW w:w="7371" w:type="dxa"/>
            <w:shd w:val="clear" w:color="auto" w:fill="FFFFFF"/>
          </w:tcPr>
          <w:p w:rsidR="00AE735B" w:rsidRPr="00BB5DE9" w:rsidP="00497655" w14:paraId="6160DCBF" w14:textId="77777777">
            <w:pPr>
              <w:pStyle w:val="RollCallTable"/>
              <w:rPr>
                <w:lang w:val="it-IT"/>
              </w:rPr>
            </w:pPr>
            <w:r w:rsidRPr="00BB5DE9">
              <w:rPr>
                <w:lang w:val="it-IT"/>
              </w:rPr>
              <w:t>Roman Haider</w:t>
            </w:r>
          </w:p>
        </w:tc>
      </w:tr>
      <w:tr w14:paraId="364CAA40" w14:textId="77777777" w:rsidTr="00497655">
        <w:tblPrEx>
          <w:tblW w:w="0" w:type="auto"/>
          <w:tblInd w:w="145" w:type="dxa"/>
          <w:tblLayout w:type="fixed"/>
          <w:tblCellMar>
            <w:left w:w="145" w:type="dxa"/>
            <w:right w:w="145" w:type="dxa"/>
          </w:tblCellMar>
          <w:tblLook w:val="0000"/>
        </w:tblPrEx>
        <w:trPr>
          <w:cantSplit/>
        </w:trPr>
        <w:tc>
          <w:tcPr>
            <w:tcW w:w="1701" w:type="dxa"/>
            <w:shd w:val="clear" w:color="auto" w:fill="FFFFFF"/>
          </w:tcPr>
          <w:p w:rsidR="00AE735B" w:rsidRPr="00BB5DE9" w:rsidP="00497655" w14:paraId="3F7DB23F" w14:textId="77777777">
            <w:pPr>
              <w:pStyle w:val="RollCallTable"/>
              <w:rPr>
                <w:lang w:val="it-IT"/>
              </w:rPr>
            </w:pPr>
            <w:r w:rsidRPr="00BB5DE9">
              <w:rPr>
                <w:lang w:val="it-IT"/>
              </w:rPr>
              <w:t>The Left</w:t>
            </w:r>
          </w:p>
        </w:tc>
        <w:tc>
          <w:tcPr>
            <w:tcW w:w="7371" w:type="dxa"/>
            <w:shd w:val="clear" w:color="auto" w:fill="FFFFFF"/>
          </w:tcPr>
          <w:p w:rsidR="00AE735B" w:rsidRPr="00BB5DE9" w:rsidP="00497655" w14:paraId="542BFB18" w14:textId="77777777">
            <w:pPr>
              <w:pStyle w:val="RollCallTable"/>
              <w:rPr>
                <w:lang w:val="it-IT"/>
              </w:rPr>
            </w:pPr>
            <w:r w:rsidRPr="00BB5DE9">
              <w:rPr>
                <w:lang w:val="it-IT"/>
              </w:rPr>
              <w:t>Merja Kyllönen</w:t>
            </w:r>
          </w:p>
        </w:tc>
      </w:tr>
    </w:tbl>
    <w:p w:rsidR="00AE735B" w:rsidRPr="00BB5DE9" w:rsidP="00147FBF" w14:paraId="362C2D9F" w14:textId="77777777">
      <w:pPr>
        <w:pStyle w:val="Normal12a"/>
        <w:rPr>
          <w:lang w:val="it-IT"/>
        </w:rPr>
      </w:pPr>
    </w:p>
    <w:p w:rsidR="00AE735B" w:rsidRPr="00BB5DE9" w:rsidP="00B735E3" w14:paraId="57DEF478" w14:textId="77777777">
      <w:r w:rsidRPr="00BB5DE9">
        <w:t>Significato dei simboli utilizzati:</w:t>
      </w:r>
    </w:p>
    <w:p w:rsidR="00AE735B" w:rsidRPr="00BB5DE9" w:rsidP="003858C5" w14:paraId="1F5572EB" w14:textId="77777777">
      <w:pPr>
        <w:pStyle w:val="RollCallTabs"/>
        <w:rPr>
          <w:lang w:val="it-IT"/>
        </w:rPr>
      </w:pPr>
      <w:r w:rsidRPr="00BB5DE9">
        <w:rPr>
          <w:lang w:val="it-IT"/>
        </w:rPr>
        <w:t>+</w:t>
      </w:r>
      <w:r w:rsidRPr="00BB5DE9">
        <w:rPr>
          <w:lang w:val="it-IT"/>
        </w:rPr>
        <w:tab/>
        <w:t>:</w:t>
      </w:r>
      <w:r w:rsidRPr="00BB5DE9">
        <w:rPr>
          <w:lang w:val="it-IT"/>
        </w:rPr>
        <w:tab/>
        <w:t>favorevoli</w:t>
      </w:r>
    </w:p>
    <w:p w:rsidR="00AE735B" w:rsidRPr="00BB5DE9" w:rsidP="003858C5" w14:paraId="2C265440" w14:textId="77777777">
      <w:pPr>
        <w:pStyle w:val="RollCallTabs"/>
        <w:rPr>
          <w:lang w:val="it-IT"/>
        </w:rPr>
      </w:pPr>
      <w:r w:rsidRPr="00BB5DE9">
        <w:rPr>
          <w:lang w:val="it-IT"/>
        </w:rPr>
        <w:t>-</w:t>
      </w:r>
      <w:r w:rsidRPr="00BB5DE9">
        <w:rPr>
          <w:lang w:val="it-IT"/>
        </w:rPr>
        <w:tab/>
        <w:t>:</w:t>
      </w:r>
      <w:r w:rsidRPr="00BB5DE9">
        <w:rPr>
          <w:lang w:val="it-IT"/>
        </w:rPr>
        <w:tab/>
        <w:t>contrari</w:t>
      </w:r>
    </w:p>
    <w:p w:rsidR="00AE735B" w:rsidRPr="00BB5DE9" w:rsidP="003858C5" w14:paraId="557ADB8A" w14:textId="77777777">
      <w:pPr>
        <w:pStyle w:val="RollCallTabs"/>
        <w:rPr>
          <w:lang w:val="it-IT"/>
        </w:rPr>
      </w:pPr>
      <w:r w:rsidRPr="00BB5DE9">
        <w:rPr>
          <w:lang w:val="it-IT"/>
        </w:rPr>
        <w:t>0</w:t>
      </w:r>
      <w:r w:rsidRPr="00BB5DE9">
        <w:rPr>
          <w:lang w:val="it-IT"/>
        </w:rPr>
        <w:tab/>
        <w:t>:</w:t>
      </w:r>
      <w:r w:rsidRPr="00BB5DE9">
        <w:rPr>
          <w:lang w:val="it-IT"/>
        </w:rPr>
        <w:tab/>
        <w:t>astenuti</w:t>
      </w:r>
    </w:p>
    <w:p w:rsidR="00F82C70" w:rsidRPr="00BB5DE9" w:rsidP="00F82C70" w14:paraId="53F066D2" w14:textId="77777777">
      <w:pPr>
        <w:rPr>
          <w:snapToGrid/>
          <w:lang w:eastAsia="en-GB"/>
        </w:rPr>
      </w:pPr>
    </w:p>
    <w:p w:rsidR="00AE735B" w:rsidRPr="00BB5DE9" w:rsidP="00F82C70" w14:paraId="7BE454E5" w14:textId="77777777">
      <w:pPr>
        <w:sectPr w:rsidSect="00AE735B">
          <w:footnotePr>
            <w:numRestart w:val="eachSect"/>
          </w:footnotePr>
          <w:endnotePr>
            <w:numFmt w:val="decimal"/>
          </w:endnotePr>
          <w:pgSz w:w="11906" w:h="16838" w:code="9"/>
          <w:pgMar w:top="1134" w:right="1418" w:bottom="1134" w:left="1418" w:header="1134" w:footer="567" w:gutter="0"/>
          <w:cols w:space="720"/>
          <w:noEndnote/>
          <w:docGrid w:linePitch="326"/>
        </w:sectPr>
      </w:pPr>
    </w:p>
    <w:p w:rsidR="00E514EF" w:rsidRPr="00BB5DE9" w:rsidP="00E514EF" w14:paraId="5D4D1884" w14:textId="1F5C0C51">
      <w:pPr>
        <w:pStyle w:val="PageHeading"/>
      </w:pPr>
      <w:bookmarkStart w:id="45" w:name="ProcPageRR"/>
      <w:bookmarkStart w:id="46" w:name="_Toc243036433"/>
      <w:r w:rsidRPr="00BB5DE9">
        <w:t>DICHIARAZIONE COMUNE ADOTTATA DURANTE IL TRILOGO DI BILANCIO DEL 14 APRILE 2026</w:t>
      </w:r>
      <w:bookmarkEnd w:id="46"/>
    </w:p>
    <w:p w:rsidR="00C1698A" w:rsidRPr="00BB5DE9" w:rsidP="00C1698A" w14:paraId="0688917A" w14:textId="77777777">
      <w:pPr>
        <w:jc w:val="center"/>
        <w:rPr>
          <w:szCs w:val="24"/>
          <w:u w:val="single"/>
        </w:rPr>
      </w:pPr>
      <w:r w:rsidRPr="00BB5DE9">
        <w:rPr>
          <w:szCs w:val="24"/>
          <w:u w:val="single"/>
        </w:rPr>
        <w:t>Date per la procedura di bilancio e modalità per</w:t>
      </w:r>
    </w:p>
    <w:p w:rsidR="00E514EF" w:rsidRPr="00BB5DE9" w:rsidP="00C1698A" w14:paraId="71B26CAC" w14:textId="4041A14E">
      <w:pPr>
        <w:spacing w:after="240"/>
        <w:jc w:val="center"/>
        <w:rPr>
          <w:szCs w:val="24"/>
          <w:u w:val="single"/>
        </w:rPr>
      </w:pPr>
      <w:r w:rsidRPr="00BB5DE9">
        <w:rPr>
          <w:szCs w:val="24"/>
          <w:u w:val="single"/>
        </w:rPr>
        <w:t>il funzionamento del comitato di conciliazione nel 2026</w:t>
      </w:r>
    </w:p>
    <w:p w:rsidR="00E514EF" w:rsidRPr="00BB5DE9" w:rsidP="00C1698A" w14:paraId="64FFF1D3" w14:textId="2CA279C7">
      <w:pPr>
        <w:tabs>
          <w:tab w:val="left" w:pos="567"/>
        </w:tabs>
        <w:spacing w:before="60" w:line="360" w:lineRule="auto"/>
        <w:ind w:left="567" w:hanging="567"/>
        <w:jc w:val="both"/>
        <w:rPr>
          <w:szCs w:val="24"/>
        </w:rPr>
      </w:pPr>
      <w:r w:rsidRPr="00BB5DE9">
        <w:rPr>
          <w:szCs w:val="24"/>
        </w:rPr>
        <w:t>A.</w:t>
      </w:r>
      <w:r w:rsidRPr="00BB5DE9">
        <w:rPr>
          <w:szCs w:val="24"/>
        </w:rPr>
        <w:tab/>
      </w:r>
      <w:r w:rsidRPr="00BB5DE9" w:rsidR="00C1698A">
        <w:t>In conformità della parte A dell'allegato dell'accordo interistituzionale tra il Parlamento europeo,</w:t>
      </w:r>
      <w:r w:rsidRPr="00BB5DE9" w:rsidR="00C1698A">
        <w:rPr>
          <w:spacing w:val="-1"/>
        </w:rPr>
        <w:t xml:space="preserve"> </w:t>
      </w:r>
      <w:r w:rsidRPr="00BB5DE9" w:rsidR="00C1698A">
        <w:t>il</w:t>
      </w:r>
      <w:r w:rsidRPr="00BB5DE9" w:rsidR="00C1698A">
        <w:rPr>
          <w:spacing w:val="-1"/>
        </w:rPr>
        <w:t xml:space="preserve"> </w:t>
      </w:r>
      <w:r w:rsidRPr="00BB5DE9" w:rsidR="00C1698A">
        <w:t>Consiglio</w:t>
      </w:r>
      <w:r w:rsidRPr="00BB5DE9" w:rsidR="00C1698A">
        <w:rPr>
          <w:spacing w:val="-1"/>
        </w:rPr>
        <w:t xml:space="preserve"> </w:t>
      </w:r>
      <w:r w:rsidRPr="00BB5DE9" w:rsidR="00C1698A">
        <w:t>e</w:t>
      </w:r>
      <w:r w:rsidRPr="00BB5DE9" w:rsidR="00C1698A">
        <w:rPr>
          <w:spacing w:val="-2"/>
        </w:rPr>
        <w:t xml:space="preserve"> </w:t>
      </w:r>
      <w:r w:rsidRPr="00BB5DE9" w:rsidR="00C1698A">
        <w:t>la</w:t>
      </w:r>
      <w:r w:rsidRPr="00BB5DE9" w:rsidR="00C1698A">
        <w:rPr>
          <w:spacing w:val="-1"/>
        </w:rPr>
        <w:t xml:space="preserve"> </w:t>
      </w:r>
      <w:r w:rsidRPr="00BB5DE9" w:rsidR="00C1698A">
        <w:t>Commissione</w:t>
      </w:r>
      <w:r w:rsidRPr="00BB5DE9" w:rsidR="00C1698A">
        <w:rPr>
          <w:spacing w:val="-2"/>
        </w:rPr>
        <w:t xml:space="preserve"> </w:t>
      </w:r>
      <w:r w:rsidRPr="00BB5DE9" w:rsidR="00C1698A">
        <w:t>sulla</w:t>
      </w:r>
      <w:r w:rsidRPr="00BB5DE9" w:rsidR="00C1698A">
        <w:rPr>
          <w:spacing w:val="-1"/>
        </w:rPr>
        <w:t xml:space="preserve"> </w:t>
      </w:r>
      <w:r w:rsidRPr="00BB5DE9" w:rsidR="00C1698A">
        <w:t>disciplina</w:t>
      </w:r>
      <w:r w:rsidRPr="00BB5DE9" w:rsidR="00C1698A">
        <w:rPr>
          <w:spacing w:val="-2"/>
        </w:rPr>
        <w:t xml:space="preserve"> </w:t>
      </w:r>
      <w:r w:rsidRPr="00BB5DE9" w:rsidR="00C1698A">
        <w:t>di</w:t>
      </w:r>
      <w:r w:rsidRPr="00BB5DE9" w:rsidR="00C1698A">
        <w:rPr>
          <w:spacing w:val="-1"/>
        </w:rPr>
        <w:t xml:space="preserve"> </w:t>
      </w:r>
      <w:r w:rsidRPr="00BB5DE9" w:rsidR="00C1698A">
        <w:t>bilancio,</w:t>
      </w:r>
      <w:r w:rsidRPr="00BB5DE9" w:rsidR="00C1698A">
        <w:rPr>
          <w:spacing w:val="-1"/>
        </w:rPr>
        <w:t xml:space="preserve"> </w:t>
      </w:r>
      <w:r w:rsidRPr="00BB5DE9" w:rsidR="00C1698A">
        <w:t>sulla</w:t>
      </w:r>
      <w:r w:rsidRPr="00BB5DE9" w:rsidR="00C1698A">
        <w:rPr>
          <w:spacing w:val="-2"/>
        </w:rPr>
        <w:t xml:space="preserve"> </w:t>
      </w:r>
      <w:r w:rsidRPr="00BB5DE9" w:rsidR="00C1698A">
        <w:t>cooperazione</w:t>
      </w:r>
      <w:r w:rsidRPr="00BB5DE9" w:rsidR="00C1698A">
        <w:rPr>
          <w:spacing w:val="-2"/>
        </w:rPr>
        <w:t xml:space="preserve"> </w:t>
      </w:r>
      <w:r w:rsidRPr="00BB5DE9" w:rsidR="00C1698A">
        <w:t>in materia di bilancio e sulla sana gestione finanziaria, nonché su nuove risorse proprie, compresa una tabella di marcia per l'introduzione di nuove risorse proprie, il Parlamento europeo,</w:t>
      </w:r>
      <w:r w:rsidRPr="00BB5DE9" w:rsidR="00C1698A">
        <w:rPr>
          <w:spacing w:val="-3"/>
        </w:rPr>
        <w:t xml:space="preserve"> </w:t>
      </w:r>
      <w:r w:rsidRPr="00BB5DE9" w:rsidR="00C1698A">
        <w:t>il</w:t>
      </w:r>
      <w:r w:rsidRPr="00BB5DE9" w:rsidR="00C1698A">
        <w:rPr>
          <w:spacing w:val="-3"/>
        </w:rPr>
        <w:t xml:space="preserve"> </w:t>
      </w:r>
      <w:r w:rsidRPr="00BB5DE9" w:rsidR="00C1698A">
        <w:t>Consiglio</w:t>
      </w:r>
      <w:r w:rsidRPr="00BB5DE9" w:rsidR="00C1698A">
        <w:rPr>
          <w:spacing w:val="-3"/>
        </w:rPr>
        <w:t xml:space="preserve"> </w:t>
      </w:r>
      <w:r w:rsidRPr="00BB5DE9" w:rsidR="00C1698A">
        <w:t>e</w:t>
      </w:r>
      <w:r w:rsidRPr="00BB5DE9" w:rsidR="00C1698A">
        <w:rPr>
          <w:spacing w:val="-4"/>
        </w:rPr>
        <w:t xml:space="preserve"> </w:t>
      </w:r>
      <w:r w:rsidRPr="00BB5DE9" w:rsidR="00C1698A">
        <w:t>la</w:t>
      </w:r>
      <w:r w:rsidRPr="00BB5DE9" w:rsidR="00C1698A">
        <w:rPr>
          <w:spacing w:val="-3"/>
        </w:rPr>
        <w:t xml:space="preserve"> </w:t>
      </w:r>
      <w:r w:rsidRPr="00BB5DE9" w:rsidR="00C1698A">
        <w:t>Commissione</w:t>
      </w:r>
      <w:r w:rsidRPr="00BB5DE9" w:rsidR="00C1698A">
        <w:rPr>
          <w:spacing w:val="-4"/>
        </w:rPr>
        <w:t xml:space="preserve"> </w:t>
      </w:r>
      <w:r w:rsidRPr="00BB5DE9" w:rsidR="00C1698A">
        <w:t>convengono</w:t>
      </w:r>
      <w:r w:rsidRPr="00BB5DE9" w:rsidR="00C1698A">
        <w:rPr>
          <w:spacing w:val="-3"/>
        </w:rPr>
        <w:t xml:space="preserve"> </w:t>
      </w:r>
      <w:r w:rsidRPr="00BB5DE9" w:rsidR="00C1698A">
        <w:t>le</w:t>
      </w:r>
      <w:r w:rsidRPr="00BB5DE9" w:rsidR="00C1698A">
        <w:rPr>
          <w:spacing w:val="-3"/>
        </w:rPr>
        <w:t xml:space="preserve"> </w:t>
      </w:r>
      <w:r w:rsidRPr="00BB5DE9" w:rsidR="00C1698A">
        <w:t>date</w:t>
      </w:r>
      <w:r w:rsidRPr="00BB5DE9" w:rsidR="00C1698A">
        <w:rPr>
          <w:spacing w:val="-3"/>
        </w:rPr>
        <w:t xml:space="preserve"> </w:t>
      </w:r>
      <w:r w:rsidRPr="00BB5DE9" w:rsidR="00C1698A">
        <w:t>principali</w:t>
      </w:r>
      <w:r w:rsidRPr="00BB5DE9" w:rsidR="00C1698A">
        <w:rPr>
          <w:spacing w:val="-3"/>
        </w:rPr>
        <w:t xml:space="preserve"> </w:t>
      </w:r>
      <w:r w:rsidRPr="00BB5DE9" w:rsidR="00C1698A">
        <w:t>per</w:t>
      </w:r>
      <w:r w:rsidRPr="00BB5DE9" w:rsidR="00C1698A">
        <w:rPr>
          <w:spacing w:val="-3"/>
        </w:rPr>
        <w:t xml:space="preserve"> </w:t>
      </w:r>
      <w:r w:rsidRPr="00BB5DE9" w:rsidR="00C1698A">
        <w:t>la</w:t>
      </w:r>
      <w:r w:rsidRPr="00BB5DE9" w:rsidR="00C1698A">
        <w:rPr>
          <w:spacing w:val="-5"/>
        </w:rPr>
        <w:t xml:space="preserve"> </w:t>
      </w:r>
      <w:r w:rsidRPr="00BB5DE9" w:rsidR="00C1698A">
        <w:t>procedura</w:t>
      </w:r>
      <w:r w:rsidRPr="00BB5DE9" w:rsidR="00C1698A">
        <w:rPr>
          <w:spacing w:val="-5"/>
        </w:rPr>
        <w:t xml:space="preserve"> </w:t>
      </w:r>
      <w:r w:rsidRPr="00BB5DE9" w:rsidR="00C1698A">
        <w:t>di bilancio 2027 di seguito indicate.</w:t>
      </w:r>
    </w:p>
    <w:p w:rsidR="00C1698A" w:rsidRPr="00BB5DE9" w:rsidP="00C1698A" w14:paraId="675D88C8" w14:textId="77777777">
      <w:pPr>
        <w:pStyle w:val="ListParagraph"/>
        <w:numPr>
          <w:ilvl w:val="1"/>
          <w:numId w:val="1"/>
        </w:numPr>
        <w:tabs>
          <w:tab w:val="left" w:pos="1134"/>
        </w:tabs>
        <w:autoSpaceDE w:val="0"/>
        <w:autoSpaceDN w:val="0"/>
        <w:snapToGrid/>
        <w:spacing w:line="360" w:lineRule="auto"/>
        <w:ind w:left="1134" w:right="323"/>
        <w:contextualSpacing w:val="0"/>
      </w:pPr>
      <w:r w:rsidRPr="00BB5DE9">
        <w:t>La</w:t>
      </w:r>
      <w:r w:rsidRPr="00BB5DE9">
        <w:rPr>
          <w:spacing w:val="-5"/>
        </w:rPr>
        <w:t xml:space="preserve"> </w:t>
      </w:r>
      <w:r w:rsidRPr="00BB5DE9">
        <w:t>Commissione</w:t>
      </w:r>
      <w:r w:rsidRPr="00BB5DE9">
        <w:rPr>
          <w:spacing w:val="-3"/>
        </w:rPr>
        <w:t xml:space="preserve"> </w:t>
      </w:r>
      <w:r w:rsidRPr="00BB5DE9">
        <w:t>si</w:t>
      </w:r>
      <w:r w:rsidRPr="00BB5DE9">
        <w:rPr>
          <w:spacing w:val="-3"/>
        </w:rPr>
        <w:t xml:space="preserve"> </w:t>
      </w:r>
      <w:r w:rsidRPr="00BB5DE9">
        <w:t>adopererà</w:t>
      </w:r>
      <w:r w:rsidRPr="00BB5DE9">
        <w:rPr>
          <w:spacing w:val="-4"/>
        </w:rPr>
        <w:t xml:space="preserve"> </w:t>
      </w:r>
      <w:r w:rsidRPr="00BB5DE9">
        <w:t>per</w:t>
      </w:r>
      <w:r w:rsidRPr="00BB5DE9">
        <w:rPr>
          <w:spacing w:val="-3"/>
        </w:rPr>
        <w:t xml:space="preserve"> </w:t>
      </w:r>
      <w:r w:rsidRPr="00BB5DE9">
        <w:t>presentare</w:t>
      </w:r>
      <w:r w:rsidRPr="00BB5DE9">
        <w:rPr>
          <w:spacing w:val="-5"/>
        </w:rPr>
        <w:t xml:space="preserve"> </w:t>
      </w:r>
      <w:r w:rsidRPr="00BB5DE9">
        <w:t>lo</w:t>
      </w:r>
      <w:r w:rsidRPr="00BB5DE9">
        <w:rPr>
          <w:spacing w:val="-3"/>
        </w:rPr>
        <w:t xml:space="preserve"> </w:t>
      </w:r>
      <w:r w:rsidRPr="00BB5DE9">
        <w:t>stato</w:t>
      </w:r>
      <w:r w:rsidRPr="00BB5DE9">
        <w:rPr>
          <w:spacing w:val="-3"/>
        </w:rPr>
        <w:t xml:space="preserve"> </w:t>
      </w:r>
      <w:r w:rsidRPr="00BB5DE9">
        <w:t>previsionale</w:t>
      </w:r>
      <w:r w:rsidRPr="00BB5DE9">
        <w:rPr>
          <w:spacing w:val="-2"/>
        </w:rPr>
        <w:t xml:space="preserve"> </w:t>
      </w:r>
      <w:r w:rsidRPr="00BB5DE9">
        <w:t>2027</w:t>
      </w:r>
      <w:r w:rsidRPr="00BB5DE9">
        <w:rPr>
          <w:spacing w:val="-3"/>
        </w:rPr>
        <w:t xml:space="preserve"> </w:t>
      </w:r>
      <w:r w:rsidRPr="00BB5DE9">
        <w:t>entro</w:t>
      </w:r>
      <w:r w:rsidRPr="00BB5DE9">
        <w:rPr>
          <w:spacing w:val="-3"/>
        </w:rPr>
        <w:t xml:space="preserve"> </w:t>
      </w:r>
      <w:r w:rsidRPr="00BB5DE9">
        <w:t>l'inizio</w:t>
      </w:r>
      <w:r w:rsidRPr="00BB5DE9">
        <w:rPr>
          <w:spacing w:val="-3"/>
        </w:rPr>
        <w:t xml:space="preserve"> </w:t>
      </w:r>
      <w:r w:rsidRPr="00BB5DE9">
        <w:t xml:space="preserve">di </w:t>
      </w:r>
      <w:r w:rsidRPr="00BB5DE9">
        <w:rPr>
          <w:spacing w:val="-2"/>
        </w:rPr>
        <w:t>giugno.</w:t>
      </w:r>
    </w:p>
    <w:p w:rsidR="00C1698A" w:rsidRPr="00BB5DE9" w:rsidP="00C1698A" w14:paraId="0A554F2E" w14:textId="77777777">
      <w:pPr>
        <w:pStyle w:val="ListParagraph"/>
        <w:numPr>
          <w:ilvl w:val="1"/>
          <w:numId w:val="1"/>
        </w:numPr>
        <w:tabs>
          <w:tab w:val="left" w:pos="1134"/>
        </w:tabs>
        <w:autoSpaceDE w:val="0"/>
        <w:autoSpaceDN w:val="0"/>
        <w:snapToGrid/>
        <w:spacing w:line="360" w:lineRule="auto"/>
        <w:ind w:left="1134" w:right="702"/>
        <w:contextualSpacing w:val="0"/>
      </w:pPr>
      <w:r w:rsidRPr="00BB5DE9">
        <w:t>Il</w:t>
      </w:r>
      <w:r w:rsidRPr="00BB5DE9">
        <w:rPr>
          <w:spacing w:val="-3"/>
        </w:rPr>
        <w:t xml:space="preserve"> </w:t>
      </w:r>
      <w:r w:rsidRPr="00BB5DE9">
        <w:t>16</w:t>
      </w:r>
      <w:r w:rsidRPr="00BB5DE9">
        <w:rPr>
          <w:spacing w:val="-3"/>
        </w:rPr>
        <w:t xml:space="preserve"> </w:t>
      </w:r>
      <w:r w:rsidRPr="00BB5DE9">
        <w:t>luglio</w:t>
      </w:r>
      <w:r w:rsidRPr="00BB5DE9">
        <w:rPr>
          <w:spacing w:val="-3"/>
        </w:rPr>
        <w:t xml:space="preserve"> </w:t>
      </w:r>
      <w:r w:rsidRPr="00BB5DE9">
        <w:t>(mattino)</w:t>
      </w:r>
      <w:r w:rsidRPr="00BB5DE9">
        <w:rPr>
          <w:spacing w:val="-3"/>
        </w:rPr>
        <w:t xml:space="preserve"> </w:t>
      </w:r>
      <w:r w:rsidRPr="00BB5DE9">
        <w:t>sarà</w:t>
      </w:r>
      <w:r w:rsidRPr="00BB5DE9">
        <w:rPr>
          <w:spacing w:val="-4"/>
        </w:rPr>
        <w:t xml:space="preserve"> </w:t>
      </w:r>
      <w:r w:rsidRPr="00BB5DE9">
        <w:t>convocato</w:t>
      </w:r>
      <w:r w:rsidRPr="00BB5DE9">
        <w:rPr>
          <w:spacing w:val="-3"/>
        </w:rPr>
        <w:t xml:space="preserve"> </w:t>
      </w:r>
      <w:r w:rsidRPr="00BB5DE9">
        <w:t>un</w:t>
      </w:r>
      <w:r w:rsidRPr="00BB5DE9">
        <w:rPr>
          <w:spacing w:val="-3"/>
        </w:rPr>
        <w:t xml:space="preserve"> </w:t>
      </w:r>
      <w:r w:rsidRPr="00BB5DE9">
        <w:t>trilogo</w:t>
      </w:r>
      <w:r w:rsidRPr="00BB5DE9">
        <w:rPr>
          <w:spacing w:val="-3"/>
        </w:rPr>
        <w:t xml:space="preserve"> </w:t>
      </w:r>
      <w:r w:rsidRPr="00BB5DE9">
        <w:t>dopo</w:t>
      </w:r>
      <w:r w:rsidRPr="00BB5DE9">
        <w:rPr>
          <w:spacing w:val="-3"/>
        </w:rPr>
        <w:t xml:space="preserve"> </w:t>
      </w:r>
      <w:r w:rsidRPr="00BB5DE9">
        <w:t>l'adozione</w:t>
      </w:r>
      <w:r w:rsidRPr="00BB5DE9">
        <w:rPr>
          <w:spacing w:val="-3"/>
        </w:rPr>
        <w:t xml:space="preserve"> </w:t>
      </w:r>
      <w:r w:rsidRPr="00BB5DE9">
        <w:t>della</w:t>
      </w:r>
      <w:r w:rsidRPr="00BB5DE9">
        <w:rPr>
          <w:spacing w:val="-4"/>
        </w:rPr>
        <w:t xml:space="preserve"> </w:t>
      </w:r>
      <w:r w:rsidRPr="00BB5DE9">
        <w:t>posizione</w:t>
      </w:r>
      <w:r w:rsidRPr="00BB5DE9">
        <w:rPr>
          <w:spacing w:val="-4"/>
        </w:rPr>
        <w:t xml:space="preserve"> </w:t>
      </w:r>
      <w:r w:rsidRPr="00BB5DE9">
        <w:t>del Consiglio da parte del Comitato dei rappresentanti permanenti.</w:t>
      </w:r>
    </w:p>
    <w:p w:rsidR="00C1698A" w:rsidRPr="00BB5DE9" w:rsidP="00C1698A" w14:paraId="05CB481E" w14:textId="77777777">
      <w:pPr>
        <w:pStyle w:val="ListParagraph"/>
        <w:numPr>
          <w:ilvl w:val="1"/>
          <w:numId w:val="1"/>
        </w:numPr>
        <w:tabs>
          <w:tab w:val="left" w:pos="1134"/>
        </w:tabs>
        <w:autoSpaceDE w:val="0"/>
        <w:autoSpaceDN w:val="0"/>
        <w:snapToGrid/>
        <w:spacing w:line="360" w:lineRule="auto"/>
        <w:ind w:left="1134" w:right="242"/>
        <w:contextualSpacing w:val="0"/>
      </w:pPr>
      <w:r w:rsidRPr="00BB5DE9">
        <w:t>Il Consiglio si adopererà per adottare la sua posizione e trasmetterla al Parlamento europeo</w:t>
      </w:r>
      <w:r w:rsidRPr="00BB5DE9">
        <w:rPr>
          <w:spacing w:val="-3"/>
        </w:rPr>
        <w:t xml:space="preserve"> </w:t>
      </w:r>
      <w:r w:rsidRPr="00BB5DE9">
        <w:t>al</w:t>
      </w:r>
      <w:r w:rsidRPr="00BB5DE9">
        <w:rPr>
          <w:spacing w:val="-3"/>
        </w:rPr>
        <w:t xml:space="preserve"> </w:t>
      </w:r>
      <w:r w:rsidRPr="00BB5DE9">
        <w:t>termine</w:t>
      </w:r>
      <w:r w:rsidRPr="00BB5DE9">
        <w:rPr>
          <w:spacing w:val="-4"/>
        </w:rPr>
        <w:t xml:space="preserve"> </w:t>
      </w:r>
      <w:r w:rsidRPr="00BB5DE9">
        <w:t>della</w:t>
      </w:r>
      <w:r w:rsidRPr="00BB5DE9">
        <w:rPr>
          <w:spacing w:val="-2"/>
        </w:rPr>
        <w:t xml:space="preserve"> </w:t>
      </w:r>
      <w:r w:rsidRPr="00BB5DE9">
        <w:t>settimana</w:t>
      </w:r>
      <w:r w:rsidRPr="00BB5DE9">
        <w:rPr>
          <w:spacing w:val="-3"/>
        </w:rPr>
        <w:t xml:space="preserve"> </w:t>
      </w:r>
      <w:r w:rsidRPr="00BB5DE9">
        <w:t>37,</w:t>
      </w:r>
      <w:r w:rsidRPr="00BB5DE9">
        <w:rPr>
          <w:spacing w:val="-3"/>
        </w:rPr>
        <w:t xml:space="preserve"> </w:t>
      </w:r>
      <w:r w:rsidRPr="00BB5DE9">
        <w:t>al</w:t>
      </w:r>
      <w:r w:rsidRPr="00BB5DE9">
        <w:rPr>
          <w:spacing w:val="-3"/>
        </w:rPr>
        <w:t xml:space="preserve"> </w:t>
      </w:r>
      <w:r w:rsidRPr="00BB5DE9">
        <w:t>fine</w:t>
      </w:r>
      <w:r w:rsidRPr="00BB5DE9">
        <w:rPr>
          <w:spacing w:val="-4"/>
        </w:rPr>
        <w:t xml:space="preserve"> </w:t>
      </w:r>
      <w:r w:rsidRPr="00BB5DE9">
        <w:t>di</w:t>
      </w:r>
      <w:r w:rsidRPr="00BB5DE9">
        <w:rPr>
          <w:spacing w:val="-3"/>
        </w:rPr>
        <w:t xml:space="preserve"> </w:t>
      </w:r>
      <w:r w:rsidRPr="00BB5DE9">
        <w:t>agevolare</w:t>
      </w:r>
      <w:r w:rsidRPr="00BB5DE9">
        <w:rPr>
          <w:spacing w:val="-4"/>
        </w:rPr>
        <w:t xml:space="preserve"> </w:t>
      </w:r>
      <w:r w:rsidRPr="00BB5DE9">
        <w:t>un</w:t>
      </w:r>
      <w:r w:rsidRPr="00BB5DE9">
        <w:rPr>
          <w:spacing w:val="-1"/>
        </w:rPr>
        <w:t xml:space="preserve"> </w:t>
      </w:r>
      <w:r w:rsidRPr="00BB5DE9">
        <w:t>accordo</w:t>
      </w:r>
      <w:r w:rsidRPr="00BB5DE9">
        <w:rPr>
          <w:spacing w:val="-3"/>
        </w:rPr>
        <w:t xml:space="preserve"> </w:t>
      </w:r>
      <w:r w:rsidRPr="00BB5DE9">
        <w:t>tempestivo</w:t>
      </w:r>
      <w:r w:rsidRPr="00BB5DE9">
        <w:rPr>
          <w:spacing w:val="-3"/>
        </w:rPr>
        <w:t xml:space="preserve"> </w:t>
      </w:r>
      <w:r w:rsidRPr="00BB5DE9">
        <w:t>con</w:t>
      </w:r>
      <w:r w:rsidRPr="00BB5DE9">
        <w:rPr>
          <w:spacing w:val="-3"/>
        </w:rPr>
        <w:t xml:space="preserve"> </w:t>
      </w:r>
      <w:r w:rsidRPr="00BB5DE9">
        <w:t>il Parlamento europeo.</w:t>
      </w:r>
    </w:p>
    <w:p w:rsidR="00C1698A" w:rsidRPr="00BB5DE9" w:rsidP="00C1698A" w14:paraId="629A6769" w14:textId="77777777">
      <w:pPr>
        <w:pStyle w:val="ListParagraph"/>
        <w:numPr>
          <w:ilvl w:val="1"/>
          <w:numId w:val="1"/>
        </w:numPr>
        <w:tabs>
          <w:tab w:val="left" w:pos="1134"/>
        </w:tabs>
        <w:autoSpaceDE w:val="0"/>
        <w:autoSpaceDN w:val="0"/>
        <w:snapToGrid/>
        <w:spacing w:line="360" w:lineRule="auto"/>
        <w:ind w:left="1134" w:right="208"/>
        <w:contextualSpacing w:val="0"/>
      </w:pPr>
      <w:r w:rsidRPr="00BB5DE9">
        <w:t>La</w:t>
      </w:r>
      <w:r w:rsidRPr="00BB5DE9">
        <w:rPr>
          <w:spacing w:val="-1"/>
        </w:rPr>
        <w:t xml:space="preserve"> </w:t>
      </w:r>
      <w:r w:rsidRPr="00BB5DE9">
        <w:t>commissione</w:t>
      </w:r>
      <w:r w:rsidRPr="00BB5DE9">
        <w:rPr>
          <w:spacing w:val="-3"/>
        </w:rPr>
        <w:t xml:space="preserve"> </w:t>
      </w:r>
      <w:r w:rsidRPr="00BB5DE9">
        <w:t>per</w:t>
      </w:r>
      <w:r w:rsidRPr="00BB5DE9">
        <w:rPr>
          <w:spacing w:val="-3"/>
        </w:rPr>
        <w:t xml:space="preserve"> </w:t>
      </w:r>
      <w:r w:rsidRPr="00BB5DE9">
        <w:t>i</w:t>
      </w:r>
      <w:r w:rsidRPr="00BB5DE9">
        <w:rPr>
          <w:spacing w:val="-2"/>
        </w:rPr>
        <w:t xml:space="preserve"> </w:t>
      </w:r>
      <w:r w:rsidRPr="00BB5DE9">
        <w:t>bilanci</w:t>
      </w:r>
      <w:r w:rsidRPr="00BB5DE9">
        <w:rPr>
          <w:spacing w:val="-2"/>
        </w:rPr>
        <w:t xml:space="preserve"> </w:t>
      </w:r>
      <w:r w:rsidRPr="00BB5DE9">
        <w:t>del</w:t>
      </w:r>
      <w:r w:rsidRPr="00BB5DE9">
        <w:rPr>
          <w:spacing w:val="-2"/>
        </w:rPr>
        <w:t xml:space="preserve"> </w:t>
      </w:r>
      <w:r w:rsidRPr="00BB5DE9">
        <w:t>Parlamento europeo</w:t>
      </w:r>
      <w:r w:rsidRPr="00BB5DE9">
        <w:rPr>
          <w:spacing w:val="-2"/>
        </w:rPr>
        <w:t xml:space="preserve"> </w:t>
      </w:r>
      <w:r w:rsidRPr="00BB5DE9">
        <w:t>si adopererà</w:t>
      </w:r>
      <w:r w:rsidRPr="00BB5DE9">
        <w:rPr>
          <w:spacing w:val="-4"/>
        </w:rPr>
        <w:t xml:space="preserve"> </w:t>
      </w:r>
      <w:r w:rsidRPr="00BB5DE9">
        <w:t>per</w:t>
      </w:r>
      <w:r w:rsidRPr="00BB5DE9">
        <w:rPr>
          <w:spacing w:val="-3"/>
        </w:rPr>
        <w:t xml:space="preserve"> </w:t>
      </w:r>
      <w:r w:rsidRPr="00BB5DE9">
        <w:t xml:space="preserve">votare </w:t>
      </w:r>
      <w:r w:rsidRPr="00BB5DE9">
        <w:rPr>
          <w:spacing w:val="-2"/>
        </w:rPr>
        <w:t>emendamenti</w:t>
      </w:r>
      <w:r w:rsidRPr="00BB5DE9">
        <w:rPr>
          <w:spacing w:val="-5"/>
        </w:rPr>
        <w:t xml:space="preserve"> </w:t>
      </w:r>
      <w:r w:rsidRPr="00BB5DE9">
        <w:rPr>
          <w:spacing w:val="-2"/>
        </w:rPr>
        <w:t>alla</w:t>
      </w:r>
      <w:r w:rsidRPr="00BB5DE9">
        <w:rPr>
          <w:spacing w:val="-6"/>
        </w:rPr>
        <w:t xml:space="preserve"> </w:t>
      </w:r>
      <w:r w:rsidRPr="00BB5DE9">
        <w:rPr>
          <w:spacing w:val="-2"/>
        </w:rPr>
        <w:t>posizione</w:t>
      </w:r>
      <w:r w:rsidRPr="00BB5DE9">
        <w:rPr>
          <w:spacing w:val="-6"/>
        </w:rPr>
        <w:t xml:space="preserve"> </w:t>
      </w:r>
      <w:r w:rsidRPr="00BB5DE9">
        <w:rPr>
          <w:spacing w:val="-2"/>
        </w:rPr>
        <w:t>del</w:t>
      </w:r>
      <w:r w:rsidRPr="00BB5DE9">
        <w:rPr>
          <w:spacing w:val="-5"/>
        </w:rPr>
        <w:t xml:space="preserve"> </w:t>
      </w:r>
      <w:r w:rsidRPr="00BB5DE9">
        <w:rPr>
          <w:spacing w:val="-2"/>
        </w:rPr>
        <w:t>Consiglio</w:t>
      </w:r>
      <w:r w:rsidRPr="00BB5DE9">
        <w:rPr>
          <w:spacing w:val="-3"/>
        </w:rPr>
        <w:t xml:space="preserve"> </w:t>
      </w:r>
      <w:r w:rsidRPr="00BB5DE9">
        <w:rPr>
          <w:spacing w:val="-2"/>
        </w:rPr>
        <w:t>entro</w:t>
      </w:r>
      <w:r w:rsidRPr="00BB5DE9">
        <w:rPr>
          <w:spacing w:val="-5"/>
        </w:rPr>
        <w:t xml:space="preserve"> </w:t>
      </w:r>
      <w:r w:rsidRPr="00BB5DE9">
        <w:rPr>
          <w:spacing w:val="-2"/>
        </w:rPr>
        <w:t>la</w:t>
      </w:r>
      <w:r w:rsidRPr="00BB5DE9">
        <w:rPr>
          <w:spacing w:val="-4"/>
        </w:rPr>
        <w:t xml:space="preserve"> </w:t>
      </w:r>
      <w:r w:rsidRPr="00BB5DE9">
        <w:rPr>
          <w:spacing w:val="-2"/>
        </w:rPr>
        <w:t>fine</w:t>
      </w:r>
      <w:r w:rsidRPr="00BB5DE9">
        <w:rPr>
          <w:spacing w:val="-6"/>
        </w:rPr>
        <w:t xml:space="preserve"> </w:t>
      </w:r>
      <w:r w:rsidRPr="00BB5DE9">
        <w:rPr>
          <w:spacing w:val="-2"/>
        </w:rPr>
        <w:t>della</w:t>
      </w:r>
      <w:r w:rsidRPr="00BB5DE9">
        <w:rPr>
          <w:spacing w:val="-6"/>
        </w:rPr>
        <w:t xml:space="preserve"> </w:t>
      </w:r>
      <w:r w:rsidRPr="00BB5DE9">
        <w:rPr>
          <w:spacing w:val="-2"/>
        </w:rPr>
        <w:t>settimana</w:t>
      </w:r>
      <w:r w:rsidRPr="00BB5DE9">
        <w:rPr>
          <w:spacing w:val="-5"/>
        </w:rPr>
        <w:t xml:space="preserve"> </w:t>
      </w:r>
      <w:r w:rsidRPr="00BB5DE9">
        <w:rPr>
          <w:spacing w:val="-2"/>
        </w:rPr>
        <w:t>41</w:t>
      </w:r>
      <w:r w:rsidRPr="00BB5DE9">
        <w:rPr>
          <w:spacing w:val="-3"/>
        </w:rPr>
        <w:t xml:space="preserve"> </w:t>
      </w:r>
      <w:r w:rsidRPr="00BB5DE9">
        <w:rPr>
          <w:spacing w:val="-2"/>
        </w:rPr>
        <w:t>(inizio</w:t>
      </w:r>
      <w:r w:rsidRPr="00BB5DE9">
        <w:rPr>
          <w:spacing w:val="-5"/>
        </w:rPr>
        <w:t xml:space="preserve"> </w:t>
      </w:r>
      <w:r w:rsidRPr="00BB5DE9">
        <w:rPr>
          <w:spacing w:val="-2"/>
        </w:rPr>
        <w:t>ottobre).</w:t>
      </w:r>
    </w:p>
    <w:p w:rsidR="00C1698A" w:rsidRPr="00BB5DE9" w:rsidP="00C1698A" w14:paraId="587E100B" w14:textId="77777777">
      <w:pPr>
        <w:pStyle w:val="ListParagraph"/>
        <w:numPr>
          <w:ilvl w:val="1"/>
          <w:numId w:val="1"/>
        </w:numPr>
        <w:tabs>
          <w:tab w:val="left" w:pos="1134"/>
        </w:tabs>
        <w:autoSpaceDE w:val="0"/>
        <w:autoSpaceDN w:val="0"/>
        <w:snapToGrid/>
        <w:spacing w:line="360" w:lineRule="auto"/>
        <w:ind w:left="1134" w:right="315"/>
        <w:contextualSpacing w:val="0"/>
      </w:pPr>
      <w:r w:rsidRPr="00BB5DE9">
        <w:t>Il</w:t>
      </w:r>
      <w:r w:rsidRPr="00BB5DE9">
        <w:rPr>
          <w:spacing w:val="-3"/>
        </w:rPr>
        <w:t xml:space="preserve"> </w:t>
      </w:r>
      <w:r w:rsidRPr="00BB5DE9">
        <w:t>14</w:t>
      </w:r>
      <w:r w:rsidRPr="00BB5DE9">
        <w:rPr>
          <w:spacing w:val="-3"/>
        </w:rPr>
        <w:t xml:space="preserve"> </w:t>
      </w:r>
      <w:r w:rsidRPr="00BB5DE9">
        <w:t>ottobre</w:t>
      </w:r>
      <w:r w:rsidRPr="00BB5DE9">
        <w:rPr>
          <w:spacing w:val="-2"/>
        </w:rPr>
        <w:t xml:space="preserve"> </w:t>
      </w:r>
      <w:r w:rsidRPr="00BB5DE9">
        <w:t>(pomeriggio)</w:t>
      </w:r>
      <w:r w:rsidRPr="00BB5DE9">
        <w:rPr>
          <w:spacing w:val="-3"/>
        </w:rPr>
        <w:t xml:space="preserve"> </w:t>
      </w:r>
      <w:r w:rsidRPr="00BB5DE9">
        <w:t>sarà</w:t>
      </w:r>
      <w:r w:rsidRPr="00BB5DE9">
        <w:rPr>
          <w:spacing w:val="-3"/>
        </w:rPr>
        <w:t xml:space="preserve"> </w:t>
      </w:r>
      <w:r w:rsidRPr="00BB5DE9">
        <w:t>convocato</w:t>
      </w:r>
      <w:r w:rsidRPr="00BB5DE9">
        <w:rPr>
          <w:spacing w:val="-3"/>
        </w:rPr>
        <w:t xml:space="preserve"> </w:t>
      </w:r>
      <w:r w:rsidRPr="00BB5DE9">
        <w:t>un</w:t>
      </w:r>
      <w:r w:rsidRPr="00BB5DE9">
        <w:rPr>
          <w:spacing w:val="-3"/>
        </w:rPr>
        <w:t xml:space="preserve"> </w:t>
      </w:r>
      <w:r w:rsidRPr="00BB5DE9">
        <w:t>trilogo</w:t>
      </w:r>
      <w:r w:rsidRPr="00BB5DE9">
        <w:rPr>
          <w:spacing w:val="-3"/>
        </w:rPr>
        <w:t xml:space="preserve"> </w:t>
      </w:r>
      <w:r w:rsidRPr="00BB5DE9">
        <w:t>prima</w:t>
      </w:r>
      <w:r w:rsidRPr="00BB5DE9">
        <w:rPr>
          <w:spacing w:val="-4"/>
        </w:rPr>
        <w:t xml:space="preserve"> </w:t>
      </w:r>
      <w:r w:rsidRPr="00BB5DE9">
        <w:t>della</w:t>
      </w:r>
      <w:r w:rsidRPr="00BB5DE9">
        <w:rPr>
          <w:spacing w:val="-2"/>
        </w:rPr>
        <w:t xml:space="preserve"> </w:t>
      </w:r>
      <w:r w:rsidRPr="00BB5DE9">
        <w:t>lettura</w:t>
      </w:r>
      <w:r w:rsidRPr="00BB5DE9">
        <w:rPr>
          <w:spacing w:val="-5"/>
        </w:rPr>
        <w:t xml:space="preserve"> </w:t>
      </w:r>
      <w:r w:rsidRPr="00BB5DE9">
        <w:t>del</w:t>
      </w:r>
      <w:r w:rsidRPr="00BB5DE9">
        <w:rPr>
          <w:spacing w:val="-1"/>
        </w:rPr>
        <w:t xml:space="preserve"> </w:t>
      </w:r>
      <w:r w:rsidRPr="00BB5DE9">
        <w:t xml:space="preserve">Parlamento </w:t>
      </w:r>
      <w:r w:rsidRPr="00BB5DE9">
        <w:rPr>
          <w:spacing w:val="-2"/>
        </w:rPr>
        <w:t>europeo.</w:t>
      </w:r>
    </w:p>
    <w:p w:rsidR="00C1698A" w:rsidRPr="00BB5DE9" w:rsidP="00C1698A" w14:paraId="53C8516B" w14:textId="579C7888">
      <w:pPr>
        <w:pStyle w:val="ListParagraph"/>
        <w:numPr>
          <w:ilvl w:val="1"/>
          <w:numId w:val="1"/>
        </w:numPr>
        <w:tabs>
          <w:tab w:val="left" w:pos="1134"/>
        </w:tabs>
        <w:autoSpaceDE w:val="0"/>
        <w:autoSpaceDN w:val="0"/>
        <w:snapToGrid/>
        <w:spacing w:line="360" w:lineRule="auto"/>
        <w:ind w:left="1134" w:right="315"/>
        <w:contextualSpacing w:val="0"/>
      </w:pPr>
      <w:r w:rsidRPr="00BB5DE9">
        <w:t>La</w:t>
      </w:r>
      <w:r w:rsidRPr="00BB5DE9">
        <w:rPr>
          <w:spacing w:val="-5"/>
        </w:rPr>
        <w:t xml:space="preserve"> </w:t>
      </w:r>
      <w:r w:rsidRPr="00BB5DE9">
        <w:t>plenaria</w:t>
      </w:r>
      <w:r w:rsidRPr="00BB5DE9">
        <w:rPr>
          <w:spacing w:val="-4"/>
        </w:rPr>
        <w:t xml:space="preserve"> </w:t>
      </w:r>
      <w:r w:rsidRPr="00BB5DE9">
        <w:t>del</w:t>
      </w:r>
      <w:r w:rsidRPr="00BB5DE9">
        <w:rPr>
          <w:spacing w:val="-3"/>
        </w:rPr>
        <w:t xml:space="preserve"> </w:t>
      </w:r>
      <w:r w:rsidRPr="00BB5DE9">
        <w:t>Parlamento</w:t>
      </w:r>
      <w:r w:rsidRPr="00BB5DE9">
        <w:rPr>
          <w:spacing w:val="-3"/>
        </w:rPr>
        <w:t xml:space="preserve"> </w:t>
      </w:r>
      <w:r w:rsidRPr="00BB5DE9">
        <w:t>europeo</w:t>
      </w:r>
      <w:r w:rsidRPr="00BB5DE9">
        <w:rPr>
          <w:spacing w:val="-3"/>
        </w:rPr>
        <w:t xml:space="preserve"> </w:t>
      </w:r>
      <w:r w:rsidRPr="00BB5DE9">
        <w:t>voterà</w:t>
      </w:r>
      <w:r w:rsidRPr="00BB5DE9">
        <w:rPr>
          <w:spacing w:val="-4"/>
        </w:rPr>
        <w:t xml:space="preserve"> </w:t>
      </w:r>
      <w:r w:rsidRPr="00BB5DE9">
        <w:t>nell'ambito</w:t>
      </w:r>
      <w:r w:rsidRPr="00BB5DE9">
        <w:rPr>
          <w:spacing w:val="-3"/>
        </w:rPr>
        <w:t xml:space="preserve"> </w:t>
      </w:r>
      <w:r w:rsidRPr="00BB5DE9">
        <w:t>della</w:t>
      </w:r>
      <w:r w:rsidRPr="00BB5DE9">
        <w:rPr>
          <w:spacing w:val="-4"/>
        </w:rPr>
        <w:t xml:space="preserve"> </w:t>
      </w:r>
      <w:r w:rsidRPr="00BB5DE9">
        <w:t>sua</w:t>
      </w:r>
      <w:r w:rsidRPr="00BB5DE9">
        <w:rPr>
          <w:spacing w:val="-4"/>
        </w:rPr>
        <w:t xml:space="preserve"> </w:t>
      </w:r>
      <w:r w:rsidRPr="00BB5DE9">
        <w:t>lettura</w:t>
      </w:r>
      <w:r w:rsidRPr="00BB5DE9">
        <w:rPr>
          <w:spacing w:val="-5"/>
        </w:rPr>
        <w:t xml:space="preserve"> </w:t>
      </w:r>
      <w:r w:rsidRPr="00BB5DE9">
        <w:t>nella settimana 43 (plenaria del 19-22 ottobre).</w:t>
      </w:r>
    </w:p>
    <w:p w:rsidR="00C1698A" w:rsidRPr="00BB5DE9" w:rsidP="00C1698A" w14:paraId="06C54782" w14:textId="389AE3FB">
      <w:pPr>
        <w:pStyle w:val="ListParagraph"/>
        <w:numPr>
          <w:ilvl w:val="1"/>
          <w:numId w:val="1"/>
        </w:numPr>
        <w:tabs>
          <w:tab w:val="left" w:pos="1134"/>
        </w:tabs>
        <w:autoSpaceDE w:val="0"/>
        <w:autoSpaceDN w:val="0"/>
        <w:snapToGrid/>
        <w:spacing w:line="360" w:lineRule="auto"/>
        <w:ind w:left="1134" w:right="501"/>
        <w:contextualSpacing w:val="0"/>
      </w:pPr>
      <w:r w:rsidRPr="00BB5DE9">
        <w:t>Il</w:t>
      </w:r>
      <w:r w:rsidRPr="00BB5DE9">
        <w:rPr>
          <w:spacing w:val="-3"/>
        </w:rPr>
        <w:t xml:space="preserve"> </w:t>
      </w:r>
      <w:r w:rsidRPr="00BB5DE9">
        <w:t>periodo</w:t>
      </w:r>
      <w:r w:rsidRPr="00BB5DE9">
        <w:rPr>
          <w:spacing w:val="-3"/>
        </w:rPr>
        <w:t xml:space="preserve"> </w:t>
      </w:r>
      <w:r w:rsidRPr="00BB5DE9">
        <w:t>di</w:t>
      </w:r>
      <w:r w:rsidRPr="00BB5DE9">
        <w:rPr>
          <w:spacing w:val="-3"/>
        </w:rPr>
        <w:t xml:space="preserve"> </w:t>
      </w:r>
      <w:r w:rsidRPr="00BB5DE9">
        <w:t>conciliazione</w:t>
      </w:r>
      <w:r w:rsidRPr="00BB5DE9">
        <w:rPr>
          <w:spacing w:val="-4"/>
        </w:rPr>
        <w:t xml:space="preserve"> </w:t>
      </w:r>
      <w:r w:rsidRPr="00BB5DE9">
        <w:t>avrà</w:t>
      </w:r>
      <w:r w:rsidRPr="00BB5DE9">
        <w:rPr>
          <w:spacing w:val="-5"/>
        </w:rPr>
        <w:t xml:space="preserve"> </w:t>
      </w:r>
      <w:r w:rsidRPr="00BB5DE9">
        <w:t>inizio</w:t>
      </w:r>
      <w:r w:rsidRPr="00BB5DE9">
        <w:rPr>
          <w:spacing w:val="-3"/>
        </w:rPr>
        <w:t xml:space="preserve"> </w:t>
      </w:r>
      <w:r w:rsidRPr="00BB5DE9">
        <w:t>il</w:t>
      </w:r>
      <w:r w:rsidRPr="00BB5DE9">
        <w:rPr>
          <w:spacing w:val="-3"/>
        </w:rPr>
        <w:t xml:space="preserve"> </w:t>
      </w:r>
      <w:r w:rsidRPr="00BB5DE9">
        <w:t>27</w:t>
      </w:r>
      <w:r w:rsidRPr="00BB5DE9">
        <w:rPr>
          <w:spacing w:val="-1"/>
        </w:rPr>
        <w:t xml:space="preserve"> </w:t>
      </w:r>
      <w:r w:rsidRPr="00BB5DE9">
        <w:t>ottobre.</w:t>
      </w:r>
      <w:r w:rsidRPr="00BB5DE9">
        <w:rPr>
          <w:spacing w:val="-3"/>
        </w:rPr>
        <w:t xml:space="preserve"> </w:t>
      </w:r>
      <w:r w:rsidRPr="00BB5DE9">
        <w:t>Conformemente</w:t>
      </w:r>
      <w:r w:rsidRPr="00BB5DE9">
        <w:rPr>
          <w:spacing w:val="-3"/>
        </w:rPr>
        <w:t xml:space="preserve"> </w:t>
      </w:r>
      <w:r w:rsidRPr="00BB5DE9">
        <w:t>alle</w:t>
      </w:r>
      <w:r w:rsidRPr="00BB5DE9">
        <w:rPr>
          <w:spacing w:val="-4"/>
        </w:rPr>
        <w:t xml:space="preserve"> </w:t>
      </w:r>
      <w:r w:rsidRPr="00BB5DE9">
        <w:t>disposizioni dell'articolo 314, paragrafo 4, lettera c), TFUE, il termine disponibile per la conciliazione scadrà il 16 novembre 2026.</w:t>
      </w:r>
    </w:p>
    <w:p w:rsidR="00C1698A" w:rsidRPr="00BB5DE9" w:rsidP="00C1698A" w14:paraId="2B7F8DC1" w14:textId="34E7D238">
      <w:pPr>
        <w:pStyle w:val="ListParagraph"/>
        <w:numPr>
          <w:ilvl w:val="1"/>
          <w:numId w:val="1"/>
        </w:numPr>
        <w:tabs>
          <w:tab w:val="left" w:pos="1134"/>
        </w:tabs>
        <w:autoSpaceDE w:val="0"/>
        <w:autoSpaceDN w:val="0"/>
        <w:snapToGrid/>
        <w:spacing w:line="360" w:lineRule="auto"/>
        <w:ind w:left="1134" w:right="501"/>
        <w:contextualSpacing w:val="0"/>
      </w:pPr>
      <w:r w:rsidRPr="00BB5DE9">
        <w:t>Il comitato di conciliazione si riunirà il 3 novembre (pomeriggio) presso il Parlamento europeo</w:t>
      </w:r>
      <w:r w:rsidRPr="00BB5DE9">
        <w:rPr>
          <w:spacing w:val="-2"/>
        </w:rPr>
        <w:t xml:space="preserve"> </w:t>
      </w:r>
      <w:r w:rsidRPr="00BB5DE9">
        <w:t>e</w:t>
      </w:r>
      <w:r w:rsidRPr="00BB5DE9">
        <w:rPr>
          <w:spacing w:val="-3"/>
        </w:rPr>
        <w:t xml:space="preserve"> </w:t>
      </w:r>
      <w:r w:rsidRPr="00BB5DE9">
        <w:t>il</w:t>
      </w:r>
      <w:r w:rsidRPr="00BB5DE9">
        <w:rPr>
          <w:spacing w:val="-2"/>
        </w:rPr>
        <w:t xml:space="preserve"> </w:t>
      </w:r>
      <w:r w:rsidRPr="00BB5DE9">
        <w:t>10</w:t>
      </w:r>
      <w:r w:rsidRPr="00BB5DE9">
        <w:rPr>
          <w:spacing w:val="-2"/>
        </w:rPr>
        <w:t xml:space="preserve"> </w:t>
      </w:r>
      <w:r w:rsidRPr="00BB5DE9">
        <w:t>novembre</w:t>
      </w:r>
      <w:r w:rsidRPr="00BB5DE9">
        <w:rPr>
          <w:spacing w:val="-2"/>
        </w:rPr>
        <w:t xml:space="preserve"> </w:t>
      </w:r>
      <w:r w:rsidRPr="00BB5DE9">
        <w:t>presso</w:t>
      </w:r>
      <w:r w:rsidRPr="00BB5DE9">
        <w:rPr>
          <w:spacing w:val="-2"/>
        </w:rPr>
        <w:t xml:space="preserve"> </w:t>
      </w:r>
      <w:r w:rsidRPr="00BB5DE9">
        <w:t>il</w:t>
      </w:r>
      <w:r w:rsidRPr="00BB5DE9">
        <w:rPr>
          <w:spacing w:val="-2"/>
        </w:rPr>
        <w:t xml:space="preserve"> </w:t>
      </w:r>
      <w:r w:rsidRPr="00BB5DE9">
        <w:t>Consiglio</w:t>
      </w:r>
      <w:r w:rsidRPr="00BB5DE9">
        <w:rPr>
          <w:spacing w:val="-2"/>
        </w:rPr>
        <w:t xml:space="preserve"> </w:t>
      </w:r>
      <w:r w:rsidRPr="00BB5DE9">
        <w:t>(e</w:t>
      </w:r>
      <w:r w:rsidRPr="00BB5DE9">
        <w:rPr>
          <w:spacing w:val="-4"/>
        </w:rPr>
        <w:t xml:space="preserve"> </w:t>
      </w:r>
      <w:r w:rsidRPr="00BB5DE9">
        <w:t>potrà</w:t>
      </w:r>
      <w:r w:rsidRPr="00BB5DE9">
        <w:rPr>
          <w:spacing w:val="-4"/>
        </w:rPr>
        <w:t xml:space="preserve"> </w:t>
      </w:r>
      <w:r w:rsidRPr="00BB5DE9">
        <w:t>continuare</w:t>
      </w:r>
      <w:r w:rsidRPr="00BB5DE9">
        <w:rPr>
          <w:spacing w:val="-3"/>
        </w:rPr>
        <w:t xml:space="preserve"> </w:t>
      </w:r>
      <w:r w:rsidRPr="00BB5DE9">
        <w:t>se</w:t>
      </w:r>
      <w:r w:rsidRPr="00BB5DE9">
        <w:rPr>
          <w:spacing w:val="-3"/>
        </w:rPr>
        <w:t xml:space="preserve"> </w:t>
      </w:r>
      <w:r w:rsidRPr="00BB5DE9">
        <w:t>del</w:t>
      </w:r>
      <w:r w:rsidRPr="00BB5DE9">
        <w:rPr>
          <w:spacing w:val="-2"/>
        </w:rPr>
        <w:t xml:space="preserve"> </w:t>
      </w:r>
      <w:r w:rsidRPr="00BB5DE9">
        <w:t>caso);</w:t>
      </w:r>
      <w:r w:rsidRPr="00BB5DE9">
        <w:rPr>
          <w:spacing w:val="-2"/>
        </w:rPr>
        <w:t xml:space="preserve"> </w:t>
      </w:r>
      <w:r w:rsidRPr="00BB5DE9">
        <w:t>le</w:t>
      </w:r>
      <w:r w:rsidRPr="00BB5DE9">
        <w:rPr>
          <w:spacing w:val="-3"/>
        </w:rPr>
        <w:t xml:space="preserve"> </w:t>
      </w:r>
      <w:r w:rsidRPr="00BB5DE9">
        <w:t xml:space="preserve">riunioni del comitato di conciliazione saranno preparate da uno o più triloghi. Un trilogo è previsto il 3 novembre (pomeriggio). Uno o </w:t>
      </w:r>
      <w:r w:rsidRPr="00BB5DE9">
        <w:t>più triloghi supplementari potranno essere convocati durante il periodo di conciliazione di 21 giorni, compreso il 9 novembre presso il Consiglio.</w:t>
      </w:r>
    </w:p>
    <w:p w:rsidR="00E514EF" w:rsidRPr="00BB5DE9" w:rsidP="00C1698A" w14:paraId="021F8973" w14:textId="0EEF0A75">
      <w:pPr>
        <w:spacing w:line="360" w:lineRule="auto"/>
        <w:ind w:left="567" w:hanging="567"/>
      </w:pPr>
      <w:r w:rsidRPr="00BB5DE9">
        <w:t>B.</w:t>
      </w:r>
      <w:r w:rsidRPr="00BB5DE9">
        <w:tab/>
      </w:r>
      <w:r w:rsidRPr="00BB5DE9" w:rsidR="00C1698A">
        <w:t>Le</w:t>
      </w:r>
      <w:r w:rsidRPr="00BB5DE9" w:rsidR="00C1698A">
        <w:rPr>
          <w:spacing w:val="-5"/>
        </w:rPr>
        <w:t xml:space="preserve"> </w:t>
      </w:r>
      <w:r w:rsidRPr="00BB5DE9" w:rsidR="00C1698A">
        <w:t>modalità</w:t>
      </w:r>
      <w:r w:rsidRPr="00BB5DE9" w:rsidR="00C1698A">
        <w:rPr>
          <w:spacing w:val="-4"/>
        </w:rPr>
        <w:t xml:space="preserve"> </w:t>
      </w:r>
      <w:r w:rsidRPr="00BB5DE9" w:rsidR="00C1698A">
        <w:t>per</w:t>
      </w:r>
      <w:r w:rsidRPr="00BB5DE9" w:rsidR="00C1698A">
        <w:rPr>
          <w:spacing w:val="-3"/>
        </w:rPr>
        <w:t xml:space="preserve"> </w:t>
      </w:r>
      <w:r w:rsidRPr="00BB5DE9" w:rsidR="00C1698A">
        <w:t>il</w:t>
      </w:r>
      <w:r w:rsidRPr="00BB5DE9" w:rsidR="00C1698A">
        <w:rPr>
          <w:spacing w:val="-3"/>
        </w:rPr>
        <w:t xml:space="preserve"> </w:t>
      </w:r>
      <w:r w:rsidRPr="00BB5DE9" w:rsidR="00C1698A">
        <w:t>funzionamento</w:t>
      </w:r>
      <w:r w:rsidRPr="00BB5DE9" w:rsidR="00C1698A">
        <w:rPr>
          <w:spacing w:val="-3"/>
        </w:rPr>
        <w:t xml:space="preserve"> </w:t>
      </w:r>
      <w:r w:rsidRPr="00BB5DE9" w:rsidR="00C1698A">
        <w:t>del</w:t>
      </w:r>
      <w:r w:rsidRPr="00BB5DE9" w:rsidR="00C1698A">
        <w:rPr>
          <w:spacing w:val="-3"/>
        </w:rPr>
        <w:t xml:space="preserve"> </w:t>
      </w:r>
      <w:r w:rsidRPr="00BB5DE9" w:rsidR="00C1698A">
        <w:t>comitato</w:t>
      </w:r>
      <w:r w:rsidRPr="00BB5DE9" w:rsidR="00C1698A">
        <w:rPr>
          <w:spacing w:val="-3"/>
        </w:rPr>
        <w:t xml:space="preserve"> </w:t>
      </w:r>
      <w:r w:rsidRPr="00BB5DE9" w:rsidR="00C1698A">
        <w:t>di</w:t>
      </w:r>
      <w:r w:rsidRPr="00BB5DE9" w:rsidR="00C1698A">
        <w:rPr>
          <w:spacing w:val="-3"/>
        </w:rPr>
        <w:t xml:space="preserve"> </w:t>
      </w:r>
      <w:r w:rsidRPr="00BB5DE9" w:rsidR="00C1698A">
        <w:t>conciliazione</w:t>
      </w:r>
      <w:r w:rsidRPr="00BB5DE9" w:rsidR="00C1698A">
        <w:rPr>
          <w:spacing w:val="-3"/>
        </w:rPr>
        <w:t xml:space="preserve"> </w:t>
      </w:r>
      <w:r w:rsidRPr="00BB5DE9" w:rsidR="00C1698A">
        <w:t>sono</w:t>
      </w:r>
      <w:r w:rsidRPr="00BB5DE9" w:rsidR="00C1698A">
        <w:rPr>
          <w:spacing w:val="-3"/>
        </w:rPr>
        <w:t xml:space="preserve"> </w:t>
      </w:r>
      <w:r w:rsidRPr="00BB5DE9" w:rsidR="00C1698A">
        <w:t>riportate</w:t>
      </w:r>
      <w:r w:rsidRPr="00BB5DE9" w:rsidR="00C1698A">
        <w:rPr>
          <w:spacing w:val="-3"/>
        </w:rPr>
        <w:t xml:space="preserve"> </w:t>
      </w:r>
      <w:r w:rsidRPr="00BB5DE9" w:rsidR="00C1698A">
        <w:t>nella</w:t>
      </w:r>
      <w:r w:rsidRPr="00BB5DE9" w:rsidR="00C1698A">
        <w:rPr>
          <w:spacing w:val="-4"/>
        </w:rPr>
        <w:t xml:space="preserve"> </w:t>
      </w:r>
      <w:r w:rsidRPr="00BB5DE9" w:rsidR="00C1698A">
        <w:t>parte</w:t>
      </w:r>
      <w:r w:rsidRPr="00BB5DE9" w:rsidR="00C1698A">
        <w:rPr>
          <w:spacing w:val="-2"/>
        </w:rPr>
        <w:t xml:space="preserve"> </w:t>
      </w:r>
      <w:r w:rsidRPr="00BB5DE9" w:rsidR="00C1698A">
        <w:t>E dell'allegato del summenzionato accordo interistituzionale.</w:t>
      </w:r>
    </w:p>
    <w:p w:rsidR="00E514EF" w:rsidRPr="00BB5DE9" w:rsidP="00E514EF" w14:paraId="0EE8AAF7" w14:textId="77777777">
      <w:pPr>
        <w:sectPr w:rsidSect="00E514EF">
          <w:footnotePr>
            <w:numRestart w:val="eachSect"/>
          </w:footnotePr>
          <w:endnotePr>
            <w:numFmt w:val="decimal"/>
          </w:endnotePr>
          <w:pgSz w:w="11906" w:h="16838" w:code="9"/>
          <w:pgMar w:top="1134" w:right="1418" w:bottom="1134" w:left="1418" w:header="1134" w:footer="567" w:gutter="0"/>
          <w:cols w:space="720"/>
          <w:noEndnote/>
          <w:docGrid w:linePitch="326"/>
        </w:sectPr>
      </w:pPr>
    </w:p>
    <w:p w:rsidR="003B3824" w:rsidRPr="00BB5DE9" w:rsidP="003B3824" w14:paraId="71065EA5" w14:textId="2A350C30">
      <w:pPr>
        <w:pStyle w:val="PageHeading"/>
      </w:pPr>
      <w:bookmarkStart w:id="47" w:name="_Toc243036434"/>
      <w:r w:rsidRPr="00BB5DE9">
        <w:t>INFORMAZIONI SULL</w:t>
      </w:r>
      <w:r w:rsidRPr="00BB5DE9" w:rsidR="00727D88">
        <w:t>'</w:t>
      </w:r>
      <w:r w:rsidRPr="00BB5DE9">
        <w:t>APPROVAZIONE</w:t>
      </w:r>
      <w:r w:rsidRPr="00BB5DE9">
        <w:br/>
        <w:t>DA PARTE DELLA COMMISSIONE COMPETENTE PER IL MERITO</w:t>
      </w:r>
      <w:bookmarkEnd w:id="47"/>
    </w:p>
    <w:tbl>
      <w:tblPr>
        <w:tblW w:w="0" w:type="auto"/>
        <w:tblInd w:w="-10" w:type="dxa"/>
        <w:tblLayout w:type="fixed"/>
        <w:tblCellMar>
          <w:left w:w="0" w:type="dxa"/>
          <w:right w:w="0" w:type="dxa"/>
        </w:tblCellMar>
        <w:tblLook w:val="0000"/>
      </w:tblPr>
      <w:tblGrid>
        <w:gridCol w:w="3685"/>
        <w:gridCol w:w="1530"/>
        <w:gridCol w:w="1474"/>
        <w:gridCol w:w="1474"/>
        <w:gridCol w:w="1474"/>
      </w:tblGrid>
      <w:tr w14:paraId="6A3D03B2" w14:textId="77777777">
        <w:tblPrEx>
          <w:tblW w:w="0" w:type="auto"/>
          <w:tblInd w:w="-10" w:type="dxa"/>
          <w:tblLayout w:type="fixed"/>
          <w:tblCellMar>
            <w:left w:w="0" w:type="dxa"/>
            <w:right w:w="0" w:type="dxa"/>
          </w:tblCellMar>
          <w:tblLook w:val="0000"/>
        </w:tblPrEx>
        <w:tc>
          <w:tcPr>
            <w:tcW w:w="3685" w:type="dxa"/>
            <w:tcBorders>
              <w:top w:val="single" w:sz="8" w:space="0" w:color="000000"/>
              <w:left w:val="single" w:sz="8" w:space="0" w:color="000000"/>
              <w:bottom w:val="single" w:sz="8" w:space="0" w:color="000000"/>
              <w:right w:val="single" w:sz="8" w:space="0" w:color="000000"/>
            </w:tcBorders>
            <w:tcMar>
              <w:top w:w="79" w:type="dxa"/>
              <w:left w:w="79" w:type="dxa"/>
              <w:bottom w:w="79" w:type="dxa"/>
              <w:right w:w="79" w:type="dxa"/>
            </w:tcMar>
          </w:tcPr>
          <w:p w:rsidR="003B3824" w:rsidRPr="00BB5DE9" w14:paraId="1C69D92E" w14:textId="77777777">
            <w:pPr>
              <w:autoSpaceDE w:val="0"/>
              <w:autoSpaceDN w:val="0"/>
              <w:adjustRightInd w:val="0"/>
              <w:rPr>
                <w:b/>
                <w:bCs/>
                <w:color w:val="000000"/>
                <w:sz w:val="20"/>
              </w:rPr>
            </w:pPr>
            <w:r w:rsidRPr="00BB5DE9">
              <w:rPr>
                <w:b/>
                <w:bCs/>
                <w:color w:val="000000"/>
                <w:sz w:val="20"/>
              </w:rPr>
              <w:t>Approvazione</w:t>
            </w:r>
          </w:p>
        </w:tc>
        <w:tc>
          <w:tcPr>
            <w:tcW w:w="1530" w:type="dxa"/>
            <w:tcBorders>
              <w:top w:val="single" w:sz="8" w:space="0" w:color="000000"/>
              <w:left w:val="nil"/>
              <w:bottom w:val="single" w:sz="8" w:space="0" w:color="000000"/>
              <w:right w:val="nil"/>
            </w:tcBorders>
            <w:tcMar>
              <w:top w:w="79" w:type="dxa"/>
              <w:left w:w="79" w:type="dxa"/>
              <w:bottom w:w="79" w:type="dxa"/>
              <w:right w:w="79" w:type="dxa"/>
            </w:tcMar>
          </w:tcPr>
          <w:p w:rsidR="003B3824" w:rsidRPr="00BB5DE9" w14:paraId="23BD694B" w14:textId="77777777">
            <w:pPr>
              <w:autoSpaceDE w:val="0"/>
              <w:autoSpaceDN w:val="0"/>
              <w:adjustRightInd w:val="0"/>
              <w:rPr>
                <w:color w:val="000000"/>
                <w:sz w:val="20"/>
              </w:rPr>
            </w:pPr>
            <w:r w:rsidRPr="00BB5DE9">
              <w:rPr>
                <w:color w:val="000000"/>
                <w:sz w:val="20"/>
              </w:rPr>
              <w:t>12.10.2026</w:t>
            </w:r>
          </w:p>
        </w:tc>
        <w:tc>
          <w:tcPr>
            <w:tcW w:w="1474" w:type="dxa"/>
            <w:tcBorders>
              <w:top w:val="single" w:sz="8" w:space="0" w:color="000000"/>
              <w:left w:val="nil"/>
              <w:bottom w:val="single" w:sz="8" w:space="0" w:color="000000"/>
              <w:right w:val="nil"/>
            </w:tcBorders>
            <w:tcMar>
              <w:top w:w="79" w:type="dxa"/>
              <w:left w:w="79" w:type="dxa"/>
              <w:bottom w:w="79" w:type="dxa"/>
              <w:right w:w="79" w:type="dxa"/>
            </w:tcMar>
          </w:tcPr>
          <w:p w:rsidR="003B3824" w:rsidRPr="00BB5DE9" w14:paraId="347D22D6" w14:textId="77777777">
            <w:pPr>
              <w:autoSpaceDE w:val="0"/>
              <w:autoSpaceDN w:val="0"/>
              <w:adjustRightInd w:val="0"/>
              <w:rPr>
                <w:rFonts w:ascii="sans-serif" w:hAnsi="sans-serif" w:cs="sans-serif"/>
                <w:color w:val="000000"/>
              </w:rPr>
            </w:pPr>
          </w:p>
        </w:tc>
        <w:tc>
          <w:tcPr>
            <w:tcW w:w="1474" w:type="dxa"/>
            <w:tcBorders>
              <w:top w:val="single" w:sz="8" w:space="0" w:color="000000"/>
              <w:left w:val="nil"/>
              <w:bottom w:val="single" w:sz="8" w:space="0" w:color="000000"/>
              <w:right w:val="nil"/>
            </w:tcBorders>
            <w:tcMar>
              <w:top w:w="79" w:type="dxa"/>
              <w:left w:w="79" w:type="dxa"/>
              <w:bottom w:w="79" w:type="dxa"/>
              <w:right w:w="79" w:type="dxa"/>
            </w:tcMar>
          </w:tcPr>
          <w:p w:rsidR="003B3824" w:rsidRPr="00BB5DE9" w14:paraId="3FAE353F" w14:textId="77777777">
            <w:pPr>
              <w:autoSpaceDE w:val="0"/>
              <w:autoSpaceDN w:val="0"/>
              <w:adjustRightInd w:val="0"/>
              <w:rPr>
                <w:rFonts w:ascii="sans-serif" w:hAnsi="sans-serif" w:cs="sans-serif"/>
                <w:color w:val="000000"/>
              </w:rPr>
            </w:pPr>
          </w:p>
        </w:tc>
        <w:tc>
          <w:tcPr>
            <w:tcW w:w="1474" w:type="dxa"/>
            <w:tcBorders>
              <w:top w:val="single" w:sz="8" w:space="0" w:color="000000"/>
              <w:left w:val="nil"/>
              <w:bottom w:val="single" w:sz="8" w:space="0" w:color="000000"/>
              <w:right w:val="single" w:sz="8" w:space="0" w:color="000000"/>
            </w:tcBorders>
            <w:tcMar>
              <w:top w:w="79" w:type="dxa"/>
              <w:left w:w="79" w:type="dxa"/>
              <w:bottom w:w="79" w:type="dxa"/>
              <w:right w:w="79" w:type="dxa"/>
            </w:tcMar>
          </w:tcPr>
          <w:p w:rsidR="003B3824" w:rsidRPr="00BB5DE9" w14:paraId="193D92FF" w14:textId="77777777">
            <w:pPr>
              <w:autoSpaceDE w:val="0"/>
              <w:autoSpaceDN w:val="0"/>
              <w:adjustRightInd w:val="0"/>
              <w:rPr>
                <w:rFonts w:ascii="sans-serif" w:hAnsi="sans-serif" w:cs="sans-serif"/>
                <w:color w:val="000000"/>
              </w:rPr>
            </w:pPr>
          </w:p>
        </w:tc>
      </w:tr>
      <w:tr w14:paraId="58E8789D" w14:textId="77777777">
        <w:tblPrEx>
          <w:tblW w:w="0" w:type="auto"/>
          <w:tblInd w:w="-10" w:type="dxa"/>
          <w:tblLayout w:type="fixed"/>
          <w:tblCellMar>
            <w:left w:w="0" w:type="dxa"/>
            <w:right w:w="0" w:type="dxa"/>
          </w:tblCellMar>
          <w:tblLook w:val="0000"/>
        </w:tblPrEx>
        <w:tc>
          <w:tcPr>
            <w:tcW w:w="3685" w:type="dxa"/>
            <w:tcBorders>
              <w:top w:val="single" w:sz="8" w:space="0" w:color="000000"/>
              <w:left w:val="single" w:sz="8" w:space="0" w:color="000000"/>
              <w:bottom w:val="single" w:sz="8" w:space="0" w:color="000000"/>
              <w:right w:val="single" w:sz="8" w:space="0" w:color="000000"/>
            </w:tcBorders>
            <w:tcMar>
              <w:top w:w="79" w:type="dxa"/>
              <w:left w:w="79" w:type="dxa"/>
              <w:bottom w:w="79" w:type="dxa"/>
              <w:right w:w="79" w:type="dxa"/>
            </w:tcMar>
          </w:tcPr>
          <w:p w:rsidR="003B3824" w:rsidRPr="00BB5DE9" w14:paraId="41C3B34F" w14:textId="77777777">
            <w:pPr>
              <w:autoSpaceDE w:val="0"/>
              <w:autoSpaceDN w:val="0"/>
              <w:adjustRightInd w:val="0"/>
              <w:rPr>
                <w:b/>
                <w:bCs/>
                <w:color w:val="000000"/>
                <w:sz w:val="20"/>
              </w:rPr>
            </w:pPr>
            <w:r w:rsidRPr="00BB5DE9">
              <w:rPr>
                <w:b/>
                <w:bCs/>
                <w:color w:val="000000"/>
                <w:sz w:val="20"/>
              </w:rPr>
              <w:t>Esito della votazione finale</w:t>
            </w:r>
          </w:p>
        </w:tc>
        <w:tc>
          <w:tcPr>
            <w:tcW w:w="1530" w:type="dxa"/>
            <w:tcBorders>
              <w:top w:val="single" w:sz="8" w:space="0" w:color="000000"/>
              <w:left w:val="nil"/>
              <w:bottom w:val="single" w:sz="8" w:space="0" w:color="000000"/>
              <w:right w:val="nil"/>
            </w:tcBorders>
            <w:tcMar>
              <w:top w:w="79" w:type="dxa"/>
              <w:left w:w="79" w:type="dxa"/>
              <w:bottom w:w="79" w:type="dxa"/>
              <w:right w:w="79" w:type="dxa"/>
            </w:tcMar>
          </w:tcPr>
          <w:p w:rsidR="003B3824" w:rsidRPr="00BB5DE9" w14:paraId="0BC2A9E8" w14:textId="77777777">
            <w:pPr>
              <w:autoSpaceDE w:val="0"/>
              <w:autoSpaceDN w:val="0"/>
              <w:adjustRightInd w:val="0"/>
              <w:rPr>
                <w:color w:val="000000"/>
                <w:sz w:val="20"/>
              </w:rPr>
            </w:pPr>
            <w:r w:rsidRPr="00BB5DE9">
              <w:rPr>
                <w:color w:val="000000"/>
                <w:sz w:val="20"/>
              </w:rPr>
              <w:t>+:</w:t>
            </w:r>
          </w:p>
          <w:p w:rsidR="003B3824" w:rsidRPr="00BB5DE9" w14:paraId="45FCD258" w14:textId="77777777">
            <w:pPr>
              <w:autoSpaceDE w:val="0"/>
              <w:autoSpaceDN w:val="0"/>
              <w:adjustRightInd w:val="0"/>
              <w:rPr>
                <w:color w:val="000000"/>
                <w:sz w:val="20"/>
              </w:rPr>
            </w:pPr>
            <w:r w:rsidRPr="00BB5DE9">
              <w:rPr>
                <w:color w:val="000000"/>
                <w:sz w:val="20"/>
              </w:rPr>
              <w:t>–:</w:t>
            </w:r>
          </w:p>
          <w:p w:rsidR="003B3824" w:rsidRPr="00BB5DE9" w14:paraId="0F1E4221" w14:textId="77777777">
            <w:pPr>
              <w:autoSpaceDE w:val="0"/>
              <w:autoSpaceDN w:val="0"/>
              <w:adjustRightInd w:val="0"/>
              <w:rPr>
                <w:color w:val="000000"/>
                <w:sz w:val="20"/>
              </w:rPr>
            </w:pPr>
            <w:r w:rsidRPr="00BB5DE9">
              <w:rPr>
                <w:color w:val="000000"/>
                <w:sz w:val="20"/>
              </w:rPr>
              <w:t>0:</w:t>
            </w:r>
          </w:p>
        </w:tc>
        <w:tc>
          <w:tcPr>
            <w:tcW w:w="4422" w:type="dxa"/>
            <w:gridSpan w:val="3"/>
            <w:tcBorders>
              <w:top w:val="single" w:sz="8" w:space="0" w:color="000000"/>
              <w:left w:val="nil"/>
              <w:bottom w:val="single" w:sz="8" w:space="0" w:color="000000"/>
              <w:right w:val="single" w:sz="8" w:space="0" w:color="000000"/>
            </w:tcBorders>
            <w:tcMar>
              <w:top w:w="79" w:type="dxa"/>
              <w:left w:w="79" w:type="dxa"/>
              <w:bottom w:w="79" w:type="dxa"/>
              <w:right w:w="79" w:type="dxa"/>
            </w:tcMar>
          </w:tcPr>
          <w:p w:rsidR="003B3824" w:rsidRPr="00BB5DE9" w14:paraId="16DB9C65" w14:textId="77777777">
            <w:pPr>
              <w:autoSpaceDE w:val="0"/>
              <w:autoSpaceDN w:val="0"/>
              <w:adjustRightInd w:val="0"/>
              <w:rPr>
                <w:color w:val="000000"/>
                <w:sz w:val="20"/>
              </w:rPr>
            </w:pPr>
            <w:r w:rsidRPr="00BB5DE9">
              <w:rPr>
                <w:color w:val="000000"/>
                <w:sz w:val="20"/>
              </w:rPr>
              <w:t>24</w:t>
            </w:r>
          </w:p>
          <w:p w:rsidR="003B3824" w:rsidRPr="00BB5DE9" w14:paraId="020B8F35" w14:textId="77777777">
            <w:pPr>
              <w:autoSpaceDE w:val="0"/>
              <w:autoSpaceDN w:val="0"/>
              <w:adjustRightInd w:val="0"/>
              <w:rPr>
                <w:color w:val="000000"/>
                <w:sz w:val="20"/>
              </w:rPr>
            </w:pPr>
            <w:r w:rsidRPr="00BB5DE9">
              <w:rPr>
                <w:color w:val="000000"/>
                <w:sz w:val="20"/>
              </w:rPr>
              <w:t>8</w:t>
            </w:r>
          </w:p>
          <w:p w:rsidR="003B3824" w:rsidRPr="00BB5DE9" w14:paraId="1081A6CB" w14:textId="77777777">
            <w:pPr>
              <w:autoSpaceDE w:val="0"/>
              <w:autoSpaceDN w:val="0"/>
              <w:adjustRightInd w:val="0"/>
              <w:rPr>
                <w:color w:val="000000"/>
                <w:sz w:val="20"/>
              </w:rPr>
            </w:pPr>
            <w:r w:rsidRPr="00BB5DE9">
              <w:rPr>
                <w:color w:val="000000"/>
                <w:sz w:val="20"/>
              </w:rPr>
              <w:t>2</w:t>
            </w:r>
          </w:p>
        </w:tc>
      </w:tr>
    </w:tbl>
    <w:p w:rsidR="003B3824" w:rsidRPr="00BB5DE9" w:rsidP="00727D88" w14:paraId="6967F8B9" w14:textId="77777777"/>
    <w:bookmarkEnd w:id="45"/>
    <w:p w:rsidR="00727D88" w:rsidRPr="00BB5DE9" w:rsidP="003B3824" w14:paraId="298A22BD" w14:textId="77777777">
      <w:pPr>
        <w:sectPr w:rsidSect="00AE735B">
          <w:pgSz w:w="11894" w:h="15840"/>
          <w:pgMar w:top="1700" w:right="1417" w:bottom="1417" w:left="1417" w:header="720" w:footer="720" w:gutter="0"/>
          <w:cols w:space="720"/>
          <w:noEndnote/>
          <w:docGrid w:linePitch="326"/>
        </w:sectPr>
      </w:pPr>
    </w:p>
    <w:p w:rsidR="00727D88" w:rsidRPr="00BB5DE9" w:rsidP="008B71C9" w14:paraId="3F2C13B5" w14:textId="3E93C411">
      <w:pPr>
        <w:pStyle w:val="PageHeading"/>
      </w:pPr>
      <w:bookmarkStart w:id="48" w:name="RollCallPageRR"/>
      <w:bookmarkStart w:id="49" w:name="_Toc243036435"/>
      <w:r w:rsidRPr="00BB5DE9">
        <w:t>VOTAZIONE FINALE PER APPELLO NOMINALE</w:t>
      </w:r>
      <w:r w:rsidRPr="00BB5DE9">
        <w:br/>
        <w:t>DA PARTE DELLA COMMISSIONE COMPETENTE PER IL MERITO</w:t>
      </w:r>
      <w:bookmarkEnd w:id="49"/>
    </w:p>
    <w:tbl>
      <w:tblPr>
        <w:tblW w:w="9072" w:type="dxa"/>
        <w:tblInd w:w="145" w:type="dxa"/>
        <w:tblBorders>
          <w:top w:val="double" w:sz="2" w:space="0" w:color="000000"/>
          <w:left w:val="double" w:sz="2" w:space="0" w:color="000000"/>
          <w:bottom w:val="double" w:sz="2" w:space="0" w:color="000000"/>
          <w:right w:val="double" w:sz="2" w:space="0" w:color="000000"/>
          <w:insideH w:val="single" w:sz="2" w:space="0" w:color="000000"/>
          <w:insideV w:val="single" w:sz="2" w:space="0" w:color="000000"/>
        </w:tblBorders>
        <w:tblLayout w:type="fixed"/>
        <w:tblCellMar>
          <w:left w:w="145" w:type="dxa"/>
          <w:right w:w="145" w:type="dxa"/>
        </w:tblCellMar>
        <w:tblLook w:val="0000"/>
      </w:tblPr>
      <w:tblGrid>
        <w:gridCol w:w="1701"/>
        <w:gridCol w:w="7371"/>
      </w:tblGrid>
      <w:tr w14:paraId="1AEC79FC" w14:textId="77777777" w:rsidTr="001156E3">
        <w:tblPrEx>
          <w:tblW w:w="9072" w:type="dxa"/>
          <w:tblInd w:w="145" w:type="dxa"/>
          <w:tblBorders>
            <w:top w:val="double" w:sz="2" w:space="0" w:color="000000"/>
            <w:left w:val="double" w:sz="2" w:space="0" w:color="000000"/>
            <w:bottom w:val="double" w:sz="2" w:space="0" w:color="000000"/>
            <w:right w:val="double" w:sz="2" w:space="0" w:color="000000"/>
            <w:insideH w:val="single" w:sz="2" w:space="0" w:color="000000"/>
            <w:insideV w:val="single" w:sz="2" w:space="0" w:color="000000"/>
          </w:tblBorders>
          <w:tblLayout w:type="fixed"/>
          <w:tblCellMar>
            <w:left w:w="145" w:type="dxa"/>
            <w:right w:w="145" w:type="dxa"/>
          </w:tblCellMar>
          <w:tblLook w:val="0000"/>
        </w:tblPrEx>
        <w:trPr>
          <w:cantSplit/>
        </w:trPr>
        <w:tc>
          <w:tcPr>
            <w:tcW w:w="1701" w:type="dxa"/>
            <w:shd w:val="pct10" w:color="000000" w:fill="FFFFFF"/>
            <w:vAlign w:val="center"/>
          </w:tcPr>
          <w:p w:rsidR="00727D88" w:rsidRPr="00BB5DE9" w:rsidP="001156E3" w14:paraId="6AE8E64F" w14:textId="77777777">
            <w:pPr>
              <w:pStyle w:val="RollCallVotes"/>
              <w:rPr>
                <w:lang w:val="it-IT"/>
              </w:rPr>
            </w:pPr>
            <w:r w:rsidRPr="00BB5DE9">
              <w:rPr>
                <w:lang w:val="it-IT"/>
              </w:rPr>
              <w:t>24</w:t>
            </w:r>
          </w:p>
        </w:tc>
        <w:tc>
          <w:tcPr>
            <w:tcW w:w="7371" w:type="dxa"/>
            <w:shd w:val="pct10" w:color="000000" w:fill="FFFFFF"/>
          </w:tcPr>
          <w:p w:rsidR="00727D88" w:rsidRPr="00BB5DE9" w:rsidP="001156E3" w14:paraId="03D84570" w14:textId="77777777">
            <w:pPr>
              <w:pStyle w:val="RollCallSymbols14pt"/>
              <w:rPr>
                <w:lang w:val="it-IT"/>
              </w:rPr>
            </w:pPr>
            <w:r w:rsidRPr="00BB5DE9">
              <w:rPr>
                <w:lang w:val="it-IT"/>
              </w:rPr>
              <w:t>+</w:t>
            </w:r>
          </w:p>
        </w:tc>
      </w:tr>
      <w:tr w14:paraId="30629997" w14:textId="77777777" w:rsidTr="001156E3">
        <w:tblPrEx>
          <w:tblW w:w="9072" w:type="dxa"/>
          <w:tblInd w:w="145" w:type="dxa"/>
          <w:tblLayout w:type="fixed"/>
          <w:tblCellMar>
            <w:left w:w="145" w:type="dxa"/>
            <w:right w:w="145" w:type="dxa"/>
          </w:tblCellMar>
          <w:tblLook w:val="0000"/>
        </w:tblPrEx>
        <w:trPr>
          <w:cantSplit/>
        </w:trPr>
        <w:tc>
          <w:tcPr>
            <w:tcW w:w="1701" w:type="dxa"/>
            <w:shd w:val="clear" w:color="auto" w:fill="FFFFFF"/>
          </w:tcPr>
          <w:p w:rsidR="00727D88" w:rsidRPr="00BB5DE9" w:rsidP="001156E3" w14:paraId="7D107709" w14:textId="77777777">
            <w:pPr>
              <w:pStyle w:val="RollCallTable"/>
              <w:rPr>
                <w:lang w:val="it-IT"/>
              </w:rPr>
            </w:pPr>
            <w:r w:rsidRPr="00BB5DE9">
              <w:rPr>
                <w:lang w:val="it-IT"/>
              </w:rPr>
              <w:t>PPE</w:t>
            </w:r>
          </w:p>
        </w:tc>
        <w:tc>
          <w:tcPr>
            <w:tcW w:w="7371" w:type="dxa"/>
            <w:shd w:val="clear" w:color="auto" w:fill="FFFFFF"/>
          </w:tcPr>
          <w:p w:rsidR="00727D88" w:rsidRPr="00BB5DE9" w:rsidP="001156E3" w14:paraId="7BB380D6" w14:textId="77777777">
            <w:pPr>
              <w:pStyle w:val="RollCallTable"/>
              <w:rPr>
                <w:lang w:val="it-IT"/>
              </w:rPr>
            </w:pPr>
            <w:r w:rsidRPr="00BB5DE9">
              <w:rPr>
                <w:lang w:val="it-IT"/>
              </w:rPr>
              <w:t>Georgios Aftias, Pascal Arimont, Fredis Beleris, Isabel Benjumea Benjumea, Céline Imart, Isabelle Le Callennec, Janusz Lewandowski, Hélder Sousa Silva, Javier Zarzalejos, Milan Zver</w:t>
            </w:r>
          </w:p>
        </w:tc>
      </w:tr>
      <w:tr w14:paraId="2B4383E7" w14:textId="77777777" w:rsidTr="001156E3">
        <w:tblPrEx>
          <w:tblW w:w="9072" w:type="dxa"/>
          <w:tblInd w:w="145" w:type="dxa"/>
          <w:tblLayout w:type="fixed"/>
          <w:tblCellMar>
            <w:left w:w="145" w:type="dxa"/>
            <w:right w:w="145" w:type="dxa"/>
          </w:tblCellMar>
          <w:tblLook w:val="0000"/>
        </w:tblPrEx>
        <w:trPr>
          <w:cantSplit/>
        </w:trPr>
        <w:tc>
          <w:tcPr>
            <w:tcW w:w="1701" w:type="dxa"/>
            <w:shd w:val="clear" w:color="auto" w:fill="FFFFFF"/>
          </w:tcPr>
          <w:p w:rsidR="00727D88" w:rsidRPr="00BB5DE9" w:rsidP="001156E3" w14:paraId="51AAF578" w14:textId="77777777">
            <w:pPr>
              <w:pStyle w:val="RollCallTable"/>
              <w:rPr>
                <w:lang w:val="it-IT"/>
              </w:rPr>
            </w:pPr>
            <w:r w:rsidRPr="00BB5DE9">
              <w:rPr>
                <w:lang w:val="it-IT"/>
              </w:rPr>
              <w:t>Renew</w:t>
            </w:r>
          </w:p>
        </w:tc>
        <w:tc>
          <w:tcPr>
            <w:tcW w:w="7371" w:type="dxa"/>
            <w:shd w:val="clear" w:color="auto" w:fill="FFFFFF"/>
          </w:tcPr>
          <w:p w:rsidR="00727D88" w:rsidRPr="00BB5DE9" w:rsidP="001156E3" w14:paraId="2697DE9A" w14:textId="77777777">
            <w:pPr>
              <w:pStyle w:val="RollCallTable"/>
              <w:rPr>
                <w:lang w:val="it-IT"/>
              </w:rPr>
            </w:pPr>
            <w:r w:rsidRPr="00BB5DE9">
              <w:rPr>
                <w:lang w:val="it-IT"/>
              </w:rPr>
              <w:t>Fabienne Keller, Moritz Körner, Lucia Yar</w:t>
            </w:r>
          </w:p>
        </w:tc>
      </w:tr>
      <w:tr w14:paraId="796CBB89" w14:textId="77777777" w:rsidTr="001156E3">
        <w:tblPrEx>
          <w:tblW w:w="9072" w:type="dxa"/>
          <w:tblInd w:w="145" w:type="dxa"/>
          <w:tblLayout w:type="fixed"/>
          <w:tblCellMar>
            <w:left w:w="145" w:type="dxa"/>
            <w:right w:w="145" w:type="dxa"/>
          </w:tblCellMar>
          <w:tblLook w:val="0000"/>
        </w:tblPrEx>
        <w:trPr>
          <w:cantSplit/>
        </w:trPr>
        <w:tc>
          <w:tcPr>
            <w:tcW w:w="1701" w:type="dxa"/>
            <w:shd w:val="clear" w:color="auto" w:fill="FFFFFF"/>
          </w:tcPr>
          <w:p w:rsidR="00727D88" w:rsidRPr="00BB5DE9" w:rsidP="001156E3" w14:paraId="5827F31B" w14:textId="77777777">
            <w:pPr>
              <w:pStyle w:val="RollCallTable"/>
              <w:rPr>
                <w:lang w:val="it-IT"/>
              </w:rPr>
            </w:pPr>
            <w:r w:rsidRPr="00BB5DE9">
              <w:rPr>
                <w:lang w:val="it-IT"/>
              </w:rPr>
              <w:t>S&amp;D</w:t>
            </w:r>
          </w:p>
        </w:tc>
        <w:tc>
          <w:tcPr>
            <w:tcW w:w="7371" w:type="dxa"/>
            <w:shd w:val="clear" w:color="auto" w:fill="FFFFFF"/>
          </w:tcPr>
          <w:p w:rsidR="00727D88" w:rsidRPr="00BB5DE9" w:rsidP="001156E3" w14:paraId="0FA649DF" w14:textId="77777777">
            <w:pPr>
              <w:pStyle w:val="RollCallTable"/>
              <w:rPr>
                <w:lang w:val="it-IT"/>
              </w:rPr>
            </w:pPr>
            <w:r w:rsidRPr="00BB5DE9">
              <w:rPr>
                <w:lang w:val="it-IT"/>
              </w:rPr>
              <w:t>Matthias Ecke, Jean-Marc Germain, Giuseppe Lupo, Victor Negrescu, Thomas Pellerin-Carlin, Chloé Ridel, Carla Tavares, Nils Ušakovs</w:t>
            </w:r>
          </w:p>
        </w:tc>
      </w:tr>
      <w:tr w14:paraId="53C08600" w14:textId="77777777" w:rsidTr="001156E3">
        <w:tblPrEx>
          <w:tblW w:w="9072" w:type="dxa"/>
          <w:tblInd w:w="145" w:type="dxa"/>
          <w:tblLayout w:type="fixed"/>
          <w:tblCellMar>
            <w:left w:w="145" w:type="dxa"/>
            <w:right w:w="145" w:type="dxa"/>
          </w:tblCellMar>
          <w:tblLook w:val="0000"/>
        </w:tblPrEx>
        <w:trPr>
          <w:cantSplit/>
        </w:trPr>
        <w:tc>
          <w:tcPr>
            <w:tcW w:w="1701" w:type="dxa"/>
            <w:shd w:val="clear" w:color="auto" w:fill="FFFFFF"/>
          </w:tcPr>
          <w:p w:rsidR="00727D88" w:rsidRPr="00BB5DE9" w:rsidP="001156E3" w14:paraId="5B637A91" w14:textId="77777777">
            <w:pPr>
              <w:pStyle w:val="RollCallTable"/>
              <w:rPr>
                <w:lang w:val="it-IT"/>
              </w:rPr>
            </w:pPr>
            <w:r w:rsidRPr="00BB5DE9">
              <w:rPr>
                <w:lang w:val="it-IT"/>
              </w:rPr>
              <w:t>Verts/ALE</w:t>
            </w:r>
          </w:p>
        </w:tc>
        <w:tc>
          <w:tcPr>
            <w:tcW w:w="7371" w:type="dxa"/>
            <w:shd w:val="clear" w:color="auto" w:fill="FFFFFF"/>
          </w:tcPr>
          <w:p w:rsidR="00727D88" w:rsidRPr="00BB5DE9" w:rsidP="001156E3" w14:paraId="1261FA00" w14:textId="77777777">
            <w:pPr>
              <w:pStyle w:val="RollCallTable"/>
              <w:rPr>
                <w:lang w:val="it-IT"/>
              </w:rPr>
            </w:pPr>
            <w:r w:rsidRPr="00BB5DE9">
              <w:rPr>
                <w:lang w:val="it-IT"/>
              </w:rPr>
              <w:t>Rasmus Andresen, Rasmus Nordqvist, Nicolae Ștefănuță</w:t>
            </w:r>
          </w:p>
        </w:tc>
      </w:tr>
    </w:tbl>
    <w:p w:rsidR="00727D88" w:rsidRPr="00BB5DE9" w:rsidP="00727D88" w14:paraId="1BE18A17" w14:textId="77777777"/>
    <w:tbl>
      <w:tblPr>
        <w:tblW w:w="0" w:type="auto"/>
        <w:tblInd w:w="145" w:type="dxa"/>
        <w:tblBorders>
          <w:top w:val="double" w:sz="2" w:space="0" w:color="000000"/>
          <w:left w:val="double" w:sz="2" w:space="0" w:color="000000"/>
          <w:bottom w:val="double" w:sz="2" w:space="0" w:color="000000"/>
          <w:right w:val="double" w:sz="2" w:space="0" w:color="000000"/>
          <w:insideH w:val="single" w:sz="2" w:space="0" w:color="000000"/>
          <w:insideV w:val="single" w:sz="2" w:space="0" w:color="000000"/>
        </w:tblBorders>
        <w:tblLayout w:type="fixed"/>
        <w:tblCellMar>
          <w:left w:w="145" w:type="dxa"/>
          <w:right w:w="145" w:type="dxa"/>
        </w:tblCellMar>
        <w:tblLook w:val="0000"/>
      </w:tblPr>
      <w:tblGrid>
        <w:gridCol w:w="1701"/>
        <w:gridCol w:w="7371"/>
      </w:tblGrid>
      <w:tr w14:paraId="00DB40E3" w14:textId="77777777" w:rsidTr="001156E3">
        <w:tblPrEx>
          <w:tblW w:w="0" w:type="auto"/>
          <w:tblInd w:w="145" w:type="dxa"/>
          <w:tblBorders>
            <w:top w:val="double" w:sz="2" w:space="0" w:color="000000"/>
            <w:left w:val="double" w:sz="2" w:space="0" w:color="000000"/>
            <w:bottom w:val="double" w:sz="2" w:space="0" w:color="000000"/>
            <w:right w:val="double" w:sz="2" w:space="0" w:color="000000"/>
            <w:insideH w:val="single" w:sz="2" w:space="0" w:color="000000"/>
            <w:insideV w:val="single" w:sz="2" w:space="0" w:color="000000"/>
          </w:tblBorders>
          <w:tblLayout w:type="fixed"/>
          <w:tblCellMar>
            <w:left w:w="145" w:type="dxa"/>
            <w:right w:w="145" w:type="dxa"/>
          </w:tblCellMar>
          <w:tblLook w:val="0000"/>
        </w:tblPrEx>
        <w:trPr>
          <w:cantSplit/>
        </w:trPr>
        <w:tc>
          <w:tcPr>
            <w:tcW w:w="1701" w:type="dxa"/>
            <w:shd w:val="pct10" w:color="000000" w:fill="FFFFFF"/>
            <w:vAlign w:val="center"/>
          </w:tcPr>
          <w:p w:rsidR="00727D88" w:rsidRPr="00BB5DE9" w:rsidP="001156E3" w14:paraId="367B50E6" w14:textId="77777777">
            <w:pPr>
              <w:pStyle w:val="RollCallVotes"/>
              <w:rPr>
                <w:lang w:val="it-IT"/>
              </w:rPr>
            </w:pPr>
            <w:r w:rsidRPr="00BB5DE9">
              <w:rPr>
                <w:lang w:val="it-IT"/>
              </w:rPr>
              <w:t>8</w:t>
            </w:r>
          </w:p>
        </w:tc>
        <w:tc>
          <w:tcPr>
            <w:tcW w:w="7371" w:type="dxa"/>
            <w:shd w:val="pct10" w:color="000000" w:fill="FFFFFF"/>
          </w:tcPr>
          <w:p w:rsidR="00727D88" w:rsidRPr="00BB5DE9" w:rsidP="001156E3" w14:paraId="33DB5867" w14:textId="77777777">
            <w:pPr>
              <w:pStyle w:val="RollCallSymbols14pt"/>
              <w:rPr>
                <w:lang w:val="it-IT"/>
              </w:rPr>
            </w:pPr>
            <w:r w:rsidRPr="00BB5DE9">
              <w:rPr>
                <w:lang w:val="it-IT"/>
              </w:rPr>
              <w:t>-</w:t>
            </w:r>
          </w:p>
        </w:tc>
      </w:tr>
      <w:tr w14:paraId="76598C69" w14:textId="77777777" w:rsidTr="001156E3">
        <w:tblPrEx>
          <w:tblW w:w="0" w:type="auto"/>
          <w:tblInd w:w="145" w:type="dxa"/>
          <w:tblLayout w:type="fixed"/>
          <w:tblCellMar>
            <w:left w:w="145" w:type="dxa"/>
            <w:right w:w="145" w:type="dxa"/>
          </w:tblCellMar>
          <w:tblLook w:val="0000"/>
        </w:tblPrEx>
        <w:trPr>
          <w:cantSplit/>
        </w:trPr>
        <w:tc>
          <w:tcPr>
            <w:tcW w:w="1701" w:type="dxa"/>
            <w:shd w:val="clear" w:color="auto" w:fill="FFFFFF"/>
          </w:tcPr>
          <w:p w:rsidR="00727D88" w:rsidRPr="00BB5DE9" w:rsidP="001156E3" w14:paraId="7654F34B" w14:textId="77777777">
            <w:pPr>
              <w:pStyle w:val="RollCallTable"/>
              <w:rPr>
                <w:lang w:val="it-IT"/>
              </w:rPr>
            </w:pPr>
            <w:r w:rsidRPr="00BB5DE9">
              <w:rPr>
                <w:lang w:val="it-IT"/>
              </w:rPr>
              <w:t>ECR</w:t>
            </w:r>
          </w:p>
        </w:tc>
        <w:tc>
          <w:tcPr>
            <w:tcW w:w="7371" w:type="dxa"/>
            <w:shd w:val="clear" w:color="auto" w:fill="FFFFFF"/>
          </w:tcPr>
          <w:p w:rsidR="00727D88" w:rsidRPr="00BB5DE9" w:rsidP="001156E3" w14:paraId="3406723E" w14:textId="77777777">
            <w:pPr>
              <w:pStyle w:val="RollCallTable"/>
              <w:rPr>
                <w:lang w:val="it-IT"/>
              </w:rPr>
            </w:pPr>
            <w:r w:rsidRPr="00BB5DE9">
              <w:rPr>
                <w:lang w:val="it-IT"/>
              </w:rPr>
              <w:t>Tobiasz Bocheński</w:t>
            </w:r>
          </w:p>
        </w:tc>
      </w:tr>
      <w:tr w14:paraId="7A0C8624" w14:textId="77777777" w:rsidTr="001156E3">
        <w:tblPrEx>
          <w:tblW w:w="0" w:type="auto"/>
          <w:tblInd w:w="145" w:type="dxa"/>
          <w:tblLayout w:type="fixed"/>
          <w:tblCellMar>
            <w:left w:w="145" w:type="dxa"/>
            <w:right w:w="145" w:type="dxa"/>
          </w:tblCellMar>
          <w:tblLook w:val="0000"/>
        </w:tblPrEx>
        <w:trPr>
          <w:cantSplit/>
        </w:trPr>
        <w:tc>
          <w:tcPr>
            <w:tcW w:w="1701" w:type="dxa"/>
            <w:shd w:val="clear" w:color="auto" w:fill="FFFFFF"/>
          </w:tcPr>
          <w:p w:rsidR="00727D88" w:rsidRPr="00BB5DE9" w:rsidP="001156E3" w14:paraId="646C9AD1" w14:textId="77777777">
            <w:pPr>
              <w:pStyle w:val="RollCallTable"/>
              <w:rPr>
                <w:lang w:val="it-IT"/>
              </w:rPr>
            </w:pPr>
            <w:r w:rsidRPr="00BB5DE9">
              <w:rPr>
                <w:lang w:val="it-IT"/>
              </w:rPr>
              <w:t>ESN</w:t>
            </w:r>
          </w:p>
        </w:tc>
        <w:tc>
          <w:tcPr>
            <w:tcW w:w="7371" w:type="dxa"/>
            <w:shd w:val="clear" w:color="auto" w:fill="FFFFFF"/>
          </w:tcPr>
          <w:p w:rsidR="00727D88" w:rsidRPr="00BB5DE9" w:rsidP="001156E3" w14:paraId="357C3BBD" w14:textId="77777777">
            <w:pPr>
              <w:pStyle w:val="RollCallTable"/>
              <w:rPr>
                <w:lang w:val="it-IT"/>
              </w:rPr>
            </w:pPr>
            <w:r w:rsidRPr="00BB5DE9">
              <w:rPr>
                <w:lang w:val="it-IT"/>
              </w:rPr>
              <w:t>Tomasz Froelich</w:t>
            </w:r>
          </w:p>
        </w:tc>
      </w:tr>
      <w:tr w14:paraId="1075DB30" w14:textId="77777777" w:rsidTr="001156E3">
        <w:tblPrEx>
          <w:tblW w:w="0" w:type="auto"/>
          <w:tblInd w:w="145" w:type="dxa"/>
          <w:tblLayout w:type="fixed"/>
          <w:tblCellMar>
            <w:left w:w="145" w:type="dxa"/>
            <w:right w:w="145" w:type="dxa"/>
          </w:tblCellMar>
          <w:tblLook w:val="0000"/>
        </w:tblPrEx>
        <w:trPr>
          <w:cantSplit/>
        </w:trPr>
        <w:tc>
          <w:tcPr>
            <w:tcW w:w="1701" w:type="dxa"/>
            <w:shd w:val="clear" w:color="auto" w:fill="FFFFFF"/>
          </w:tcPr>
          <w:p w:rsidR="00727D88" w:rsidRPr="00BB5DE9" w:rsidP="001156E3" w14:paraId="4D831407" w14:textId="77777777">
            <w:pPr>
              <w:pStyle w:val="RollCallTable"/>
              <w:rPr>
                <w:lang w:val="it-IT"/>
              </w:rPr>
            </w:pPr>
            <w:r w:rsidRPr="00BB5DE9">
              <w:rPr>
                <w:lang w:val="it-IT"/>
              </w:rPr>
              <w:t>NI</w:t>
            </w:r>
          </w:p>
        </w:tc>
        <w:tc>
          <w:tcPr>
            <w:tcW w:w="7371" w:type="dxa"/>
            <w:shd w:val="clear" w:color="auto" w:fill="FFFFFF"/>
          </w:tcPr>
          <w:p w:rsidR="00727D88" w:rsidRPr="00BB5DE9" w:rsidP="001156E3" w14:paraId="38A4419C" w14:textId="77777777">
            <w:pPr>
              <w:pStyle w:val="RollCallTable"/>
              <w:rPr>
                <w:lang w:val="it-IT"/>
              </w:rPr>
            </w:pPr>
            <w:r w:rsidRPr="00BB5DE9">
              <w:rPr>
                <w:lang w:val="it-IT"/>
              </w:rPr>
              <w:t>Thomas Geisel</w:t>
            </w:r>
          </w:p>
        </w:tc>
      </w:tr>
      <w:tr w14:paraId="1F6D2319" w14:textId="77777777" w:rsidTr="001156E3">
        <w:tblPrEx>
          <w:tblW w:w="0" w:type="auto"/>
          <w:tblInd w:w="145" w:type="dxa"/>
          <w:tblLayout w:type="fixed"/>
          <w:tblCellMar>
            <w:left w:w="145" w:type="dxa"/>
            <w:right w:w="145" w:type="dxa"/>
          </w:tblCellMar>
          <w:tblLook w:val="0000"/>
        </w:tblPrEx>
        <w:trPr>
          <w:cantSplit/>
        </w:trPr>
        <w:tc>
          <w:tcPr>
            <w:tcW w:w="1701" w:type="dxa"/>
            <w:shd w:val="clear" w:color="auto" w:fill="FFFFFF"/>
          </w:tcPr>
          <w:p w:rsidR="00727D88" w:rsidRPr="00BB5DE9" w:rsidP="001156E3" w14:paraId="146667ED" w14:textId="77777777">
            <w:pPr>
              <w:pStyle w:val="RollCallTable"/>
              <w:rPr>
                <w:lang w:val="it-IT"/>
              </w:rPr>
            </w:pPr>
            <w:r w:rsidRPr="00BB5DE9">
              <w:rPr>
                <w:lang w:val="it-IT"/>
              </w:rPr>
              <w:t>PfE</w:t>
            </w:r>
          </w:p>
        </w:tc>
        <w:tc>
          <w:tcPr>
            <w:tcW w:w="7371" w:type="dxa"/>
            <w:shd w:val="clear" w:color="auto" w:fill="FFFFFF"/>
          </w:tcPr>
          <w:p w:rsidR="00727D88" w:rsidRPr="00BB5DE9" w:rsidP="001156E3" w14:paraId="37ADBE5F" w14:textId="77777777">
            <w:pPr>
              <w:pStyle w:val="RollCallTable"/>
              <w:rPr>
                <w:lang w:val="it-IT"/>
              </w:rPr>
            </w:pPr>
            <w:r w:rsidRPr="00BB5DE9">
              <w:rPr>
                <w:lang w:val="it-IT"/>
              </w:rPr>
              <w:t>Angéline Furet, Virginie Joron, André Rougé, Julien Sanchez</w:t>
            </w:r>
          </w:p>
        </w:tc>
      </w:tr>
      <w:tr w14:paraId="70774B9B" w14:textId="77777777" w:rsidTr="001156E3">
        <w:tblPrEx>
          <w:tblW w:w="0" w:type="auto"/>
          <w:tblInd w:w="145" w:type="dxa"/>
          <w:tblLayout w:type="fixed"/>
          <w:tblCellMar>
            <w:left w:w="145" w:type="dxa"/>
            <w:right w:w="145" w:type="dxa"/>
          </w:tblCellMar>
          <w:tblLook w:val="0000"/>
        </w:tblPrEx>
        <w:trPr>
          <w:cantSplit/>
        </w:trPr>
        <w:tc>
          <w:tcPr>
            <w:tcW w:w="1701" w:type="dxa"/>
            <w:shd w:val="clear" w:color="auto" w:fill="FFFFFF"/>
          </w:tcPr>
          <w:p w:rsidR="00727D88" w:rsidRPr="00BB5DE9" w:rsidP="001156E3" w14:paraId="38E82EBB" w14:textId="77777777">
            <w:pPr>
              <w:pStyle w:val="RollCallTable"/>
              <w:rPr>
                <w:lang w:val="it-IT"/>
              </w:rPr>
            </w:pPr>
            <w:r w:rsidRPr="00BB5DE9">
              <w:rPr>
                <w:lang w:val="it-IT"/>
              </w:rPr>
              <w:t>The Left</w:t>
            </w:r>
          </w:p>
        </w:tc>
        <w:tc>
          <w:tcPr>
            <w:tcW w:w="7371" w:type="dxa"/>
            <w:shd w:val="clear" w:color="auto" w:fill="FFFFFF"/>
          </w:tcPr>
          <w:p w:rsidR="00727D88" w:rsidRPr="00BB5DE9" w:rsidP="001156E3" w14:paraId="3E557BB3" w14:textId="77777777">
            <w:pPr>
              <w:pStyle w:val="RollCallTable"/>
              <w:rPr>
                <w:lang w:val="it-IT"/>
              </w:rPr>
            </w:pPr>
            <w:r w:rsidRPr="00BB5DE9">
              <w:rPr>
                <w:lang w:val="it-IT"/>
              </w:rPr>
              <w:t>João Oliveira</w:t>
            </w:r>
          </w:p>
        </w:tc>
      </w:tr>
    </w:tbl>
    <w:p w:rsidR="00727D88" w:rsidRPr="00BB5DE9" w:rsidP="00727D88" w14:paraId="2B9C6163" w14:textId="77777777"/>
    <w:tbl>
      <w:tblPr>
        <w:tblW w:w="9072" w:type="dxa"/>
        <w:tblInd w:w="145" w:type="dxa"/>
        <w:tblBorders>
          <w:top w:val="double" w:sz="2" w:space="0" w:color="000000"/>
          <w:left w:val="double" w:sz="2" w:space="0" w:color="000000"/>
          <w:bottom w:val="double" w:sz="2" w:space="0" w:color="000000"/>
          <w:right w:val="double" w:sz="2" w:space="0" w:color="000000"/>
          <w:insideH w:val="single" w:sz="2" w:space="0" w:color="000000"/>
          <w:insideV w:val="single" w:sz="2" w:space="0" w:color="000000"/>
        </w:tblBorders>
        <w:tblLayout w:type="fixed"/>
        <w:tblCellMar>
          <w:left w:w="145" w:type="dxa"/>
          <w:right w:w="145" w:type="dxa"/>
        </w:tblCellMar>
        <w:tblLook w:val="0000"/>
      </w:tblPr>
      <w:tblGrid>
        <w:gridCol w:w="1701"/>
        <w:gridCol w:w="7371"/>
      </w:tblGrid>
      <w:tr w14:paraId="026C7BC3" w14:textId="77777777" w:rsidTr="001156E3">
        <w:tblPrEx>
          <w:tblW w:w="9072" w:type="dxa"/>
          <w:tblInd w:w="145" w:type="dxa"/>
          <w:tblBorders>
            <w:top w:val="double" w:sz="2" w:space="0" w:color="000000"/>
            <w:left w:val="double" w:sz="2" w:space="0" w:color="000000"/>
            <w:bottom w:val="double" w:sz="2" w:space="0" w:color="000000"/>
            <w:right w:val="double" w:sz="2" w:space="0" w:color="000000"/>
            <w:insideH w:val="single" w:sz="2" w:space="0" w:color="000000"/>
            <w:insideV w:val="single" w:sz="2" w:space="0" w:color="000000"/>
          </w:tblBorders>
          <w:tblLayout w:type="fixed"/>
          <w:tblCellMar>
            <w:left w:w="145" w:type="dxa"/>
            <w:right w:w="145" w:type="dxa"/>
          </w:tblCellMar>
          <w:tblLook w:val="0000"/>
        </w:tblPrEx>
        <w:trPr>
          <w:cantSplit/>
        </w:trPr>
        <w:tc>
          <w:tcPr>
            <w:tcW w:w="1701" w:type="dxa"/>
            <w:shd w:val="pct10" w:color="000000" w:fill="FFFFFF"/>
            <w:vAlign w:val="center"/>
          </w:tcPr>
          <w:p w:rsidR="00727D88" w:rsidRPr="00BB5DE9" w:rsidP="001156E3" w14:paraId="2950D1FB" w14:textId="77777777">
            <w:pPr>
              <w:pStyle w:val="RollCallVotes"/>
              <w:rPr>
                <w:lang w:val="it-IT"/>
              </w:rPr>
            </w:pPr>
            <w:r w:rsidRPr="00BB5DE9">
              <w:rPr>
                <w:lang w:val="it-IT"/>
              </w:rPr>
              <w:t>2</w:t>
            </w:r>
          </w:p>
        </w:tc>
        <w:tc>
          <w:tcPr>
            <w:tcW w:w="7371" w:type="dxa"/>
            <w:shd w:val="pct10" w:color="000000" w:fill="FFFFFF"/>
          </w:tcPr>
          <w:p w:rsidR="00727D88" w:rsidRPr="00BB5DE9" w:rsidP="001156E3" w14:paraId="1C945ACF" w14:textId="77777777">
            <w:pPr>
              <w:pStyle w:val="RollCallSymbols14pt"/>
              <w:rPr>
                <w:lang w:val="it-IT"/>
              </w:rPr>
            </w:pPr>
            <w:r w:rsidRPr="00BB5DE9">
              <w:rPr>
                <w:lang w:val="it-IT"/>
              </w:rPr>
              <w:t>0</w:t>
            </w:r>
          </w:p>
        </w:tc>
      </w:tr>
      <w:tr w14:paraId="0E30FE37" w14:textId="77777777" w:rsidTr="001156E3">
        <w:tblPrEx>
          <w:tblW w:w="9072" w:type="dxa"/>
          <w:tblInd w:w="145" w:type="dxa"/>
          <w:tblLayout w:type="fixed"/>
          <w:tblCellMar>
            <w:left w:w="145" w:type="dxa"/>
            <w:right w:w="145" w:type="dxa"/>
          </w:tblCellMar>
          <w:tblLook w:val="0000"/>
        </w:tblPrEx>
        <w:trPr>
          <w:cantSplit/>
        </w:trPr>
        <w:tc>
          <w:tcPr>
            <w:tcW w:w="1701" w:type="dxa"/>
            <w:shd w:val="clear" w:color="auto" w:fill="FFFFFF"/>
          </w:tcPr>
          <w:p w:rsidR="00727D88" w:rsidRPr="00BB5DE9" w:rsidP="001156E3" w14:paraId="16D4A309" w14:textId="77777777">
            <w:pPr>
              <w:pStyle w:val="RollCallTable"/>
              <w:rPr>
                <w:lang w:val="it-IT"/>
              </w:rPr>
            </w:pPr>
            <w:r w:rsidRPr="00BB5DE9">
              <w:rPr>
                <w:lang w:val="it-IT"/>
              </w:rPr>
              <w:t>PfE</w:t>
            </w:r>
          </w:p>
        </w:tc>
        <w:tc>
          <w:tcPr>
            <w:tcW w:w="7371" w:type="dxa"/>
            <w:shd w:val="clear" w:color="auto" w:fill="FFFFFF"/>
          </w:tcPr>
          <w:p w:rsidR="00727D88" w:rsidRPr="00BB5DE9" w:rsidP="001156E3" w14:paraId="767F56C7" w14:textId="77777777">
            <w:pPr>
              <w:pStyle w:val="RollCallTable"/>
              <w:rPr>
                <w:lang w:val="it-IT"/>
              </w:rPr>
            </w:pPr>
            <w:r w:rsidRPr="00BB5DE9">
              <w:rPr>
                <w:lang w:val="it-IT"/>
              </w:rPr>
              <w:t>Tamás Deutsch, Annamária Vicsek</w:t>
            </w:r>
          </w:p>
        </w:tc>
      </w:tr>
    </w:tbl>
    <w:p w:rsidR="00727D88" w:rsidRPr="00BB5DE9" w:rsidP="00147FBF" w14:paraId="2D1DABC5" w14:textId="77777777">
      <w:pPr>
        <w:pStyle w:val="Normal12a"/>
        <w:rPr>
          <w:lang w:val="it-IT"/>
        </w:rPr>
      </w:pPr>
    </w:p>
    <w:p w:rsidR="00727D88" w:rsidRPr="00BB5DE9" w:rsidP="00B735E3" w14:paraId="66537650" w14:textId="794779B7">
      <w:r w:rsidRPr="00BB5DE9">
        <w:t>Significato dei simboli utilizzati:</w:t>
      </w:r>
    </w:p>
    <w:p w:rsidR="00727D88" w:rsidRPr="00BB5DE9" w:rsidP="001C6342" w14:paraId="2AEEBB6C" w14:textId="3B126230">
      <w:pPr>
        <w:pStyle w:val="RollCallTabs"/>
        <w:rPr>
          <w:lang w:val="it-IT"/>
        </w:rPr>
      </w:pPr>
      <w:r w:rsidRPr="00BB5DE9">
        <w:rPr>
          <w:lang w:val="it-IT"/>
        </w:rPr>
        <w:t>+</w:t>
      </w:r>
      <w:r w:rsidRPr="00BB5DE9">
        <w:rPr>
          <w:lang w:val="it-IT"/>
        </w:rPr>
        <w:tab/>
        <w:t>:</w:t>
      </w:r>
      <w:r w:rsidRPr="00BB5DE9">
        <w:rPr>
          <w:lang w:val="it-IT"/>
        </w:rPr>
        <w:tab/>
        <w:t>favorevoli</w:t>
      </w:r>
    </w:p>
    <w:p w:rsidR="00727D88" w:rsidRPr="00BB5DE9" w:rsidP="001C6342" w14:paraId="2398E857" w14:textId="7ACD9D5A">
      <w:pPr>
        <w:pStyle w:val="RollCallTabs"/>
        <w:rPr>
          <w:lang w:val="it-IT"/>
        </w:rPr>
      </w:pPr>
      <w:r w:rsidRPr="00BB5DE9">
        <w:rPr>
          <w:lang w:val="it-IT"/>
        </w:rPr>
        <w:t>-</w:t>
      </w:r>
      <w:r w:rsidRPr="00BB5DE9">
        <w:rPr>
          <w:lang w:val="it-IT"/>
        </w:rPr>
        <w:tab/>
        <w:t>:</w:t>
      </w:r>
      <w:r w:rsidRPr="00BB5DE9">
        <w:rPr>
          <w:lang w:val="it-IT"/>
        </w:rPr>
        <w:tab/>
        <w:t>contrari</w:t>
      </w:r>
    </w:p>
    <w:p w:rsidR="00727D88" w:rsidRPr="00BB5DE9" w:rsidP="001C6342" w14:paraId="3C161DBC" w14:textId="3D927A19">
      <w:pPr>
        <w:pStyle w:val="RollCallTabs"/>
        <w:rPr>
          <w:lang w:val="it-IT"/>
        </w:rPr>
      </w:pPr>
      <w:r w:rsidRPr="00BB5DE9">
        <w:rPr>
          <w:lang w:val="it-IT"/>
        </w:rPr>
        <w:t>0</w:t>
      </w:r>
      <w:r w:rsidRPr="00BB5DE9">
        <w:rPr>
          <w:lang w:val="it-IT"/>
        </w:rPr>
        <w:tab/>
        <w:t>:</w:t>
      </w:r>
      <w:r w:rsidRPr="00BB5DE9">
        <w:rPr>
          <w:lang w:val="it-IT"/>
        </w:rPr>
        <w:tab/>
        <w:t>astenuti</w:t>
      </w:r>
    </w:p>
    <w:p w:rsidR="00727D88" w:rsidRPr="00BB5DE9" w:rsidP="00AD5932" w14:paraId="377F7DC1" w14:textId="77777777"/>
    <w:bookmarkEnd w:id="48"/>
    <w:p w:rsidR="003B3824" w:rsidRPr="00BB5DE9" w:rsidP="003B3824" w14:paraId="6225CBAC" w14:textId="39AB7792"/>
    <w:sectPr w:rsidSect="00AE735B">
      <w:pgSz w:w="11894" w:h="15840"/>
      <w:pgMar w:top="1700" w:right="1417" w:bottom="1417" w:left="1417" w:header="720" w:footer="720" w:gutter="0"/>
      <w:cols w:space="720"/>
      <w:noEndnote/>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Yu Mincho">
    <w:charset w:val="80"/>
    <w:family w:val="roman"/>
    <w:pitch w:val="variable"/>
    <w:sig w:usb0="800002E7" w:usb1="2AC7FCFF" w:usb2="00000012" w:usb3="00000000" w:csb0="0002009F" w:csb1="00000000"/>
  </w:font>
  <w:font w:name="DokChampa">
    <w:altName w:val="Leelawadee UI"/>
    <w:charset w:val="DE"/>
    <w:family w:val="swiss"/>
    <w:pitch w:val="variable"/>
    <w:sig w:usb0="83000003" w:usb1="00000000" w:usb2="00000000" w:usb3="00000000" w:csb0="00010001" w:csb1="00000000"/>
  </w:font>
  <w:font w:name="Calibri">
    <w:panose1 w:val="020F05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sans-serif">
    <w:altName w:val="Calibri"/>
    <w:panose1 w:val="00000000000000000000"/>
    <w:charset w:val="00"/>
    <w:family w:val="auto"/>
    <w:notTrueType/>
    <w:pitch w:val="default"/>
    <w:sig w:usb0="00000003" w:usb1="00000000" w:usb2="00000000" w:usb3="00000000" w:csb0="00000001" w:csb1="00000000"/>
  </w:font>
  <w:font w:name="Roboto">
    <w:charset w:val="00"/>
    <w:family w:val="auto"/>
    <w:pitch w:val="variable"/>
    <w:sig w:usb0="E0000AFF" w:usb1="5000217F" w:usb2="00000021" w:usb3="00000000" w:csb0="0000019F" w:csb1="00000000"/>
  </w:font>
  <w:font w:name="TimesNewRomanPSMT">
    <w:altName w:val="MS Gothic"/>
    <w:panose1 w:val="00000000000000000000"/>
    <w:charset w:val="80"/>
    <w:family w:val="auto"/>
    <w:notTrueType/>
    <w:pitch w:val="default"/>
    <w:sig w:usb0="00000001" w:usb1="08070000" w:usb2="00000010" w:usb3="00000000" w:csb0="0002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F40CBC" w:rsidRPr="00F40CBC" w:rsidP="00F40CBC" w14:paraId="64A19A99" w14:textId="77777777">
    <w:pPr>
      <w:pStyle w:val="EPFooter"/>
    </w:pPr>
    <w:r w:rsidRPr="00F40CBC">
      <w:t>PE</w:t>
    </w:r>
    <w:r w:rsidRPr="00BB5DE9">
      <w:rPr>
        <w:rStyle w:val="HideTWBExt"/>
      </w:rPr>
      <w:t>&lt;NoPE&gt;</w:t>
    </w:r>
    <w:r w:rsidRPr="00F40CBC">
      <w:t>792.176</w:t>
    </w:r>
    <w:r w:rsidRPr="00BB5DE9">
      <w:rPr>
        <w:rStyle w:val="HideTWBExt"/>
      </w:rPr>
      <w:t>&lt;/NoPE&gt;&lt;Version&gt;</w:t>
    </w:r>
    <w:r w:rsidRPr="00F40CBC">
      <w:t>v02-00</w:t>
    </w:r>
    <w:r w:rsidRPr="00BB5DE9">
      <w:rPr>
        <w:rStyle w:val="HideTWBExt"/>
      </w:rPr>
      <w:t>&lt;/Version&gt;</w:t>
    </w:r>
    <w:r w:rsidRPr="00F40CBC">
      <w:tab/>
    </w:r>
    <w:r w:rsidRPr="00F40CBC">
      <w:fldChar w:fldCharType="begin"/>
    </w:r>
    <w:r w:rsidRPr="00F40CBC">
      <w:instrText xml:space="preserve"> PAGE  \* MERGEFORMAT </w:instrText>
    </w:r>
    <w:r w:rsidRPr="00F40CBC">
      <w:fldChar w:fldCharType="separate"/>
    </w:r>
    <w:r w:rsidRPr="00F40CBC">
      <w:rPr>
        <w:noProof/>
      </w:rPr>
      <w:t>124</w:t>
    </w:r>
    <w:r w:rsidRPr="00F40CBC">
      <w:fldChar w:fldCharType="end"/>
    </w:r>
    <w:r w:rsidRPr="00F40CBC">
      <w:t>/</w:t>
    </w:r>
    <w:r>
      <w:fldChar w:fldCharType="begin"/>
    </w:r>
    <w:r>
      <w:instrText xml:space="preserve"> NUMPAGES  \* MERGEFORMAT </w:instrText>
    </w:r>
    <w:r>
      <w:fldChar w:fldCharType="separate"/>
    </w:r>
    <w:r w:rsidRPr="00F40CBC">
      <w:rPr>
        <w:noProof/>
      </w:rPr>
      <w:t>136</w:t>
    </w:r>
    <w:r w:rsidRPr="00F40CBC">
      <w:rPr>
        <w:noProof/>
      </w:rPr>
      <w:fldChar w:fldCharType="end"/>
    </w:r>
    <w:r w:rsidRPr="00F40CBC">
      <w:tab/>
    </w:r>
    <w:r w:rsidRPr="00BB5DE9">
      <w:rPr>
        <w:rStyle w:val="HideTWBExt"/>
      </w:rPr>
      <w:t>&lt;PathFdR&gt;</w:t>
    </w:r>
    <w:r w:rsidRPr="00F40CBC">
      <w:t>RR\1352551IT.docx</w:t>
    </w:r>
    <w:r w:rsidRPr="00BB5DE9">
      <w:rPr>
        <w:rStyle w:val="HideTWBExt"/>
      </w:rPr>
      <w:t>&lt;/PathFdR&gt;</w:t>
    </w:r>
  </w:p>
  <w:p w:rsidR="00180582" w:rsidRPr="00F40CBC" w:rsidP="00F40CBC" w14:paraId="41FA034A" w14:textId="4F2166C9">
    <w:pPr>
      <w:pStyle w:val="EPFooter2"/>
    </w:pPr>
    <w:r w:rsidRPr="00F40CBC">
      <w:t>IT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F40CBC" w:rsidRPr="00F40CBC" w:rsidP="00F40CBC" w14:paraId="52C33B73" w14:textId="77777777">
    <w:pPr>
      <w:pStyle w:val="EPFooter"/>
    </w:pPr>
    <w:r w:rsidRPr="00BB5DE9">
      <w:rPr>
        <w:rStyle w:val="HideTWBExt"/>
      </w:rPr>
      <w:t>&lt;PathFdR&gt;</w:t>
    </w:r>
    <w:r w:rsidRPr="00F40CBC">
      <w:t>RR\1352551IT.docx</w:t>
    </w:r>
    <w:r w:rsidRPr="00BB5DE9">
      <w:rPr>
        <w:rStyle w:val="HideTWBExt"/>
      </w:rPr>
      <w:t>&lt;/PathFdR&gt;</w:t>
    </w:r>
    <w:r w:rsidRPr="00F40CBC">
      <w:tab/>
    </w:r>
    <w:r w:rsidRPr="00F40CBC">
      <w:fldChar w:fldCharType="begin"/>
    </w:r>
    <w:r w:rsidRPr="00F40CBC">
      <w:instrText xml:space="preserve"> PAGE  \* MERGEFORMAT </w:instrText>
    </w:r>
    <w:r w:rsidRPr="00F40CBC">
      <w:fldChar w:fldCharType="separate"/>
    </w:r>
    <w:r w:rsidRPr="00F40CBC">
      <w:rPr>
        <w:noProof/>
      </w:rPr>
      <w:t>123</w:t>
    </w:r>
    <w:r w:rsidRPr="00F40CBC">
      <w:fldChar w:fldCharType="end"/>
    </w:r>
    <w:r w:rsidRPr="00F40CBC">
      <w:t>/</w:t>
    </w:r>
    <w:r>
      <w:fldChar w:fldCharType="begin"/>
    </w:r>
    <w:r>
      <w:instrText xml:space="preserve"> NUMPAGES  \* MERGEFORMAT </w:instrText>
    </w:r>
    <w:r>
      <w:fldChar w:fldCharType="separate"/>
    </w:r>
    <w:r w:rsidRPr="00F40CBC">
      <w:rPr>
        <w:noProof/>
      </w:rPr>
      <w:t>136</w:t>
    </w:r>
    <w:r w:rsidRPr="00F40CBC">
      <w:rPr>
        <w:noProof/>
      </w:rPr>
      <w:fldChar w:fldCharType="end"/>
    </w:r>
    <w:r w:rsidRPr="00F40CBC">
      <w:tab/>
      <w:t>PE</w:t>
    </w:r>
    <w:r w:rsidRPr="00BB5DE9">
      <w:rPr>
        <w:rStyle w:val="HideTWBExt"/>
      </w:rPr>
      <w:t>&lt;NoPE&gt;</w:t>
    </w:r>
    <w:r w:rsidRPr="00F40CBC">
      <w:t>792.176</w:t>
    </w:r>
    <w:r w:rsidRPr="00BB5DE9">
      <w:rPr>
        <w:rStyle w:val="HideTWBExt"/>
      </w:rPr>
      <w:t>&lt;/NoPE&gt;&lt;Version&gt;</w:t>
    </w:r>
    <w:r w:rsidRPr="00F40CBC">
      <w:t>v02-00</w:t>
    </w:r>
    <w:r w:rsidRPr="00BB5DE9">
      <w:rPr>
        <w:rStyle w:val="HideTWBExt"/>
      </w:rPr>
      <w:t>&lt;/Version&gt;</w:t>
    </w:r>
  </w:p>
  <w:p w:rsidR="00180582" w:rsidRPr="00F40CBC" w:rsidP="00F40CBC" w14:paraId="1255F6BF" w14:textId="61C7CAC2">
    <w:pPr>
      <w:pStyle w:val="EPFooter2"/>
    </w:pPr>
    <w:r w:rsidRPr="00F40CBC">
      <w:tab/>
    </w:r>
    <w:r w:rsidRPr="00F40CBC">
      <w:tab/>
      <w:t>IT</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F40CBC" w:rsidRPr="00F40CBC" w:rsidP="00F40CBC" w14:paraId="5496FF13" w14:textId="77777777">
    <w:pPr>
      <w:pStyle w:val="EPFooter"/>
    </w:pPr>
    <w:r w:rsidRPr="00BB5DE9">
      <w:rPr>
        <w:rStyle w:val="HideTWBExt"/>
      </w:rPr>
      <w:t>&lt;PathFdR&gt;</w:t>
    </w:r>
    <w:r w:rsidRPr="00F40CBC">
      <w:t>RR\1352551IT.docx</w:t>
    </w:r>
    <w:r w:rsidRPr="00BB5DE9">
      <w:rPr>
        <w:rStyle w:val="HideTWBExt"/>
      </w:rPr>
      <w:t>&lt;/PathFdR&gt;</w:t>
    </w:r>
    <w:r w:rsidRPr="00F40CBC">
      <w:tab/>
    </w:r>
    <w:r w:rsidRPr="00F40CBC">
      <w:tab/>
      <w:t>PE</w:t>
    </w:r>
    <w:r w:rsidRPr="00BB5DE9">
      <w:rPr>
        <w:rStyle w:val="HideTWBExt"/>
      </w:rPr>
      <w:t>&lt;NoPE&gt;</w:t>
    </w:r>
    <w:r w:rsidRPr="00F40CBC">
      <w:t>792.176</w:t>
    </w:r>
    <w:r w:rsidRPr="00BB5DE9">
      <w:rPr>
        <w:rStyle w:val="HideTWBExt"/>
      </w:rPr>
      <w:t>&lt;/NoPE&gt;&lt;Version&gt;</w:t>
    </w:r>
    <w:r w:rsidRPr="00F40CBC">
      <w:t>v02-00</w:t>
    </w:r>
    <w:r w:rsidRPr="00BB5DE9">
      <w:rPr>
        <w:rStyle w:val="HideTWBExt"/>
      </w:rPr>
      <w:t>&lt;/Version&gt;</w:t>
    </w:r>
  </w:p>
  <w:p w:rsidR="00180582" w:rsidRPr="00F40CBC" w:rsidP="00F40CBC" w14:paraId="38698566" w14:textId="178A294F">
    <w:pPr>
      <w:pStyle w:val="EPFooter2"/>
    </w:pPr>
    <w:r w:rsidRPr="00F40CBC">
      <w:t>IT</w:t>
    </w:r>
    <w:r w:rsidRPr="00F40CBC">
      <w:tab/>
    </w:r>
    <w:r w:rsidRPr="00F40CBC">
      <w:rPr>
        <w:b w:val="0"/>
        <w:i/>
        <w:color w:val="C0C0C0"/>
        <w:sz w:val="22"/>
      </w:rPr>
      <w:t>Unita nella diversità</w:t>
    </w:r>
    <w:r w:rsidRPr="00F40CBC">
      <w:tab/>
      <w:t>IT</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AE735B" w:rsidRPr="00F40CBC" w:rsidP="00D047FB" w14:paraId="55F12628" w14:textId="77777777">
    <w:pPr>
      <w:pStyle w:val="EPFooter"/>
    </w:pPr>
    <w:r w:rsidRPr="00BB5DE9">
      <w:rPr>
        <w:rStyle w:val="HideTWBExt"/>
      </w:rPr>
      <w:t>&lt;PathFdR&gt;</w:t>
    </w:r>
    <w:r w:rsidRPr="00F40CBC">
      <w:t>AD\1350185IT.docx</w:t>
    </w:r>
    <w:r w:rsidRPr="00BB5DE9">
      <w:rPr>
        <w:rStyle w:val="HideTWBExt"/>
      </w:rPr>
      <w:t>&lt;/PathFdR&gt;</w:t>
    </w:r>
    <w:r w:rsidRPr="00F40CBC">
      <w:tab/>
    </w:r>
    <w:r w:rsidRPr="00F40CBC">
      <w:tab/>
      <w:t>PE</w:t>
    </w:r>
    <w:r w:rsidRPr="00BB5DE9">
      <w:rPr>
        <w:rStyle w:val="HideTWBExt"/>
      </w:rPr>
      <w:t>&lt;NoPE&gt;</w:t>
    </w:r>
    <w:r w:rsidRPr="00F40CBC">
      <w:t>790.817</w:t>
    </w:r>
    <w:r w:rsidRPr="00BB5DE9">
      <w:rPr>
        <w:rStyle w:val="HideTWBExt"/>
      </w:rPr>
      <w:t>&lt;/NoPE&gt;&lt;Version&gt;</w:t>
    </w:r>
    <w:r w:rsidRPr="00F40CBC">
      <w:t>v02-00</w:t>
    </w:r>
    <w:r w:rsidRPr="00BB5DE9">
      <w:rPr>
        <w:rStyle w:val="HideTWBExt"/>
      </w:rPr>
      <w:t>&lt;/Version&gt;</w:t>
    </w:r>
  </w:p>
  <w:p w:rsidR="00AE735B" w:rsidRPr="00F40CBC" w:rsidP="00D047FB" w14:paraId="1F51B595" w14:textId="77777777">
    <w:pPr>
      <w:pStyle w:val="EPFooter2"/>
    </w:pPr>
    <w:r w:rsidRPr="00F40CBC">
      <w:t>IT</w:t>
    </w:r>
    <w:r w:rsidRPr="00F40CBC">
      <w:tab/>
    </w:r>
    <w:r w:rsidRPr="00F40CBC">
      <w:rPr>
        <w:b w:val="0"/>
        <w:i/>
        <w:color w:val="C0C0C0"/>
        <w:sz w:val="22"/>
      </w:rPr>
      <w:t>Unita nella diversità</w:t>
    </w:r>
    <w:r w:rsidRPr="00F40CBC">
      <w:tab/>
      <w:t>IT</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AE735B" w:rsidRPr="00F40CBC" w:rsidP="001F1F0F" w14:paraId="7AFE1EB2" w14:textId="77777777">
    <w:pPr>
      <w:pStyle w:val="EPFooter"/>
    </w:pPr>
    <w:r w:rsidRPr="00BB5DE9">
      <w:rPr>
        <w:rStyle w:val="HideTWBExt"/>
      </w:rPr>
      <w:t>&lt;PathFdR&gt;</w:t>
    </w:r>
    <w:r w:rsidRPr="00F40CBC">
      <w:t>AD\1350629IT.docx</w:t>
    </w:r>
    <w:r w:rsidRPr="00BB5DE9">
      <w:rPr>
        <w:rStyle w:val="HideTWBExt"/>
      </w:rPr>
      <w:t>&lt;/PathFdR&gt;</w:t>
    </w:r>
    <w:r w:rsidRPr="00F40CBC">
      <w:tab/>
    </w:r>
    <w:r w:rsidRPr="00F40CBC">
      <w:tab/>
      <w:t>PE</w:t>
    </w:r>
    <w:r w:rsidRPr="00BB5DE9">
      <w:rPr>
        <w:rStyle w:val="HideTWBExt"/>
      </w:rPr>
      <w:t>&lt;NoPE&gt;</w:t>
    </w:r>
    <w:r w:rsidRPr="00F40CBC">
      <w:t>790.182</w:t>
    </w:r>
    <w:r w:rsidRPr="00BB5DE9">
      <w:rPr>
        <w:rStyle w:val="HideTWBExt"/>
      </w:rPr>
      <w:t>&lt;/NoPE&gt;&lt;Version&gt;</w:t>
    </w:r>
    <w:r w:rsidRPr="00F40CBC">
      <w:t>v02-00</w:t>
    </w:r>
    <w:r w:rsidRPr="00BB5DE9">
      <w:rPr>
        <w:rStyle w:val="HideTWBExt"/>
      </w:rPr>
      <w:t>&lt;/Version&gt;</w:t>
    </w:r>
  </w:p>
  <w:p w:rsidR="00AE735B" w:rsidRPr="00F40CBC" w:rsidP="001F1F0F" w14:paraId="01EC9B30" w14:textId="77777777">
    <w:pPr>
      <w:pStyle w:val="EPFooter2"/>
    </w:pPr>
    <w:r w:rsidRPr="00F40CBC">
      <w:t>IT</w:t>
    </w:r>
    <w:r w:rsidRPr="00F40CBC">
      <w:tab/>
    </w:r>
    <w:r w:rsidRPr="00F40CBC">
      <w:rPr>
        <w:b w:val="0"/>
        <w:i/>
        <w:color w:val="C0C0C0"/>
        <w:sz w:val="22"/>
      </w:rPr>
      <w:t>Unita nella diversità</w:t>
    </w:r>
    <w:r w:rsidRPr="00F40CBC">
      <w:tab/>
      <w:t>IT</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AE735B" w:rsidRPr="00F40CBC" w:rsidP="00C83AFD" w14:paraId="4238D2EA" w14:textId="77777777">
    <w:pPr>
      <w:pStyle w:val="EPFooter"/>
    </w:pPr>
    <w:r w:rsidRPr="00BB5DE9">
      <w:rPr>
        <w:rStyle w:val="HideTWBExt"/>
      </w:rPr>
      <w:t>&lt;PathFdR&gt;</w:t>
    </w:r>
    <w:r w:rsidRPr="00F40CBC">
      <w:t>AD\1347890IT.docx</w:t>
    </w:r>
    <w:r w:rsidRPr="00BB5DE9">
      <w:rPr>
        <w:rStyle w:val="HideTWBExt"/>
      </w:rPr>
      <w:t>&lt;/PathFdR&gt;</w:t>
    </w:r>
    <w:r w:rsidRPr="00F40CBC">
      <w:tab/>
    </w:r>
    <w:r w:rsidRPr="00F40CBC">
      <w:tab/>
      <w:t>PE</w:t>
    </w:r>
    <w:r w:rsidRPr="00BB5DE9">
      <w:rPr>
        <w:rStyle w:val="HideTWBExt"/>
      </w:rPr>
      <w:t>&lt;NoPE&gt;</w:t>
    </w:r>
    <w:r w:rsidRPr="00F40CBC">
      <w:t>787.645</w:t>
    </w:r>
    <w:r w:rsidRPr="00BB5DE9">
      <w:rPr>
        <w:rStyle w:val="HideTWBExt"/>
      </w:rPr>
      <w:t>&lt;/NoPE&gt;&lt;Version&gt;</w:t>
    </w:r>
    <w:r w:rsidRPr="00F40CBC">
      <w:t>v02-00</w:t>
    </w:r>
    <w:r w:rsidRPr="00BB5DE9">
      <w:rPr>
        <w:rStyle w:val="HideTWBExt"/>
      </w:rPr>
      <w:t>&lt;/Version&gt;</w:t>
    </w:r>
  </w:p>
  <w:p w:rsidR="00AE735B" w:rsidRPr="00F40CBC" w:rsidP="00C83AFD" w14:paraId="190034A0" w14:textId="77777777">
    <w:pPr>
      <w:pStyle w:val="EPFooter2"/>
    </w:pPr>
    <w:r w:rsidRPr="00F40CBC">
      <w:t>IT</w:t>
    </w:r>
    <w:r w:rsidRPr="00F40CBC">
      <w:tab/>
    </w:r>
    <w:r w:rsidRPr="00F40CBC">
      <w:rPr>
        <w:b w:val="0"/>
        <w:i/>
        <w:color w:val="C0C0C0"/>
        <w:sz w:val="22"/>
      </w:rPr>
      <w:t>Unita nella diversità</w:t>
    </w:r>
    <w:r w:rsidRPr="00F40CBC">
      <w:tab/>
      <w:t>IT</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AE735B" w:rsidRPr="00F40CBC" w:rsidP="002F2F15" w14:paraId="13B73656" w14:textId="77777777">
    <w:pPr>
      <w:pStyle w:val="EPFooter"/>
    </w:pPr>
    <w:r w:rsidRPr="00BB5DE9">
      <w:rPr>
        <w:rStyle w:val="HideTWBExt"/>
      </w:rPr>
      <w:t>&lt;PathFdR&gt;</w:t>
    </w:r>
    <w:r w:rsidRPr="00F40CBC">
      <w:t>AD\1349288IT.docx</w:t>
    </w:r>
    <w:r w:rsidRPr="00BB5DE9">
      <w:rPr>
        <w:rStyle w:val="HideTWBExt"/>
      </w:rPr>
      <w:t>&lt;/PathFdR&gt;</w:t>
    </w:r>
    <w:r w:rsidRPr="00F40CBC">
      <w:tab/>
    </w:r>
    <w:r w:rsidRPr="00F40CBC">
      <w:tab/>
      <w:t>PE</w:t>
    </w:r>
    <w:r w:rsidRPr="00BB5DE9">
      <w:rPr>
        <w:rStyle w:val="HideTWBExt"/>
      </w:rPr>
      <w:t>&lt;NoPE&gt;</w:t>
    </w:r>
    <w:r w:rsidRPr="00F40CBC">
      <w:t>789.873</w:t>
    </w:r>
    <w:r w:rsidRPr="00BB5DE9">
      <w:rPr>
        <w:rStyle w:val="HideTWBExt"/>
      </w:rPr>
      <w:t>&lt;/NoPE&gt;&lt;Version&gt;</w:t>
    </w:r>
    <w:r w:rsidRPr="00F40CBC">
      <w:t>v02-00</w:t>
    </w:r>
    <w:r w:rsidRPr="00BB5DE9">
      <w:rPr>
        <w:rStyle w:val="HideTWBExt"/>
      </w:rPr>
      <w:t>&lt;/Version&gt;</w:t>
    </w:r>
  </w:p>
  <w:p w:rsidR="00AE735B" w:rsidRPr="00F40CBC" w:rsidP="002F2F15" w14:paraId="76AC4D4B" w14:textId="77777777">
    <w:pPr>
      <w:pStyle w:val="EPFooter2"/>
    </w:pPr>
    <w:r w:rsidRPr="00F40CBC">
      <w:t>IT</w:t>
    </w:r>
    <w:r w:rsidRPr="00F40CBC">
      <w:tab/>
    </w:r>
    <w:r w:rsidRPr="00F40CBC">
      <w:rPr>
        <w:b w:val="0"/>
        <w:i/>
        <w:color w:val="C0C0C0"/>
        <w:sz w:val="22"/>
      </w:rPr>
      <w:t>Unita nella diversità</w:t>
    </w:r>
    <w:r w:rsidRPr="00F40CBC">
      <w:tab/>
      <w:t>IT</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AE735B" w:rsidRPr="00F40CBC" w:rsidP="00735F18" w14:paraId="6927D2EB" w14:textId="77777777">
    <w:pPr>
      <w:pStyle w:val="EPFooter"/>
    </w:pPr>
    <w:r w:rsidRPr="00BB5DE9">
      <w:rPr>
        <w:rStyle w:val="HideTWBExt"/>
      </w:rPr>
      <w:t>&lt;PathFdR&gt;</w:t>
    </w:r>
    <w:r w:rsidRPr="00F40CBC">
      <w:t>AD\1349775IT.docx</w:t>
    </w:r>
    <w:r w:rsidRPr="00BB5DE9">
      <w:rPr>
        <w:rStyle w:val="HideTWBExt"/>
      </w:rPr>
      <w:t>&lt;/PathFdR&gt;</w:t>
    </w:r>
    <w:r w:rsidRPr="00F40CBC">
      <w:tab/>
    </w:r>
    <w:r w:rsidRPr="00F40CBC">
      <w:tab/>
      <w:t>PE</w:t>
    </w:r>
    <w:r w:rsidRPr="00BB5DE9">
      <w:rPr>
        <w:rStyle w:val="HideTWBExt"/>
      </w:rPr>
      <w:t>&lt;NoPE&gt;</w:t>
    </w:r>
    <w:r w:rsidRPr="00F40CBC">
      <w:t>789.974</w:t>
    </w:r>
    <w:r w:rsidRPr="00BB5DE9">
      <w:rPr>
        <w:rStyle w:val="HideTWBExt"/>
      </w:rPr>
      <w:t>&lt;/NoPE&gt;&lt;Version&gt;</w:t>
    </w:r>
    <w:r w:rsidRPr="00F40CBC">
      <w:t>v02-00</w:t>
    </w:r>
    <w:r w:rsidRPr="00BB5DE9">
      <w:rPr>
        <w:rStyle w:val="HideTWBExt"/>
      </w:rPr>
      <w:t>&lt;/Version&gt;</w:t>
    </w:r>
  </w:p>
  <w:p w:rsidR="00AE735B" w:rsidRPr="00F40CBC" w:rsidP="00735F18" w14:paraId="37D37AFB" w14:textId="77777777">
    <w:pPr>
      <w:pStyle w:val="EPFooter2"/>
    </w:pPr>
    <w:r w:rsidRPr="00F40CBC">
      <w:t>IT</w:t>
    </w:r>
    <w:r w:rsidRPr="00F40CBC">
      <w:tab/>
    </w:r>
    <w:r w:rsidRPr="00F40CBC">
      <w:rPr>
        <w:b w:val="0"/>
        <w:i/>
        <w:color w:val="C0C0C0"/>
        <w:sz w:val="22"/>
      </w:rPr>
      <w:t>Unita nella diversità</w:t>
    </w:r>
    <w:r w:rsidRPr="00F40CBC">
      <w:tab/>
      <w:t>IT</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AE735B" w:rsidRPr="00F40CBC" w:rsidP="0040081A" w14:paraId="5B359351" w14:textId="77777777">
    <w:pPr>
      <w:pStyle w:val="EPFooter"/>
    </w:pPr>
    <w:r w:rsidRPr="00BB5DE9">
      <w:rPr>
        <w:rStyle w:val="HideTWBExt"/>
      </w:rPr>
      <w:t>&lt;PathFdR&gt;</w:t>
    </w:r>
    <w:r w:rsidRPr="00F40CBC">
      <w:t>AD\1349688IT.docx</w:t>
    </w:r>
    <w:r w:rsidRPr="00BB5DE9">
      <w:rPr>
        <w:rStyle w:val="HideTWBExt"/>
      </w:rPr>
      <w:t>&lt;/PathFdR&gt;</w:t>
    </w:r>
    <w:r w:rsidRPr="00F40CBC">
      <w:tab/>
    </w:r>
    <w:r w:rsidRPr="00F40CBC">
      <w:tab/>
      <w:t>PE</w:t>
    </w:r>
    <w:r w:rsidRPr="00BB5DE9">
      <w:rPr>
        <w:rStyle w:val="HideTWBExt"/>
      </w:rPr>
      <w:t>&lt;NoPE&gt;</w:t>
    </w:r>
    <w:r w:rsidRPr="00F40CBC">
      <w:t>789.116</w:t>
    </w:r>
    <w:r w:rsidRPr="00BB5DE9">
      <w:rPr>
        <w:rStyle w:val="HideTWBExt"/>
      </w:rPr>
      <w:t>&lt;/NoPE&gt;&lt;Version&gt;</w:t>
    </w:r>
    <w:r w:rsidRPr="00F40CBC">
      <w:t>v02-00</w:t>
    </w:r>
    <w:r w:rsidRPr="00BB5DE9">
      <w:rPr>
        <w:rStyle w:val="HideTWBExt"/>
      </w:rPr>
      <w:t>&lt;/Version&gt;</w:t>
    </w:r>
  </w:p>
  <w:p w:rsidR="00AE735B" w:rsidRPr="00F40CBC" w:rsidP="0040081A" w14:paraId="31616850" w14:textId="77777777">
    <w:pPr>
      <w:pStyle w:val="EPFooter2"/>
    </w:pPr>
    <w:r w:rsidRPr="00F40CBC">
      <w:t>IT</w:t>
    </w:r>
    <w:r w:rsidRPr="00F40CBC">
      <w:tab/>
    </w:r>
    <w:r w:rsidRPr="00F40CBC">
      <w:rPr>
        <w:b w:val="0"/>
        <w:i/>
        <w:color w:val="C0C0C0"/>
        <w:sz w:val="22"/>
      </w:rPr>
      <w:t>Unita nella diversità</w:t>
    </w:r>
    <w:r w:rsidRPr="00F40CBC">
      <w:tab/>
      <w:t>IT</w: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AE735B" w:rsidRPr="00F40CBC" w:rsidP="001D40BE" w14:paraId="4E6C8E30" w14:textId="77777777">
    <w:pPr>
      <w:pStyle w:val="EPFooter"/>
    </w:pPr>
    <w:r w:rsidRPr="00BB5DE9">
      <w:rPr>
        <w:rStyle w:val="HideTWBExt"/>
      </w:rPr>
      <w:t>&lt;PathFdR&gt;</w:t>
    </w:r>
    <w:r w:rsidRPr="00F40CBC">
      <w:t>AD\1348058IT.docx</w:t>
    </w:r>
    <w:r w:rsidRPr="00BB5DE9">
      <w:rPr>
        <w:rStyle w:val="HideTWBExt"/>
      </w:rPr>
      <w:t>&lt;/PathFdR&gt;</w:t>
    </w:r>
    <w:r w:rsidRPr="00F40CBC">
      <w:tab/>
    </w:r>
    <w:r w:rsidRPr="00F40CBC">
      <w:tab/>
      <w:t>PE</w:t>
    </w:r>
    <w:r w:rsidRPr="00BB5DE9">
      <w:rPr>
        <w:rStyle w:val="HideTWBExt"/>
      </w:rPr>
      <w:t>&lt;NoPE&gt;</w:t>
    </w:r>
    <w:r w:rsidRPr="00F40CBC">
      <w:t>789.890</w:t>
    </w:r>
    <w:r w:rsidRPr="00BB5DE9">
      <w:rPr>
        <w:rStyle w:val="HideTWBExt"/>
      </w:rPr>
      <w:t>&lt;/NoPE&gt;&lt;Version&gt;</w:t>
    </w:r>
    <w:r w:rsidRPr="00F40CBC">
      <w:t>v02-00</w:t>
    </w:r>
    <w:r w:rsidRPr="00BB5DE9">
      <w:rPr>
        <w:rStyle w:val="HideTWBExt"/>
      </w:rPr>
      <w:t>&lt;/Version&gt;</w:t>
    </w:r>
  </w:p>
  <w:p w:rsidR="00AE735B" w:rsidRPr="00F40CBC" w:rsidP="001D40BE" w14:paraId="359797D6" w14:textId="77777777">
    <w:pPr>
      <w:pStyle w:val="EPFooter2"/>
    </w:pPr>
    <w:r w:rsidRPr="00F40CBC">
      <w:t>IT</w:t>
    </w:r>
    <w:r w:rsidRPr="00F40CBC">
      <w:tab/>
    </w:r>
    <w:r w:rsidRPr="00F40CBC">
      <w:rPr>
        <w:b w:val="0"/>
        <w:i/>
        <w:color w:val="C0C0C0"/>
        <w:sz w:val="22"/>
      </w:rPr>
      <w:t>Unita nella diversità</w:t>
    </w:r>
    <w:r w:rsidRPr="00F40CBC">
      <w:tab/>
      <w:t>IT</w: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AE735B" w:rsidRPr="00F40CBC" w:rsidP="009A33F4" w14:paraId="42BD4FC1" w14:textId="77777777">
    <w:pPr>
      <w:pStyle w:val="EPFooter"/>
    </w:pPr>
    <w:r w:rsidRPr="00BB5DE9">
      <w:rPr>
        <w:rStyle w:val="HideTWBExt"/>
      </w:rPr>
      <w:t>&lt;PathFdR&gt;</w:t>
    </w:r>
    <w:r w:rsidRPr="00F40CBC">
      <w:t>PA\1345330IT.docx</w:t>
    </w:r>
    <w:r w:rsidRPr="00BB5DE9">
      <w:rPr>
        <w:rStyle w:val="HideTWBExt"/>
      </w:rPr>
      <w:t>&lt;/PathFdR&gt;</w:t>
    </w:r>
    <w:r w:rsidRPr="00F40CBC">
      <w:tab/>
    </w:r>
    <w:r w:rsidRPr="00F40CBC">
      <w:tab/>
      <w:t>PE</w:t>
    </w:r>
    <w:r w:rsidRPr="00BB5DE9">
      <w:rPr>
        <w:rStyle w:val="HideTWBExt"/>
      </w:rPr>
      <w:t>&lt;NoPE&gt;</w:t>
    </w:r>
    <w:r w:rsidRPr="00F40CBC">
      <w:t xml:space="preserve">789.890 </w:t>
    </w:r>
    <w:r w:rsidRPr="00BB5DE9">
      <w:rPr>
        <w:rStyle w:val="HideTWBExt"/>
      </w:rPr>
      <w:t>&lt;/NoPE&gt;&lt;Version&gt;</w:t>
    </w:r>
    <w:r w:rsidRPr="00F40CBC">
      <w:t>v01-00</w:t>
    </w:r>
    <w:r w:rsidRPr="00BB5DE9">
      <w:rPr>
        <w:rStyle w:val="HideTWBExt"/>
      </w:rPr>
      <w:t>&lt;/Version&gt;</w:t>
    </w:r>
  </w:p>
  <w:p w:rsidR="00AE735B" w:rsidRPr="00F40CBC" w:rsidP="00E9601C" w14:paraId="73A96FCF" w14:textId="626AD896">
    <w:pPr>
      <w:pStyle w:val="EPFooter2"/>
      <w:tabs>
        <w:tab w:val="clear" w:pos="4535"/>
        <w:tab w:val="center" w:pos="4536"/>
      </w:tabs>
    </w:pPr>
    <w:r>
      <w:fldChar w:fldCharType="begin"/>
    </w:r>
    <w:r>
      <w:instrText xml:space="preserve"> DOCPROPERTY "&lt;Extension&gt;" </w:instrText>
    </w:r>
    <w:r>
      <w:fldChar w:fldCharType="separate"/>
    </w:r>
    <w:r w:rsidR="00BB5DE9">
      <w:t>IT</w:t>
    </w:r>
    <w:r w:rsidR="00BB5DE9">
      <w:fldChar w:fldCharType="end"/>
    </w:r>
    <w:r w:rsidRPr="00F40CBC">
      <w:tab/>
    </w:r>
    <w:r w:rsidRPr="00F40CBC">
      <w:rPr>
        <w:b w:val="0"/>
        <w:i/>
        <w:color w:val="C0C0C0"/>
        <w:sz w:val="22"/>
        <w:szCs w:val="22"/>
      </w:rPr>
      <w:t>United in diversity</w:t>
    </w:r>
    <w:r w:rsidRPr="00F40CBC">
      <w:tab/>
    </w:r>
    <w:r>
      <w:fldChar w:fldCharType="begin"/>
    </w:r>
    <w:r>
      <w:instrText xml:space="preserve"> DOCPROPERTY "&lt;Extension&gt;" </w:instrText>
    </w:r>
    <w:r>
      <w:fldChar w:fldCharType="separate"/>
    </w:r>
    <w:r w:rsidR="00BB5DE9">
      <w:t>IT</w:t>
    </w:r>
    <w:r w:rsidR="00BB5DE9">
      <w:fldChar w:fldCharType="end"/>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AE735B" w:rsidRPr="00F40CBC" w:rsidP="00DF60CF" w14:paraId="08179A1E" w14:textId="77777777">
    <w:pPr>
      <w:pStyle w:val="EPFooter"/>
    </w:pPr>
    <w:r w:rsidRPr="00BB5DE9">
      <w:rPr>
        <w:rStyle w:val="HideTWBExt"/>
      </w:rPr>
      <w:t>&lt;PathFdR&gt;</w:t>
    </w:r>
    <w:r w:rsidRPr="00F40CBC">
      <w:t>AD\1349909IT.docx</w:t>
    </w:r>
    <w:r w:rsidRPr="00BB5DE9">
      <w:rPr>
        <w:rStyle w:val="HideTWBExt"/>
      </w:rPr>
      <w:t>&lt;/PathFdR&gt;</w:t>
    </w:r>
    <w:r w:rsidRPr="00F40CBC">
      <w:tab/>
    </w:r>
    <w:r w:rsidRPr="00F40CBC">
      <w:tab/>
      <w:t>PE</w:t>
    </w:r>
    <w:r w:rsidRPr="00BB5DE9">
      <w:rPr>
        <w:rStyle w:val="HideTWBExt"/>
      </w:rPr>
      <w:t>&lt;NoPE&gt;</w:t>
    </w:r>
    <w:r w:rsidRPr="00F40CBC">
      <w:t>788.971</w:t>
    </w:r>
    <w:r w:rsidRPr="00BB5DE9">
      <w:rPr>
        <w:rStyle w:val="HideTWBExt"/>
      </w:rPr>
      <w:t>&lt;/NoPE&gt;&lt;Version&gt;</w:t>
    </w:r>
    <w:r w:rsidRPr="00F40CBC">
      <w:t>v02-00</w:t>
    </w:r>
    <w:r w:rsidRPr="00BB5DE9">
      <w:rPr>
        <w:rStyle w:val="HideTWBExt"/>
      </w:rPr>
      <w:t>&lt;/Version&gt;</w:t>
    </w:r>
  </w:p>
  <w:p w:rsidR="00AE735B" w:rsidRPr="00F40CBC" w:rsidP="00DF60CF" w14:paraId="0C802979" w14:textId="77777777">
    <w:pPr>
      <w:pStyle w:val="EPFooter2"/>
    </w:pPr>
    <w:r w:rsidRPr="00F40CBC">
      <w:t>IT</w:t>
    </w:r>
    <w:r w:rsidRPr="00F40CBC">
      <w:tab/>
    </w:r>
    <w:r w:rsidRPr="00F40CBC">
      <w:rPr>
        <w:b w:val="0"/>
        <w:i/>
        <w:color w:val="C0C0C0"/>
        <w:sz w:val="22"/>
      </w:rPr>
      <w:t>Unita nella diversità</w:t>
    </w:r>
    <w:r w:rsidRPr="00F40CBC">
      <w:tab/>
      <w:t>IT</w: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AE735B" w:rsidRPr="00F40CBC" w:rsidP="00E92669" w14:paraId="3C3977AF" w14:textId="77777777">
    <w:pPr>
      <w:pStyle w:val="EPFooter"/>
    </w:pPr>
    <w:r w:rsidRPr="00BB5DE9">
      <w:rPr>
        <w:rStyle w:val="HideTWBExt"/>
      </w:rPr>
      <w:t>&lt;PathFdR&gt;</w:t>
    </w:r>
    <w:r w:rsidRPr="00F40CBC">
      <w:t>AD\1349799IT.docx</w:t>
    </w:r>
    <w:r w:rsidRPr="00BB5DE9">
      <w:rPr>
        <w:rStyle w:val="HideTWBExt"/>
      </w:rPr>
      <w:t>&lt;/PathFdR&gt;</w:t>
    </w:r>
    <w:r w:rsidRPr="00F40CBC">
      <w:tab/>
    </w:r>
    <w:r w:rsidRPr="00F40CBC">
      <w:tab/>
      <w:t>PE</w:t>
    </w:r>
    <w:r w:rsidRPr="00BB5DE9">
      <w:rPr>
        <w:rStyle w:val="HideTWBExt"/>
      </w:rPr>
      <w:t>&lt;NoPE&gt;</w:t>
    </w:r>
    <w:r w:rsidRPr="00F40CBC">
      <w:t>789.971</w:t>
    </w:r>
    <w:r w:rsidRPr="00BB5DE9">
      <w:rPr>
        <w:rStyle w:val="HideTWBExt"/>
      </w:rPr>
      <w:t>&lt;/NoPE&gt;&lt;Version&gt;</w:t>
    </w:r>
    <w:r w:rsidRPr="00F40CBC">
      <w:t>v02-00</w:t>
    </w:r>
    <w:r w:rsidRPr="00BB5DE9">
      <w:rPr>
        <w:rStyle w:val="HideTWBExt"/>
      </w:rPr>
      <w:t>&lt;/Version&gt;</w:t>
    </w:r>
  </w:p>
  <w:p w:rsidR="00AE735B" w:rsidRPr="00F40CBC" w:rsidP="00E92669" w14:paraId="03B158FB" w14:textId="77777777">
    <w:pPr>
      <w:pStyle w:val="EPFooter2"/>
    </w:pPr>
    <w:r w:rsidRPr="00F40CBC">
      <w:t>IT</w:t>
    </w:r>
    <w:r w:rsidRPr="00F40CBC">
      <w:tab/>
    </w:r>
    <w:r w:rsidRPr="00F40CBC">
      <w:rPr>
        <w:b w:val="0"/>
        <w:i/>
        <w:color w:val="C0C0C0"/>
        <w:sz w:val="22"/>
      </w:rPr>
      <w:t>Unita nella diversità</w:t>
    </w:r>
    <w:r w:rsidRPr="00F40CBC">
      <w:tab/>
      <w:t>IT</w: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AE735B" w:rsidRPr="00F40CBC" w:rsidP="00B7346B" w14:paraId="0BEDF851" w14:textId="77777777">
    <w:pPr>
      <w:pStyle w:val="EPFooter"/>
    </w:pPr>
    <w:r w:rsidRPr="00BB5DE9">
      <w:rPr>
        <w:rStyle w:val="HideTWBExt"/>
      </w:rPr>
      <w:t>&lt;PathFdR&gt;</w:t>
    </w:r>
    <w:r w:rsidRPr="00F40CBC">
      <w:t>AD\1351340IT.docx</w:t>
    </w:r>
    <w:r w:rsidRPr="00BB5DE9">
      <w:rPr>
        <w:rStyle w:val="HideTWBExt"/>
      </w:rPr>
      <w:t>&lt;/PathFdR&gt;</w:t>
    </w:r>
    <w:r w:rsidRPr="00F40CBC">
      <w:tab/>
    </w:r>
    <w:r w:rsidRPr="00F40CBC">
      <w:tab/>
      <w:t>PE</w:t>
    </w:r>
    <w:r w:rsidRPr="00BB5DE9">
      <w:rPr>
        <w:rStyle w:val="HideTWBExt"/>
      </w:rPr>
      <w:t>&lt;NoPE&gt;</w:t>
    </w:r>
    <w:r w:rsidRPr="00F40CBC">
      <w:t>791.038</w:t>
    </w:r>
    <w:r w:rsidRPr="00BB5DE9">
      <w:rPr>
        <w:rStyle w:val="HideTWBExt"/>
      </w:rPr>
      <w:t>&lt;/NoPE&gt;&lt;Version&gt;</w:t>
    </w:r>
    <w:r w:rsidRPr="00F40CBC">
      <w:t>v02-00</w:t>
    </w:r>
    <w:r w:rsidRPr="00BB5DE9">
      <w:rPr>
        <w:rStyle w:val="HideTWBExt"/>
      </w:rPr>
      <w:t>&lt;/Version&gt;</w:t>
    </w:r>
  </w:p>
  <w:p w:rsidR="00AE735B" w:rsidRPr="00F40CBC" w:rsidP="00B7346B" w14:paraId="435BF0B3" w14:textId="77777777">
    <w:pPr>
      <w:pStyle w:val="EPFooter2"/>
    </w:pPr>
    <w:r w:rsidRPr="00F40CBC">
      <w:t>IT</w:t>
    </w:r>
    <w:r w:rsidRPr="00F40CBC">
      <w:tab/>
    </w:r>
    <w:r w:rsidRPr="00F40CBC">
      <w:rPr>
        <w:b w:val="0"/>
        <w:i/>
        <w:color w:val="C0C0C0"/>
        <w:sz w:val="22"/>
      </w:rPr>
      <w:t>Unita nella diversità</w:t>
    </w:r>
    <w:r w:rsidRPr="00F40CBC">
      <w:tab/>
      <w:t>IT</w:t>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AE735B" w:rsidRPr="00F40CBC" w:rsidP="00C548D4" w14:paraId="2C7376DA" w14:textId="77777777">
    <w:pPr>
      <w:pStyle w:val="EPFooter"/>
    </w:pPr>
    <w:r w:rsidRPr="00BB5DE9">
      <w:rPr>
        <w:rStyle w:val="HideTWBExt"/>
      </w:rPr>
      <w:t>&lt;PathFdR&gt;</w:t>
    </w:r>
    <w:r w:rsidRPr="00F40CBC">
      <w:t>AD\1351340IT.docx</w:t>
    </w:r>
    <w:r w:rsidRPr="00BB5DE9">
      <w:rPr>
        <w:rStyle w:val="HideTWBExt"/>
      </w:rPr>
      <w:t>&lt;/PathFdR&gt;</w:t>
    </w:r>
    <w:r w:rsidRPr="00F40CBC">
      <w:tab/>
    </w:r>
    <w:r w:rsidRPr="00F40CBC">
      <w:tab/>
      <w:t>PE</w:t>
    </w:r>
    <w:r w:rsidRPr="00BB5DE9">
      <w:rPr>
        <w:rStyle w:val="HideTWBExt"/>
      </w:rPr>
      <w:t>&lt;NoPE&gt;</w:t>
    </w:r>
    <w:r w:rsidRPr="00F40CBC">
      <w:t>791.038</w:t>
    </w:r>
    <w:r w:rsidRPr="00BB5DE9">
      <w:rPr>
        <w:rStyle w:val="HideTWBExt"/>
      </w:rPr>
      <w:t>&lt;/NoPE&gt;&lt;Version&gt;</w:t>
    </w:r>
    <w:r w:rsidRPr="00F40CBC">
      <w:t>v02-00</w:t>
    </w:r>
    <w:r w:rsidRPr="00BB5DE9">
      <w:rPr>
        <w:rStyle w:val="HideTWBExt"/>
      </w:rPr>
      <w:t>&lt;/Version&gt;</w:t>
    </w:r>
  </w:p>
  <w:p w:rsidR="00AE735B" w:rsidRPr="00F40CBC" w:rsidP="00C548D4" w14:paraId="64A34EE0" w14:textId="77777777">
    <w:pPr>
      <w:pStyle w:val="EPFooter2"/>
    </w:pPr>
    <w:r w:rsidRPr="00F40CBC">
      <w:t>IT</w:t>
    </w:r>
    <w:r w:rsidRPr="00F40CBC">
      <w:tab/>
    </w:r>
    <w:r w:rsidRPr="00F40CBC">
      <w:rPr>
        <w:b w:val="0"/>
        <w:i/>
        <w:color w:val="C0C0C0"/>
        <w:sz w:val="22"/>
      </w:rPr>
      <w:t>Unita nella diversità</w:t>
    </w:r>
    <w:r w:rsidRPr="00F40CBC">
      <w:tab/>
      <w:t>IT</w:t>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AE735B" w:rsidRPr="00F40CBC" w:rsidP="00836FA9" w14:paraId="1DF8BC1C" w14:textId="77777777">
    <w:pPr>
      <w:pStyle w:val="EPFooter"/>
    </w:pPr>
    <w:r w:rsidRPr="00BB5DE9">
      <w:rPr>
        <w:rStyle w:val="HideTWBExt"/>
      </w:rPr>
      <w:t>&lt;PathFdR&gt;</w:t>
    </w:r>
    <w:r w:rsidRPr="00F40CBC">
      <w:t>AD\1350527IT.docx</w:t>
    </w:r>
    <w:r w:rsidRPr="00BB5DE9">
      <w:rPr>
        <w:rStyle w:val="HideTWBExt"/>
      </w:rPr>
      <w:t>&lt;/PathFdR&gt;</w:t>
    </w:r>
    <w:r w:rsidRPr="00F40CBC">
      <w:tab/>
    </w:r>
    <w:r w:rsidRPr="00F40CBC">
      <w:tab/>
      <w:t>PE</w:t>
    </w:r>
    <w:r w:rsidRPr="00BB5DE9">
      <w:rPr>
        <w:rStyle w:val="HideTWBExt"/>
      </w:rPr>
      <w:t>&lt;NoPE&gt;</w:t>
    </w:r>
    <w:r w:rsidRPr="00F40CBC">
      <w:t>789.930</w:t>
    </w:r>
    <w:r w:rsidRPr="00BB5DE9">
      <w:rPr>
        <w:rStyle w:val="HideTWBExt"/>
      </w:rPr>
      <w:t>&lt;/NoPE&gt;&lt;Version&gt;</w:t>
    </w:r>
    <w:r w:rsidRPr="00F40CBC">
      <w:t>v03-00</w:t>
    </w:r>
    <w:r w:rsidRPr="00BB5DE9">
      <w:rPr>
        <w:rStyle w:val="HideTWBExt"/>
      </w:rPr>
      <w:t>&lt;/Version&gt;</w:t>
    </w:r>
  </w:p>
  <w:p w:rsidR="00AE735B" w:rsidRPr="00F40CBC" w:rsidP="00836FA9" w14:paraId="6A5533D1" w14:textId="77777777">
    <w:pPr>
      <w:pStyle w:val="EPFooter2"/>
    </w:pPr>
    <w:r w:rsidRPr="00F40CBC">
      <w:t>IT</w:t>
    </w:r>
    <w:r w:rsidRPr="00F40CBC">
      <w:tab/>
    </w:r>
    <w:r w:rsidRPr="00F40CBC">
      <w:rPr>
        <w:b w:val="0"/>
        <w:i/>
        <w:color w:val="C0C0C0"/>
        <w:sz w:val="22"/>
      </w:rPr>
      <w:t>Unita nella diversità</w:t>
    </w:r>
    <w:r w:rsidRPr="00F40CBC">
      <w:tab/>
      <w:t>IT</w:t>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AE735B" w:rsidRPr="00F40CBC" w:rsidP="004260DF" w14:paraId="715BFC0E" w14:textId="77777777">
    <w:pPr>
      <w:pStyle w:val="EPFooter"/>
    </w:pPr>
    <w:r w:rsidRPr="00BB5DE9">
      <w:rPr>
        <w:rStyle w:val="HideTWBExt"/>
      </w:rPr>
      <w:t>&lt;PathFdR&gt;</w:t>
    </w:r>
    <w:r w:rsidRPr="00F40CBC">
      <w:t>AL\1348611IT.docx</w:t>
    </w:r>
    <w:r w:rsidRPr="00BB5DE9">
      <w:rPr>
        <w:rStyle w:val="HideTWBExt"/>
      </w:rPr>
      <w:t>&lt;/PathFdR&gt;</w:t>
    </w:r>
    <w:r w:rsidRPr="00F40CBC">
      <w:tab/>
    </w:r>
    <w:r w:rsidRPr="00F40CBC">
      <w:tab/>
      <w:t>PE</w:t>
    </w:r>
    <w:r w:rsidRPr="00BB5DE9">
      <w:rPr>
        <w:rStyle w:val="HideTWBExt"/>
      </w:rPr>
      <w:t>&lt;NoPE&gt;</w:t>
    </w:r>
    <w:r w:rsidRPr="00F40CBC">
      <w:t>790.056</w:t>
    </w:r>
    <w:r w:rsidRPr="00BB5DE9">
      <w:rPr>
        <w:rStyle w:val="HideTWBExt"/>
      </w:rPr>
      <w:t>&lt;/NoPE&gt;&lt;Version&gt;</w:t>
    </w:r>
    <w:r w:rsidRPr="00F40CBC">
      <w:t>v01-00</w:t>
    </w:r>
    <w:r w:rsidRPr="00BB5DE9">
      <w:rPr>
        <w:rStyle w:val="HideTWBExt"/>
      </w:rPr>
      <w:t>&lt;/Version&gt;</w:t>
    </w:r>
  </w:p>
  <w:p w:rsidR="00AE735B" w:rsidRPr="00F40CBC" w:rsidP="004260DF" w14:paraId="70E1A3F0" w14:textId="77777777">
    <w:pPr>
      <w:pStyle w:val="EPFooter2"/>
    </w:pPr>
    <w:r w:rsidRPr="00F40CBC">
      <w:t>IT</w:t>
    </w:r>
    <w:r w:rsidRPr="00F40CBC">
      <w:tab/>
    </w:r>
    <w:r w:rsidRPr="00F40CBC">
      <w:rPr>
        <w:b w:val="0"/>
        <w:i/>
        <w:color w:val="C0C0C0"/>
        <w:sz w:val="22"/>
      </w:rPr>
      <w:t>Unita nella diversità</w:t>
    </w:r>
    <w:r w:rsidRPr="00F40CBC">
      <w:tab/>
      <w:t>IT</w:t>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AE735B" w:rsidRPr="00F40CBC" w:rsidP="00E56898" w14:paraId="0BA6E7DF" w14:textId="77777777">
    <w:pPr>
      <w:pStyle w:val="EPFooter"/>
    </w:pPr>
    <w:r w:rsidRPr="00BB5DE9">
      <w:rPr>
        <w:rStyle w:val="HideTWBExt"/>
      </w:rPr>
      <w:t>&lt;PathFdR&gt;</w:t>
    </w:r>
    <w:r w:rsidRPr="00F40CBC">
      <w:t>AL\1350047IT.docx</w:t>
    </w:r>
    <w:r w:rsidRPr="00BB5DE9">
      <w:rPr>
        <w:rStyle w:val="HideTWBExt"/>
      </w:rPr>
      <w:t>&lt;/PathFdR&gt;</w:t>
    </w:r>
    <w:r w:rsidRPr="00F40CBC">
      <w:tab/>
    </w:r>
    <w:r w:rsidRPr="00F40CBC">
      <w:tab/>
      <w:t>PE</w:t>
    </w:r>
    <w:r w:rsidRPr="00BB5DE9">
      <w:rPr>
        <w:rStyle w:val="HideTWBExt"/>
      </w:rPr>
      <w:t>&lt;NoPE&gt;</w:t>
    </w:r>
    <w:r w:rsidRPr="00F40CBC">
      <w:t>792.064</w:t>
    </w:r>
    <w:r w:rsidRPr="00BB5DE9">
      <w:rPr>
        <w:rStyle w:val="HideTWBExt"/>
      </w:rPr>
      <w:t>&lt;/NoPE&gt;&lt;Version&gt;</w:t>
    </w:r>
    <w:r w:rsidRPr="00F40CBC">
      <w:t>v01-00</w:t>
    </w:r>
    <w:r w:rsidRPr="00BB5DE9">
      <w:rPr>
        <w:rStyle w:val="HideTWBExt"/>
      </w:rPr>
      <w:t>&lt;/Version&gt;</w:t>
    </w:r>
  </w:p>
  <w:p w:rsidR="00AE735B" w:rsidRPr="00F40CBC" w:rsidP="00000C7D" w14:paraId="1D1A01FF" w14:textId="233FE6C7">
    <w:pPr>
      <w:pStyle w:val="EPFooter2"/>
      <w:tabs>
        <w:tab w:val="clear" w:pos="4535"/>
        <w:tab w:val="center" w:pos="4536"/>
      </w:tabs>
    </w:pPr>
    <w:r>
      <w:fldChar w:fldCharType="begin"/>
    </w:r>
    <w:r>
      <w:instrText xml:space="preserve"> DOCPROPERTY "&lt;Extension&gt;" </w:instrText>
    </w:r>
    <w:r>
      <w:fldChar w:fldCharType="separate"/>
    </w:r>
    <w:r w:rsidR="00BB5DE9">
      <w:t>IT</w:t>
    </w:r>
    <w:r w:rsidR="00BB5DE9">
      <w:fldChar w:fldCharType="end"/>
    </w:r>
    <w:r w:rsidRPr="00F40CBC">
      <w:tab/>
    </w:r>
    <w:r w:rsidRPr="00F40CBC">
      <w:rPr>
        <w:b w:val="0"/>
        <w:i/>
        <w:color w:val="C0C0C0"/>
        <w:sz w:val="22"/>
        <w:szCs w:val="22"/>
      </w:rPr>
      <w:t>Unita nella diversità</w:t>
    </w:r>
    <w:r w:rsidRPr="00F40CBC">
      <w:tab/>
    </w:r>
    <w:r>
      <w:fldChar w:fldCharType="begin"/>
    </w:r>
    <w:r>
      <w:instrText xml:space="preserve"> DOCPROPERTY "&lt;Extension&gt;" </w:instrText>
    </w:r>
    <w:r>
      <w:fldChar w:fldCharType="separate"/>
    </w:r>
    <w:r w:rsidR="00BB5DE9">
      <w:t>IT</w:t>
    </w:r>
    <w:r w:rsidR="00BB5DE9">
      <w:fldChar w:fldCharType="end"/>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AE735B" w:rsidRPr="00F40CBC" w:rsidP="00C72729" w14:paraId="2E365765" w14:textId="77777777">
    <w:pPr>
      <w:pStyle w:val="EPFooter"/>
    </w:pPr>
    <w:r w:rsidRPr="00BB5DE9">
      <w:rPr>
        <w:rStyle w:val="HideTWBExt"/>
      </w:rPr>
      <w:t>&lt;PathFdR&gt;</w:t>
    </w:r>
    <w:r w:rsidRPr="00F40CBC">
      <w:t>AL\1348950IT.docx</w:t>
    </w:r>
    <w:r w:rsidRPr="00BB5DE9">
      <w:rPr>
        <w:rStyle w:val="HideTWBExt"/>
      </w:rPr>
      <w:t>&lt;/PathFdR&gt;</w:t>
    </w:r>
    <w:r w:rsidRPr="00F40CBC">
      <w:tab/>
    </w:r>
    <w:r w:rsidRPr="00F40CBC">
      <w:tab/>
      <w:t>PE</w:t>
    </w:r>
    <w:r w:rsidRPr="00BB5DE9">
      <w:rPr>
        <w:rStyle w:val="HideTWBExt"/>
      </w:rPr>
      <w:t>&lt;NoPE&gt;</w:t>
    </w:r>
    <w:r w:rsidRPr="00F40CBC">
      <w:t>790.163</w:t>
    </w:r>
    <w:r w:rsidRPr="00BB5DE9">
      <w:rPr>
        <w:rStyle w:val="HideTWBExt"/>
      </w:rPr>
      <w:t>&lt;/NoPE&gt;&lt;Version&gt;</w:t>
    </w:r>
    <w:r w:rsidRPr="00F40CBC">
      <w:t>v02-00</w:t>
    </w:r>
    <w:r w:rsidRPr="00BB5DE9">
      <w:rPr>
        <w:rStyle w:val="HideTWBExt"/>
      </w:rPr>
      <w:t>&lt;/Version&gt;</w:t>
    </w:r>
  </w:p>
  <w:p w:rsidR="00AE735B" w:rsidRPr="00F40CBC" w:rsidP="00C72729" w14:paraId="75C3877E" w14:textId="77777777">
    <w:pPr>
      <w:pStyle w:val="EPFooter2"/>
    </w:pPr>
    <w:r w:rsidRPr="00F40CBC">
      <w:t>IT</w:t>
    </w:r>
    <w:r w:rsidRPr="00F40CBC">
      <w:tab/>
    </w:r>
    <w:r w:rsidRPr="00F40CBC">
      <w:rPr>
        <w:b w:val="0"/>
        <w:i/>
        <w:color w:val="C0C0C0"/>
        <w:sz w:val="22"/>
      </w:rPr>
      <w:t>Unita nella diversità</w:t>
    </w:r>
    <w:r w:rsidRPr="00F40CBC">
      <w:tab/>
      <w:t>IT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footnote w:type="separator" w:id="0">
    <w:p w:rsidR="000E5AC5" w:rsidRPr="00F40CBC" w14:paraId="7054EFA7" w14:textId="77777777">
      <w:pPr>
        <w:pStyle w:val="FootnoteText"/>
      </w:pPr>
      <w:r w:rsidRPr="00F40CBC">
        <w:separator/>
      </w:r>
    </w:p>
  </w:footnote>
  <w:footnote w:type="continuationSeparator" w:id="1">
    <w:p w:rsidR="000E5AC5" w:rsidRPr="00F40CBC" w14:paraId="54167C6B" w14:textId="77777777">
      <w:r w:rsidRPr="00F40CBC">
        <w:continuationSeparator/>
      </w:r>
    </w:p>
  </w:footnote>
  <w:footnote w:id="2">
    <w:p w:rsidR="00AB16C1" w:rsidRPr="00F40CBC" w:rsidP="00AB16C1" w14:paraId="0E934822" w14:textId="2FA5CCF3">
      <w:pPr>
        <w:pStyle w:val="FootnoteText"/>
      </w:pPr>
      <w:r w:rsidRPr="00F40CBC">
        <w:rPr>
          <w:rStyle w:val="FootnoteReference"/>
        </w:rPr>
        <w:footnoteRef/>
      </w:r>
      <w:r w:rsidRPr="00F40CBC">
        <w:t xml:space="preserve"> GU L 424 del 15.12.2020, pag. 1, ELI: </w:t>
      </w:r>
      <w:hyperlink r:id="rId1" w:tooltip="Accesso al documento tramite l'URI dell'ELI." w:history="1">
        <w:r w:rsidRPr="00F40CBC">
          <w:rPr>
            <w:rStyle w:val="Hyperlink"/>
          </w:rPr>
          <w:t>http://data.europa.eu/eli/dec/2020/2053/oj</w:t>
        </w:r>
      </w:hyperlink>
      <w:r w:rsidRPr="00F40CBC">
        <w:t>.</w:t>
      </w:r>
    </w:p>
  </w:footnote>
  <w:footnote w:id="3">
    <w:p w:rsidR="00AB16C1" w:rsidRPr="00F40CBC" w:rsidP="00AB16C1" w14:paraId="434305F6" w14:textId="77777777">
      <w:pPr>
        <w:pStyle w:val="FootnoteText"/>
      </w:pPr>
      <w:r w:rsidRPr="00F40CBC">
        <w:rPr>
          <w:rStyle w:val="FootnoteReference"/>
        </w:rPr>
        <w:footnoteRef/>
      </w:r>
      <w:r w:rsidRPr="00F40CBC">
        <w:t xml:space="preserve"> GU C 167 dell'11.5.2023, pag. 162.</w:t>
      </w:r>
    </w:p>
  </w:footnote>
  <w:footnote w:id="4">
    <w:p w:rsidR="00AB16C1" w:rsidRPr="00F40CBC" w:rsidP="00AB16C1" w14:paraId="7D487E63" w14:textId="4C96C196">
      <w:pPr>
        <w:pStyle w:val="FootnoteText"/>
      </w:pPr>
      <w:r w:rsidRPr="00F40CBC">
        <w:rPr>
          <w:rStyle w:val="FootnoteReference"/>
        </w:rPr>
        <w:footnoteRef/>
      </w:r>
      <w:r w:rsidRPr="00F40CBC">
        <w:t xml:space="preserve"> GU L, 2024/2509, 26.9.2024, ELI: </w:t>
      </w:r>
      <w:hyperlink r:id="rId2" w:history="1">
        <w:r w:rsidRPr="00F40CBC">
          <w:rPr>
            <w:rStyle w:val="Hyperlink"/>
          </w:rPr>
          <w:t>http://data.europa.eu/eli/reg/2024/2509/oj</w:t>
        </w:r>
      </w:hyperlink>
      <w:r w:rsidRPr="00F40CBC">
        <w:t>.</w:t>
      </w:r>
    </w:p>
  </w:footnote>
  <w:footnote w:id="5">
    <w:p w:rsidR="00AB16C1" w:rsidRPr="00F40CBC" w:rsidP="00AB16C1" w14:paraId="61259BDE" w14:textId="2189CF57">
      <w:pPr>
        <w:pStyle w:val="FootnoteText"/>
        <w:ind w:left="567" w:hanging="567"/>
      </w:pPr>
      <w:r w:rsidRPr="00F40CBC">
        <w:rPr>
          <w:rStyle w:val="FootnoteReference"/>
          <w:rFonts w:eastAsiaTheme="majorEastAsia"/>
        </w:rPr>
        <w:footnoteRef/>
      </w:r>
      <w:r w:rsidRPr="00F40CBC">
        <w:rPr>
          <w:rStyle w:val="FootnoteReference"/>
        </w:rPr>
        <w:t xml:space="preserve"> </w:t>
      </w:r>
      <w:r w:rsidRPr="00F40CBC">
        <w:t>GU L 433I del 22.12.2020, pag. 11, ELI: </w:t>
      </w:r>
      <w:hyperlink r:id="rId3" w:tooltip="Accesso al documento tramite l'URI dell'ELI." w:history="1">
        <w:r w:rsidRPr="00F40CBC">
          <w:rPr>
            <w:rStyle w:val="Hyperlink"/>
          </w:rPr>
          <w:t>http://data.europa.eu/eli/reg/2020/2093/oj</w:t>
        </w:r>
      </w:hyperlink>
      <w:r w:rsidRPr="00F40CBC">
        <w:t>.</w:t>
      </w:r>
    </w:p>
  </w:footnote>
  <w:footnote w:id="6">
    <w:p w:rsidR="00AB16C1" w:rsidRPr="00F40CBC" w:rsidP="00AB16C1" w14:paraId="7AD96FE2" w14:textId="77777777">
      <w:pPr>
        <w:pStyle w:val="FootnoteText"/>
        <w:ind w:left="567" w:hanging="567"/>
      </w:pPr>
      <w:r w:rsidRPr="00F40CBC">
        <w:rPr>
          <w:rStyle w:val="FootnoteReference"/>
          <w:rFonts w:eastAsiaTheme="majorEastAsia"/>
        </w:rPr>
        <w:footnoteRef/>
      </w:r>
      <w:r w:rsidRPr="00F40CBC">
        <w:rPr>
          <w:rStyle w:val="FootnoteReference"/>
        </w:rPr>
        <w:t xml:space="preserve"> </w:t>
      </w:r>
      <w:r w:rsidRPr="00F40CBC">
        <w:t>GU C 444I del 22.12.2020, pag. 4.</w:t>
      </w:r>
    </w:p>
  </w:footnote>
  <w:footnote w:id="7">
    <w:p w:rsidR="00AB16C1" w:rsidRPr="00F40CBC" w:rsidP="00AB16C1" w14:paraId="02A621F3" w14:textId="77777777">
      <w:pPr>
        <w:pStyle w:val="FootnoteText"/>
        <w:ind w:left="567" w:hanging="567"/>
      </w:pPr>
      <w:r w:rsidRPr="00F40CBC">
        <w:rPr>
          <w:rStyle w:val="FootnoteReference"/>
          <w:rFonts w:eastAsiaTheme="majorEastAsia"/>
        </w:rPr>
        <w:footnoteRef/>
      </w:r>
      <w:r w:rsidRPr="00F40CBC">
        <w:rPr>
          <w:rStyle w:val="FootnoteReference"/>
        </w:rPr>
        <w:t xml:space="preserve"> </w:t>
      </w:r>
      <w:r w:rsidRPr="00F40CBC">
        <w:t>GU C 445 del 29.10.2021, pag. 252.</w:t>
      </w:r>
    </w:p>
  </w:footnote>
  <w:footnote w:id="8">
    <w:p w:rsidR="00AB16C1" w:rsidRPr="00F40CBC" w:rsidP="00AB16C1" w14:paraId="3A7109AC" w14:textId="4BEDEB3D">
      <w:pPr>
        <w:pStyle w:val="FootnoteText"/>
        <w:ind w:left="567" w:hanging="567"/>
      </w:pPr>
      <w:r w:rsidRPr="00F40CBC">
        <w:rPr>
          <w:rStyle w:val="FootnoteReference"/>
          <w:rFonts w:eastAsiaTheme="majorEastAsia"/>
        </w:rPr>
        <w:footnoteRef/>
      </w:r>
      <w:r w:rsidRPr="00F40CBC">
        <w:rPr>
          <w:rStyle w:val="FootnoteReference"/>
        </w:rPr>
        <w:t xml:space="preserve"> </w:t>
      </w:r>
      <w:r w:rsidRPr="00F40CBC">
        <w:t>GU L 325 del 20.12.2022, pag. 11, ELI: </w:t>
      </w:r>
      <w:hyperlink r:id="rId4" w:tooltip="Accesso al documento tramite l'URI dell'ELI." w:history="1">
        <w:r w:rsidRPr="00F40CBC">
          <w:rPr>
            <w:rStyle w:val="Hyperlink"/>
          </w:rPr>
          <w:t>http://data.europa.eu/eli/reg/2022/2496/oj</w:t>
        </w:r>
      </w:hyperlink>
      <w:r w:rsidRPr="00F40CBC">
        <w:t>.</w:t>
      </w:r>
    </w:p>
  </w:footnote>
  <w:footnote w:id="9">
    <w:p w:rsidR="00AB16C1" w:rsidRPr="00F40CBC" w:rsidP="00AB16C1" w14:paraId="1D8CCD47" w14:textId="4D305003">
      <w:pPr>
        <w:pStyle w:val="FootnoteText"/>
      </w:pPr>
      <w:r w:rsidRPr="00F40CBC">
        <w:rPr>
          <w:rStyle w:val="FootnoteReference"/>
        </w:rPr>
        <w:footnoteRef/>
      </w:r>
      <w:r w:rsidRPr="00F40CBC">
        <w:t xml:space="preserve"> GU L, 2024/765, 29.2.2024, ELI: </w:t>
      </w:r>
      <w:hyperlink r:id="rId5" w:history="1">
        <w:r w:rsidRPr="00F40CBC">
          <w:rPr>
            <w:rStyle w:val="Hyperlink"/>
          </w:rPr>
          <w:t>http://data.europa.eu/eli/reg/2024/765/oj</w:t>
        </w:r>
      </w:hyperlink>
      <w:r w:rsidRPr="00F40CBC">
        <w:t>.</w:t>
      </w:r>
    </w:p>
  </w:footnote>
  <w:footnote w:id="10">
    <w:p w:rsidR="00AB16C1" w:rsidRPr="00F40CBC" w:rsidP="00AB16C1" w14:paraId="3DABD357" w14:textId="5CA5669B">
      <w:pPr>
        <w:pStyle w:val="FootnoteText"/>
      </w:pPr>
      <w:r w:rsidRPr="00F40CBC">
        <w:rPr>
          <w:rStyle w:val="FootnoteReference"/>
        </w:rPr>
        <w:footnoteRef/>
      </w:r>
      <w:r w:rsidRPr="00F40CBC">
        <w:t xml:space="preserve"> GU L, 2026/469, 23.4.2026, ELI: </w:t>
      </w:r>
      <w:hyperlink r:id="rId6" w:history="1">
        <w:r w:rsidRPr="00F40CBC">
          <w:rPr>
            <w:rStyle w:val="Hyperlink"/>
          </w:rPr>
          <w:t>https://eur-lex.europa.eu/eli/reg/2026/469/oj</w:t>
        </w:r>
      </w:hyperlink>
      <w:r w:rsidRPr="00F40CBC">
        <w:t>.</w:t>
      </w:r>
    </w:p>
  </w:footnote>
  <w:footnote w:id="11">
    <w:p w:rsidR="00AB16C1" w:rsidRPr="00F40CBC" w:rsidP="00AB16C1" w14:paraId="03D79371" w14:textId="499837B7">
      <w:pPr>
        <w:pStyle w:val="FootnoteText"/>
      </w:pPr>
      <w:r w:rsidRPr="00F40CBC">
        <w:rPr>
          <w:rStyle w:val="FootnoteReference"/>
        </w:rPr>
        <w:footnoteRef/>
      </w:r>
      <w:r w:rsidRPr="00F40CBC">
        <w:t xml:space="preserve"> GU L 433I del 22.12.2020, pag. 28, ELI: </w:t>
      </w:r>
      <w:hyperlink r:id="rId7" w:history="1">
        <w:r w:rsidRPr="00F40CBC">
          <w:rPr>
            <w:rStyle w:val="Hyperlink"/>
          </w:rPr>
          <w:t>http://data.europa.eu/eli/agree_interinstit/2020/1222/oj</w:t>
        </w:r>
      </w:hyperlink>
      <w:r w:rsidRPr="00F40CBC">
        <w:t>.</w:t>
      </w:r>
    </w:p>
  </w:footnote>
  <w:footnote w:id="12">
    <w:p w:rsidR="00AB16C1" w:rsidRPr="00F40CBC" w:rsidP="00AB16C1" w14:paraId="003FF992" w14:textId="77777777">
      <w:pPr>
        <w:pStyle w:val="FootnoteText"/>
      </w:pPr>
      <w:r w:rsidRPr="00F40CBC">
        <w:rPr>
          <w:rStyle w:val="FootnoteReference"/>
        </w:rPr>
        <w:footnoteRef/>
      </w:r>
      <w:r w:rsidRPr="00F40CBC">
        <w:t xml:space="preserve"> Testi approvati, P10_TA(2026)0112.</w:t>
      </w:r>
    </w:p>
  </w:footnote>
  <w:footnote w:id="13">
    <w:p w:rsidR="00AB16C1" w:rsidRPr="00F40CBC" w:rsidP="00AB16C1" w14:paraId="31560D43" w14:textId="77777777">
      <w:pPr>
        <w:pStyle w:val="FootnoteText"/>
      </w:pPr>
      <w:r w:rsidRPr="00F40CBC">
        <w:rPr>
          <w:rStyle w:val="FootnoteReference"/>
        </w:rPr>
        <w:footnoteRef/>
      </w:r>
      <w:r w:rsidRPr="00F40CBC">
        <w:t xml:space="preserve"> Testi approvati, P10_TA(2026)0155.</w:t>
      </w:r>
    </w:p>
  </w:footnote>
  <w:footnote w:id="14">
    <w:p w:rsidR="00AB16C1" w:rsidRPr="00F40CBC" w:rsidP="00AB16C1" w14:paraId="4D479829" w14:textId="77777777">
      <w:pPr>
        <w:pStyle w:val="FootnoteText"/>
      </w:pPr>
      <w:r w:rsidRPr="00F40CBC">
        <w:rPr>
          <w:rStyle w:val="FootnoteReference"/>
        </w:rPr>
        <w:footnoteRef/>
      </w:r>
      <w:r w:rsidRPr="00F40CBC">
        <w:t xml:space="preserve"> Cause riunite da T-620/23 a T-1023/23 e causa T-483/24.</w:t>
      </w:r>
    </w:p>
  </w:footnote>
  <w:footnote w:id="15">
    <w:p w:rsidR="00484767" w:rsidRPr="00F40CBC" w14:paraId="74208854" w14:textId="230F118D">
      <w:pPr>
        <w:pStyle w:val="FootnoteText"/>
      </w:pPr>
      <w:r w:rsidRPr="00F40CBC">
        <w:rPr>
          <w:rStyle w:val="FootnoteReference"/>
        </w:rPr>
        <w:footnoteRef/>
      </w:r>
      <w:r w:rsidRPr="00F40CBC">
        <w:t xml:space="preserve"> Accordo interistituzionale del 20 maggio 2021 tra il Parlamento europeo, il Consiglio dell'Unione europea e la Commissione europea su un registro per la trasparenza obbligatorio (GU L 207 dell'11.6.2021, pag. 1, ELI: </w:t>
      </w:r>
      <w:hyperlink r:id="rId8" w:tooltip="http://data.europa.eu/eli/agree_interinstit/2021/611/oj" w:history="1">
        <w:r w:rsidRPr="00F40CBC">
          <w:rPr>
            <w:rStyle w:val="Hyperlink"/>
          </w:rPr>
          <w:t>http://data.europa.eu/eli/agree_interinstit/2021/611/oj</w:t>
        </w:r>
      </w:hyperlink>
      <w:r w:rsidRPr="00F40CBC">
        <w:t>).</w:t>
      </w:r>
    </w:p>
  </w:footnote>
  <w:footnote w:id="16">
    <w:p w:rsidR="00484767" w:rsidRPr="00F40CBC" w14:paraId="42845806" w14:textId="560DCADD">
      <w:pPr>
        <w:pStyle w:val="FootnoteText"/>
      </w:pPr>
      <w:r w:rsidRPr="00F40CBC">
        <w:rPr>
          <w:rStyle w:val="FootnoteReference"/>
        </w:rPr>
        <w:footnoteRef/>
      </w:r>
      <w:r w:rsidRPr="00F40CBC">
        <w:t xml:space="preserve"> Accordo interistituzionale del 20 maggio 2021 tra il Parlamento europeo, il Consiglio dell'Unione europea e la Commissione europea su un registro per la trasparenza obbligatorio (GU L 207 dell'11.6.2021, pag. 1, ELI: </w:t>
      </w:r>
      <w:hyperlink r:id="rId8" w:tooltip="http://data.europa.eu/eli/agree_interinstit/2021/611/oj" w:history="1">
        <w:r w:rsidRPr="00F40CBC">
          <w:rPr>
            <w:rStyle w:val="Hyperlink"/>
          </w:rPr>
          <w:t>http://data.europa.eu/eli/agree_interinstit/2021/611/oj</w:t>
        </w:r>
      </w:hyperlink>
      <w:r w:rsidRPr="00F40CBC">
        <w:t>).</w:t>
      </w:r>
    </w:p>
  </w:footnote>
  <w:footnote w:id="17">
    <w:p w:rsidR="00AE735B" w:rsidRPr="00F40CBC" w14:paraId="1D917473" w14:textId="4513F212">
      <w:pPr>
        <w:pStyle w:val="FootnoteText"/>
      </w:pPr>
      <w:r w:rsidRPr="00F40CBC">
        <w:rPr>
          <w:rStyle w:val="FootnoteReference"/>
        </w:rPr>
        <w:footnoteRef/>
      </w:r>
      <w:r w:rsidRPr="00F40CBC">
        <w:t xml:space="preserve"> Accordo interistituzionale del 20 maggio 2021 tra il Parlamento europeo, il Consiglio dell'Unione europea e la Commissione europea su un registro per la trasparenza obbligatorio (GU L 207 dell'11.6.2021, pag. 1, ELI: </w:t>
      </w:r>
      <w:hyperlink r:id="rId8" w:tooltip="http://data.europa.eu/eli/agree_interinstit/2021/611/oj" w:history="1">
        <w:r w:rsidRPr="00F40CBC">
          <w:rPr>
            <w:rStyle w:val="Hyperlink"/>
          </w:rPr>
          <w:t>http://data.europa.eu/eli/agree_interinstit/2021/611/oj</w:t>
        </w:r>
      </w:hyperlink>
      <w:r w:rsidRPr="00F40CBC">
        <w:t>).</w:t>
      </w:r>
    </w:p>
  </w:footnote>
  <w:footnote w:id="18">
    <w:p w:rsidR="00AE735B" w:rsidRPr="00F40CBC" w:rsidP="00E53F3C" w14:paraId="54FA13A1" w14:textId="77777777">
      <w:pPr>
        <w:pStyle w:val="FootnoteText"/>
      </w:pPr>
      <w:r w:rsidRPr="00F40CBC">
        <w:rPr>
          <w:rStyle w:val="FootnoteReference"/>
        </w:rPr>
        <w:footnoteRef/>
      </w:r>
      <w:r w:rsidRPr="00F40CBC">
        <w:t xml:space="preserve"> https://www.oecd.org/en/publications/cuts-in-official-development-assistance_8c530629-en/full-report.html.</w:t>
      </w:r>
    </w:p>
  </w:footnote>
  <w:footnote w:id="19">
    <w:p w:rsidR="00AE735B" w:rsidRPr="00F40CBC" w:rsidP="00B13458" w14:paraId="18CFDBEF" w14:textId="333A1AA7">
      <w:pPr>
        <w:pStyle w:val="FootnoteText"/>
      </w:pPr>
      <w:r w:rsidRPr="00F40CBC">
        <w:rPr>
          <w:rStyle w:val="FootnoteReference"/>
          <w:vertAlign w:val="baseline"/>
        </w:rPr>
        <w:footnoteRef/>
      </w:r>
      <w:r w:rsidRPr="00F40CBC">
        <w:t xml:space="preserve"> </w:t>
      </w:r>
      <w:hyperlink r:id="rId9" w:history="1">
        <w:r w:rsidRPr="00F40CBC">
          <w:rPr>
            <w:rStyle w:val="Hyperlink"/>
            <w:u w:val="none"/>
          </w:rPr>
          <w:t>Centro comune di ricerca (JRC) della Commissione europea</w:t>
        </w:r>
      </w:hyperlink>
      <w:r w:rsidRPr="00F40CBC">
        <w:t xml:space="preserve">, </w:t>
      </w:r>
      <w:hyperlink r:id="rId9" w:history="1">
        <w:r w:rsidRPr="00F40CBC">
          <w:rPr>
            <w:rStyle w:val="Hyperlink"/>
            <w:u w:val="none"/>
          </w:rPr>
          <w:t>From forecast to risk:</w:t>
        </w:r>
      </w:hyperlink>
      <w:hyperlink r:id="rId9" w:history="1">
        <w:r w:rsidRPr="00F40CBC">
          <w:rPr>
            <w:rStyle w:val="Hyperlink"/>
            <w:u w:val="none"/>
          </w:rPr>
          <w:t xml:space="preserve"> an anticipatory analysis of the 2026-27 El Niño</w:t>
        </w:r>
      </w:hyperlink>
      <w:r w:rsidRPr="00F40CBC">
        <w:t>" (Dalle previsioni al rischio: un'analisi preventiva del fenomeno El Niño nel periodo 2026-27).</w:t>
      </w:r>
    </w:p>
  </w:footnote>
  <w:footnote w:id="20">
    <w:p w:rsidR="00AE735B" w:rsidRPr="00F40CBC" w:rsidP="004C50D7" w14:paraId="79352E7F" w14:textId="1AB3D9BF">
      <w:pPr>
        <w:pStyle w:val="FootnoteText"/>
      </w:pPr>
      <w:r w:rsidRPr="00F40CBC">
        <w:rPr>
          <w:rStyle w:val="FootnoteReference"/>
        </w:rPr>
        <w:footnoteRef/>
      </w:r>
      <w:r w:rsidRPr="00F40CBC">
        <w:t xml:space="preserve"> Accordo interistituzionale del 20 maggio 2021 tra il Parlamento europeo, il Consiglio dell'Unione europea e la Commissione europea su un registro per la trasparenza obbligatorio (GU L 207 dell'11.6.2021, pag. 1, ELI: </w:t>
      </w:r>
      <w:hyperlink r:id="rId8" w:tooltip="http://data.europa.eu/eli/agree_interinstit/2021/611/oj" w:history="1">
        <w:r w:rsidRPr="00F40CBC">
          <w:rPr>
            <w:rStyle w:val="Hyperlink"/>
          </w:rPr>
          <w:t>http://data.europa.eu/eli/agree_interinstit/2021/611/oj</w:t>
        </w:r>
      </w:hyperlink>
      <w:r w:rsidRPr="00F40CBC">
        <w:t>).</w:t>
      </w:r>
    </w:p>
  </w:footnote>
  <w:footnote w:id="21">
    <w:p w:rsidR="00AE735B" w:rsidRPr="00F40CBC" w:rsidP="00F6359F" w14:paraId="786C9710" w14:textId="42CC83AE">
      <w:pPr>
        <w:pStyle w:val="FootnoteText"/>
      </w:pPr>
      <w:r w:rsidRPr="00F40CBC">
        <w:rPr>
          <w:rStyle w:val="FootnoteReference"/>
        </w:rPr>
        <w:footnoteRef/>
      </w:r>
      <w:r w:rsidRPr="00F40CBC">
        <w:t xml:space="preserve"> Accordo interistituzionale del 20 maggio 2021 tra il Parlamento europeo, il Consiglio dell'Unione europea e la Commissione europea su un registro per la trasparenza obbligatorio (GU L 207 dell'11.6.2021, pag. 1, ELI: </w:t>
      </w:r>
      <w:hyperlink r:id="rId8" w:tooltip="http://data.europa.eu/eli/agree_interinstit/2021/611/oj" w:history="1">
        <w:r w:rsidRPr="00F40CBC">
          <w:rPr>
            <w:rStyle w:val="Hyperlink"/>
          </w:rPr>
          <w:t>http://data.europa.eu/eli/agree_interinstit/2021/611/oj</w:t>
        </w:r>
      </w:hyperlink>
      <w:r w:rsidRPr="00F40CBC">
        <w:t>).</w:t>
      </w:r>
    </w:p>
  </w:footnote>
  <w:footnote w:id="22">
    <w:p w:rsidR="00AE735B" w:rsidRPr="00F40CBC" w:rsidP="00653A47" w14:paraId="3639DCA0" w14:textId="69AB1AE0">
      <w:pPr>
        <w:pStyle w:val="FootnoteText"/>
      </w:pPr>
      <w:r w:rsidRPr="00F40CBC">
        <w:rPr>
          <w:rStyle w:val="FootnoteReference"/>
        </w:rPr>
        <w:footnoteRef/>
      </w:r>
      <w:r w:rsidRPr="00F40CBC">
        <w:t xml:space="preserve"> Accordo interistituzionale del 20 maggio 2021 tra il Parlamento europeo, il Consiglio dell'Unione europea e la Commissione europea su un registro per la trasparenza obbligatorio (GU L 207 dell'11.6.2021, pag. 1, ELI: </w:t>
      </w:r>
      <w:hyperlink r:id="rId8" w:tooltip="http://data.europa.eu/eli/agree_interinstit/2021/611/oj" w:history="1">
        <w:r w:rsidRPr="00F40CBC">
          <w:rPr>
            <w:rStyle w:val="Hyperlink"/>
          </w:rPr>
          <w:t>http://data.europa.eu/eli/agree_interinstit/2021/611/oj</w:t>
        </w:r>
      </w:hyperlink>
      <w:r w:rsidRPr="00F40CBC">
        <w:t>).</w:t>
      </w:r>
    </w:p>
  </w:footnote>
  <w:footnote w:id="23">
    <w:p w:rsidR="00AE735B" w:rsidRPr="00F40CBC" w14:paraId="0DC16258" w14:textId="138A7D09">
      <w:pPr>
        <w:pStyle w:val="FootnoteText"/>
      </w:pPr>
      <w:r w:rsidRPr="00F40CBC">
        <w:rPr>
          <w:rStyle w:val="FootnoteReference"/>
        </w:rPr>
        <w:footnoteRef/>
      </w:r>
      <w:r w:rsidRPr="00F40CBC">
        <w:t xml:space="preserve"> Accordo interistituzionale del 20 maggio 2021 tra il Parlamento europeo, il Consiglio dell'Unione europea e la Commissione europea su un registro per la trasparenza obbligatorio (GU L 207 dell'11.6.2021, pag. 1, ELI: </w:t>
      </w:r>
      <w:hyperlink r:id="rId8" w:tooltip="http://data.europa.eu/eli/agree_interinstit/2021/611/oj" w:history="1">
        <w:r w:rsidRPr="00F40CBC">
          <w:rPr>
            <w:rStyle w:val="Hyperlink"/>
          </w:rPr>
          <w:t>http://data.europa.eu/eli/agree_interinstit/2021/611/oj</w:t>
        </w:r>
      </w:hyperlink>
      <w:r w:rsidRPr="00F40CBC">
        <w:t>).</w:t>
      </w:r>
    </w:p>
  </w:footnote>
  <w:footnote w:id="24">
    <w:p w:rsidR="00AE735B" w:rsidRPr="00F40CBC" w:rsidP="008419DC" w14:paraId="64CEF600" w14:textId="60BFF326">
      <w:pPr>
        <w:pStyle w:val="FootnoteText"/>
      </w:pPr>
      <w:r w:rsidRPr="00F40CBC">
        <w:rPr>
          <w:rStyle w:val="FootnoteReference"/>
        </w:rPr>
        <w:footnoteRef/>
      </w:r>
      <w:r w:rsidRPr="00F40CBC">
        <w:t xml:space="preserve"> Accordo interistituzionale del 20 maggio 2021 tra il Parlamento europeo, il Consiglio dell'Unione europea e la Commissione europea su un registro per la trasparenza obbligatorio (GU L 207 dell'11.6.2021, pag. 1, ELI: </w:t>
      </w:r>
      <w:hyperlink r:id="rId8" w:tooltip="http://data.europa.eu/eli/agree_interinstit/2021/611/oj" w:history="1">
        <w:r w:rsidRPr="00F40CBC">
          <w:rPr>
            <w:rStyle w:val="Hyperlink"/>
          </w:rPr>
          <w:t>http://data.europa.eu/eli/agree_interinstit/2021/611/oj</w:t>
        </w:r>
      </w:hyperlink>
      <w:r w:rsidRPr="00F40CBC">
        <w:t>).</w:t>
      </w:r>
    </w:p>
  </w:footnote>
  <w:footnote w:id="25">
    <w:p w:rsidR="00AE735B" w:rsidRPr="00F40CBC" w14:paraId="2E09C828" w14:textId="2D6FA0CB">
      <w:pPr>
        <w:pStyle w:val="FootnoteText"/>
      </w:pPr>
      <w:r w:rsidRPr="00F40CBC">
        <w:rPr>
          <w:rStyle w:val="FootnoteReference"/>
        </w:rPr>
        <w:footnoteRef/>
      </w:r>
      <w:r w:rsidRPr="00F40CBC">
        <w:t xml:space="preserve"> Accordo interistituzionale del 20 maggio 2021 tra il Parlamento europeo, il Consiglio dell'Unione europea e la Commissione europea su un registro per la trasparenza obbligatorio (GU L 207 dell'11.6.2021, pag. 1, ELI: </w:t>
      </w:r>
      <w:hyperlink r:id="rId8" w:tooltip="http://data.europa.eu/eli/agree_interinstit/2021/611/oj" w:history="1">
        <w:r w:rsidRPr="00F40CBC">
          <w:rPr>
            <w:rStyle w:val="Hyperlink"/>
          </w:rPr>
          <w:t>http://data.europa.eu/eli/agree_interinstit/2021/611/oj</w:t>
        </w:r>
      </w:hyperlink>
      <w:r w:rsidRPr="00F40CBC">
        <w:t>).</w:t>
      </w:r>
    </w:p>
  </w:footnote>
  <w:footnote w:id="26">
    <w:p w:rsidR="00AE735B" w:rsidRPr="00F40CBC" w:rsidP="007C60D8" w14:paraId="0BED8CE1" w14:textId="5A1AB178">
      <w:pPr>
        <w:widowControl/>
        <w:ind w:left="142" w:hanging="142"/>
        <w:rPr>
          <w:sz w:val="20"/>
        </w:rPr>
      </w:pPr>
      <w:r w:rsidRPr="00F40CBC">
        <w:rPr>
          <w:sz w:val="20"/>
          <w:vertAlign w:val="superscript"/>
        </w:rPr>
        <w:footnoteRef/>
      </w:r>
      <w:r w:rsidRPr="00F40CBC">
        <w:rPr>
          <w:sz w:val="20"/>
        </w:rPr>
        <w:t xml:space="preserve"> </w:t>
      </w:r>
      <w:r w:rsidRPr="00F40CBC">
        <w:t>Accordo interistituzionale del 20 maggio 2021 tra il Parlamento europeo, il Consiglio dell'Unione europea e la Commissione europea su un registro per la trasparenza obbligatorio (GU L 207 dell'11.6.2021, pag. 1, ELI:</w:t>
      </w:r>
      <w:r w:rsidRPr="00F40CBC">
        <w:rPr>
          <w:sz w:val="20"/>
        </w:rPr>
        <w:t xml:space="preserve"> </w:t>
      </w:r>
      <w:hyperlink r:id="rId8" w:history="1">
        <w:r w:rsidRPr="00F40CBC">
          <w:rPr>
            <w:rStyle w:val="Hyperlink"/>
          </w:rPr>
          <w:t>http://data.europa.eu/eli/agree_interinstit/2021/611/oj</w:t>
        </w:r>
      </w:hyperlink>
      <w:r w:rsidRPr="00F40CBC">
        <w:rPr>
          <w:sz w:val="20"/>
        </w:rPr>
        <w:t>).</w:t>
      </w:r>
    </w:p>
  </w:footnote>
  <w:footnote w:id="27">
    <w:p w:rsidR="00AE735B" w:rsidRPr="00F40CBC" w:rsidP="007A2508" w14:paraId="3109093B" w14:textId="0AB937B3">
      <w:pPr>
        <w:pStyle w:val="FootnoteText"/>
      </w:pPr>
      <w:r w:rsidRPr="00F40CBC">
        <w:rPr>
          <w:rStyle w:val="FootnoteReference"/>
        </w:rPr>
        <w:footnoteRef/>
      </w:r>
      <w:r w:rsidRPr="00F40CBC">
        <w:t xml:space="preserve"> Accordo interistituzionale del 20 maggio 2021 tra il Parlamento europeo, il Consiglio dell'Unione europea e la Commissione europea su un registro per la trasparenza obbligatorio (GU L 207 dell'11.6.2021, pag. 1, ELI: </w:t>
      </w:r>
      <w:hyperlink r:id="rId8" w:tooltip="http://data.europa.eu/eli/agree_interinstit/2021/611/oj" w:history="1">
        <w:r w:rsidRPr="00F40CBC">
          <w:rPr>
            <w:rStyle w:val="Hyperlink"/>
          </w:rPr>
          <w:t>http://data.europa.eu/eli/agree_interinstit/2021/611/oj</w:t>
        </w:r>
      </w:hyperlink>
      <w:r w:rsidRPr="00F40CBC">
        <w:t>).</w:t>
      </w:r>
    </w:p>
  </w:footnote>
  <w:footnote w:id="28">
    <w:p w:rsidR="00AE735B" w:rsidRPr="00F40CBC" w:rsidP="00764922" w14:paraId="4CACED56" w14:textId="08A92090">
      <w:pPr>
        <w:pStyle w:val="FootnoteText"/>
      </w:pPr>
      <w:r w:rsidRPr="00F40CBC">
        <w:rPr>
          <w:rStyle w:val="FootnoteReference"/>
        </w:rPr>
        <w:footnoteRef/>
      </w:r>
      <w:r w:rsidRPr="00F40CBC">
        <w:t xml:space="preserve"> GU L 433 I del 22.12.2020, pag. 28, ELI: </w:t>
      </w:r>
      <w:hyperlink r:id="rId7" w:tooltip="Accesso al documento tramite l'URI dell'ELI." w:history="1">
        <w:r w:rsidRPr="00F40CBC">
          <w:rPr>
            <w:rStyle w:val="Hyperlink"/>
          </w:rPr>
          <w:t>http://data.europa.eu/eli/agree_interinstit/2020/1222/oj</w:t>
        </w:r>
      </w:hyperlink>
      <w:r w:rsidRPr="00F40CBC">
        <w:t>.</w:t>
      </w:r>
    </w:p>
  </w:footnote>
  <w:footnote w:id="29">
    <w:p w:rsidR="00AE735B" w:rsidRPr="00F40CBC" w:rsidP="00764922" w14:paraId="2119D3D6" w14:textId="198F9FA8">
      <w:pPr>
        <w:pStyle w:val="FootnoteText"/>
      </w:pPr>
      <w:r w:rsidRPr="00F40CBC">
        <w:rPr>
          <w:rStyle w:val="FootnoteReference"/>
        </w:rPr>
        <w:footnoteRef/>
      </w:r>
      <w:r w:rsidRPr="00F40CBC">
        <w:t xml:space="preserve"> Accordo interistituzionale del 20 maggio 2021 tra il Parlamento europeo, il Consiglio dell'Unione europea e la Commissione europea su un registro per la trasparenza obbligatorio (GU L 207 dell'11.6.2021, pag. 1, ELI: </w:t>
      </w:r>
      <w:hyperlink r:id="rId8" w:tooltip="http://data.europa.eu/eli/agree_interinstit/2021/611/oj" w:history="1">
        <w:r w:rsidRPr="00F40CBC">
          <w:rPr>
            <w:rStyle w:val="Hyperlink"/>
          </w:rPr>
          <w:t>http://data.europa.eu/eli/agree_interinstit/2021/611/oj</w:t>
        </w:r>
      </w:hyperlink>
      <w:r w:rsidRPr="00F40CBC">
        <w:t>).</w:t>
      </w:r>
    </w:p>
  </w:footnote>
  <w:footnote w:id="30">
    <w:p w:rsidR="00AE735B" w:rsidRPr="00F40CBC" w:rsidP="00470C09" w14:paraId="76C5AED3" w14:textId="54AAE87B">
      <w:pPr>
        <w:pStyle w:val="FootnoteText"/>
      </w:pPr>
      <w:r w:rsidRPr="00F40CBC">
        <w:rPr>
          <w:rStyle w:val="FootnoteReference"/>
        </w:rPr>
        <w:footnoteRef/>
      </w:r>
      <w:r w:rsidRPr="00F40CBC">
        <w:t xml:space="preserve"> Accordo interistituzionale del 20 maggio 2021 tra il Parlamento europeo, il Consiglio dell'Unione europea e la Commissione europea su un registro per la trasparenza obbligatorio (GU L 207 dell'11.6.2021, pag. 1, ELI: </w:t>
      </w:r>
      <w:hyperlink r:id="rId8" w:tooltip="http://data.europa.eu/eli/agree_interinstit/2021/611/oj" w:history="1">
        <w:r w:rsidRPr="00F40CBC">
          <w:rPr>
            <w:rStyle w:val="Hyperlink"/>
          </w:rPr>
          <w:t>http://data.europa.eu/eli/agree_interinstit/2021/611/oj</w:t>
        </w:r>
      </w:hyperlink>
      <w:r w:rsidRPr="00F40CBC">
        <w:t>).</w:t>
      </w:r>
    </w:p>
  </w:footnote>
  <w:footnote w:id="31">
    <w:p w:rsidR="00AE735B" w:rsidRPr="00F40CBC" w:rsidP="00D75C66" w14:paraId="1E1CBDE5" w14:textId="5AE26820">
      <w:pPr>
        <w:pStyle w:val="FootnoteText"/>
      </w:pPr>
      <w:r w:rsidRPr="00F40CBC">
        <w:rPr>
          <w:rStyle w:val="FootnoteReference"/>
          <w:rFonts w:eastAsiaTheme="majorEastAsia"/>
        </w:rPr>
        <w:footnoteRef/>
      </w:r>
      <w:r w:rsidRPr="00F40CBC">
        <w:t xml:space="preserve"> Accordo interistituzionale del 20 maggio 2021 tra il Parlamento europeo, il Consiglio dell'Unione europea e la Commissione europea su un registro per la trasparenza obbligatorio (GU L 207 dell'11.6.2021, pag. 1, ELI: </w:t>
      </w:r>
      <w:hyperlink r:id="rId8" w:history="1">
        <w:r w:rsidRPr="00F40CBC">
          <w:rPr>
            <w:rStyle w:val="Hyperlink"/>
          </w:rPr>
          <w:t>http://data.europa.eu/eli/agree_interinstit/2021/611/oj</w:t>
        </w:r>
      </w:hyperlink>
      <w:r w:rsidRPr="00F40CBC">
        <w:t>).</w:t>
      </w:r>
    </w:p>
  </w:footnote>
  <w:footnote w:id="32">
    <w:p w:rsidR="00AE735B" w:rsidRPr="00F40CBC" w:rsidP="003C1A43" w14:paraId="0AEB3533" w14:textId="2A8E3486">
      <w:pPr>
        <w:pStyle w:val="FootnoteText"/>
      </w:pPr>
      <w:r w:rsidRPr="00F40CBC">
        <w:rPr>
          <w:rStyle w:val="FootnoteReference"/>
        </w:rPr>
        <w:footnoteRef/>
      </w:r>
      <w:r w:rsidRPr="00F40CBC">
        <w:t xml:space="preserve"> Regolamento (UE, Euratom) 2024/2509 del Parlamento europeo e del Consiglio, del 23 settembre 2024, che stabilisce le regole finanziarie applicabili al bilancio generale dell'Unione (GU L, 2024/2509, 26.9.2024, ELI: </w:t>
      </w:r>
      <w:hyperlink r:id="rId2" w:tgtFrame="_blank" w:tooltip="Accesso al documento tramite l'URI dell'ELI." w:history="1">
        <w:r w:rsidRPr="00F40CBC">
          <w:rPr>
            <w:rStyle w:val="Hyperlink"/>
          </w:rPr>
          <w:t>http://data.europa.eu/eli/reg/2024/2509/oj</w:t>
        </w:r>
      </w:hyperlink>
      <w:r w:rsidRPr="00F40CBC">
        <w:t>).</w:t>
      </w:r>
    </w:p>
  </w:footnote>
  <w:footnote w:id="33">
    <w:p w:rsidR="00AE735B" w:rsidRPr="00F40CBC" w:rsidP="003C1A43" w14:paraId="7C64A98F" w14:textId="08C9E8C6">
      <w:pPr>
        <w:pStyle w:val="FootnoteText"/>
      </w:pPr>
      <w:r w:rsidRPr="00F40CBC">
        <w:rPr>
          <w:rStyle w:val="FootnoteReference"/>
        </w:rPr>
        <w:footnoteRef/>
      </w:r>
      <w:r w:rsidRPr="00F40CBC">
        <w:t xml:space="preserve"> Regolamento (UE, Euratom) 2020/2092 del Parlamento europeo e del Consiglio, del 16 dicembre 2020, relativo a un regime generale di condizionalità per la protezione del bilancio dell'Unione (GU L 433 I del 22.12.2020, pag. 1). ELI: </w:t>
      </w:r>
      <w:hyperlink r:id="rId10" w:tooltip="Accesso al documento tramite l'URI dell'ELI." w:history="1">
        <w:r w:rsidRPr="00F40CBC">
          <w:rPr>
            <w:rStyle w:val="Hyperlink"/>
          </w:rPr>
          <w:t>http://data.europa.eu/eli/reg/2020/2092/oj</w:t>
        </w:r>
      </w:hyperlink>
      <w:r w:rsidRPr="00F40CBC">
        <w:t>).</w:t>
      </w:r>
    </w:p>
  </w:footnote>
  <w:footnote w:id="34">
    <w:p w:rsidR="00AE735B" w:rsidRPr="00F40CBC" w:rsidP="003C1A43" w14:paraId="3CC9D074" w14:textId="4FDAAFF0">
      <w:pPr>
        <w:pStyle w:val="FootnoteText"/>
      </w:pPr>
      <w:r w:rsidRPr="00F40CBC">
        <w:rPr>
          <w:rStyle w:val="FootnoteReference"/>
        </w:rPr>
        <w:footnoteRef/>
      </w:r>
      <w:r w:rsidRPr="00F40CBC">
        <w:t xml:space="preserve"> Regolamento (UE) 2021/1060 del Parlamento europeo e del Consiglio, del 24 giugno 2021, recante le disposizioni comuni applicabili al Fondo europeo di sviluppo regionale, al Fondo sociale europeo Plus, al Fondo di coesione, al Fondo per una transizione giusta, al Fondo europeo per gli affari marittimi, la pesca e l'acquacoltura, e le regole finanziarie applicabili a tali fondi e al Fondo Asilo, migrazione e integrazione, al Fondo Sicurezza interna e allo Strumento di sostegno finanziario per la gestione delle frontiere e la politica dei visti (GU L 231 del 30.6.2021, pag. 159, ELI: </w:t>
      </w:r>
      <w:hyperlink r:id="rId11" w:history="1">
        <w:r w:rsidRPr="00F40CBC">
          <w:rPr>
            <w:rStyle w:val="Hyperlink"/>
          </w:rPr>
          <w:t>http://data.europa.eu/eli/reg/2021/1060/oj</w:t>
        </w:r>
      </w:hyperlink>
      <w:r w:rsidRPr="00F40CBC">
        <w:t>).</w:t>
      </w:r>
    </w:p>
  </w:footnote>
  <w:footnote w:id="35">
    <w:p w:rsidR="00AE735B" w:rsidRPr="00F40CBC" w:rsidP="003C1A43" w14:paraId="254ED593" w14:textId="77777777">
      <w:pPr>
        <w:pStyle w:val="FootnoteText"/>
      </w:pPr>
      <w:r w:rsidRPr="00F40CBC">
        <w:rPr>
          <w:rStyle w:val="FootnoteReference"/>
        </w:rPr>
        <w:footnoteRef/>
      </w:r>
      <w:r w:rsidRPr="00F40CBC">
        <w:t xml:space="preserve"> Testi approvati, P10_TA(2026)0125.</w:t>
      </w:r>
    </w:p>
  </w:footnote>
  <w:footnote w:id="36">
    <w:p w:rsidR="00AE735B" w:rsidRPr="00F40CBC" w:rsidP="003C1A43" w14:paraId="5C641D4D" w14:textId="74795266">
      <w:pPr>
        <w:pStyle w:val="FootnoteText"/>
      </w:pPr>
      <w:r w:rsidRPr="00F40CBC">
        <w:rPr>
          <w:rStyle w:val="FootnoteReference"/>
        </w:rPr>
        <w:footnoteRef/>
      </w:r>
      <w:r w:rsidRPr="00F40CBC">
        <w:t xml:space="preserve"> Regolamento (UE) 2017/1939 del Consiglio, del 12 ottobre 2017, relativo all'attuazione di una cooperazione rafforzata sull'istituzione della Procura europea ("EPPO") (GU L 283 del 31.10.2017, pag. 1,</w:t>
      </w:r>
      <w:r w:rsidRPr="00F40CBC">
        <w:rPr>
          <w:rFonts w:ascii="Roboto" w:hAnsi="Roboto"/>
          <w:color w:val="333333"/>
          <w:sz w:val="21"/>
          <w:shd w:val="clear" w:color="auto" w:fill="FFFFFF"/>
        </w:rPr>
        <w:t xml:space="preserve"> </w:t>
      </w:r>
      <w:r w:rsidRPr="00F40CBC">
        <w:t>ELI: </w:t>
      </w:r>
      <w:hyperlink r:id="rId12" w:tooltip="Accesso al documento tramite l'URI dell'ELI." w:history="1">
        <w:r w:rsidRPr="00F40CBC">
          <w:rPr>
            <w:rStyle w:val="Hyperlink"/>
          </w:rPr>
          <w:t>http://data.europa.eu/eli/reg/2017/1939/oj</w:t>
        </w:r>
      </w:hyperlink>
      <w:r w:rsidRPr="00F40CBC">
        <w:t>).</w:t>
      </w:r>
    </w:p>
  </w:footnote>
  <w:footnote w:id="37">
    <w:p w:rsidR="00AE735B" w:rsidRPr="00F40CBC" w14:paraId="07C4F5F5" w14:textId="577AB9B1">
      <w:pPr>
        <w:pStyle w:val="FootnoteText"/>
      </w:pPr>
      <w:r w:rsidRPr="00F40CBC">
        <w:rPr>
          <w:rStyle w:val="FootnoteReference"/>
        </w:rPr>
        <w:footnoteRef/>
      </w:r>
      <w:r w:rsidRPr="00F40CBC">
        <w:t xml:space="preserve"> Accordo interistituzionale del 20 maggio 2021 tra il Parlamento europeo, il Consiglio dell'Unione europea e la Commissione europea su un registro per la trasparenza obbligatorio (GU L 207 dell'11.6.2021, pag. 1, ELI: </w:t>
      </w:r>
      <w:hyperlink r:id="rId8" w:tooltip="http://data.europa.eu/eli/agree_interinstit/2021/611/oj" w:history="1">
        <w:r w:rsidRPr="00F40CBC">
          <w:rPr>
            <w:rStyle w:val="Hyperlink"/>
          </w:rPr>
          <w:t>http://data.europa.eu/eli/agree_interinstit/2021/611/oj</w:t>
        </w:r>
      </w:hyperlink>
      <w:r w:rsidRPr="00F40CBC">
        <w:t>).</w:t>
      </w:r>
    </w:p>
  </w:footnote>
  <w:footnote w:id="38">
    <w:p w:rsidR="00AE735B" w:rsidRPr="00F40CBC" w14:paraId="0E5C6477" w14:textId="22E9483C">
      <w:pPr>
        <w:pStyle w:val="FootnoteText"/>
      </w:pPr>
      <w:r w:rsidRPr="00F40CBC">
        <w:rPr>
          <w:rStyle w:val="FootnoteReference"/>
        </w:rPr>
        <w:footnoteRef/>
      </w:r>
      <w:r w:rsidRPr="00F40CBC">
        <w:t xml:space="preserve"> Accordo interistituzionale del 20 maggio 2021 tra il Parlamento europeo, il Consiglio dell'Unione europea e la Commissione europea su un registro per la trasparenza obbligatorio (GU L 207 dell'11.6.2021, pag. 1, ELI: </w:t>
      </w:r>
      <w:hyperlink r:id="rId8" w:tooltip="http://data.europa.eu/eli/agree_interinstit/2021/611/oj" w:history="1">
        <w:r w:rsidRPr="00F40CBC">
          <w:rPr>
            <w:rStyle w:val="Hyperlink"/>
          </w:rPr>
          <w:t>http://data.europa.eu/eli/agree_interinstit/2021/611/oj</w:t>
        </w:r>
      </w:hyperlink>
      <w:r w:rsidRPr="00F40CBC">
        <w:t>).</w:t>
      </w:r>
    </w:p>
  </w:footnote>
  <w:footnote w:id="39">
    <w:p w:rsidR="00AE735B" w:rsidRPr="00F40CBC" w:rsidP="007C0E6D" w14:paraId="4898A033" w14:textId="77777777">
      <w:pPr>
        <w:pStyle w:val="FootnoteText"/>
      </w:pPr>
      <w:r w:rsidRPr="00F40CBC">
        <w:rPr>
          <w:rStyle w:val="FootnoteReference"/>
        </w:rPr>
        <w:footnoteRef/>
      </w:r>
      <w:r w:rsidRPr="00F40CBC">
        <w:t xml:space="preserve"> Erano presenti al momento della votazione finale: ... .</w:t>
      </w:r>
    </w:p>
  </w:footnote>
  <w:footnote w:id="40">
    <w:p w:rsidR="00AE735B" w:rsidRPr="00F40CBC" w:rsidP="007C0E6D" w14:paraId="2246B2D3" w14:textId="77777777">
      <w:pPr>
        <w:pStyle w:val="FootnoteText"/>
      </w:pPr>
      <w:r w:rsidRPr="00F40CBC">
        <w:rPr>
          <w:rStyle w:val="FootnoteReference"/>
        </w:rPr>
        <w:footnoteRef/>
      </w:r>
      <w:r w:rsidRPr="00F40CBC">
        <w:t xml:space="preserve"> Decisione di esecuzione della Commissione, del 5 giugno 2026, che modifica la decisione di esecuzione C(2021)5763 final relativa al finanziamento del meccanismo per collegare l'Europa – settore dei trasporti e all'adozione del programma di lavoro per il periodo 2021-2027 (C(2026)3720 final).</w:t>
      </w:r>
    </w:p>
  </w:footnote>
  <w:footnote w:id="41">
    <w:p w:rsidR="00AE735B" w:rsidRPr="00F40CBC" w:rsidP="007C0E6D" w14:paraId="0D470A85" w14:textId="061FDDA4">
      <w:pPr>
        <w:pStyle w:val="FootnoteText"/>
      </w:pPr>
      <w:r w:rsidRPr="00F40CBC">
        <w:rPr>
          <w:rStyle w:val="FootnoteReference"/>
        </w:rPr>
        <w:footnoteRef/>
      </w:r>
      <w:r w:rsidRPr="00F40CBC">
        <w:t xml:space="preserve"> </w:t>
      </w:r>
      <w:hyperlink r:id="rId13" w:history="1">
        <w:r w:rsidRPr="00F40CBC">
          <w:rPr>
            <w:rStyle w:val="Hyperlink"/>
          </w:rPr>
          <w:t>Inviti a presentare proposte nell'ambito dell'MCE Trasporti per il 2026</w:t>
        </w:r>
      </w:hyperlink>
      <w:r w:rsidRPr="00F40CBC">
        <w:t>.</w:t>
      </w:r>
    </w:p>
  </w:footnote>
  <w:footnote w:id="42">
    <w:p w:rsidR="00AE735B" w:rsidRPr="00F40CBC" w:rsidP="007C0E6D" w14:paraId="796B36D4" w14:textId="77777777">
      <w:pPr>
        <w:pStyle w:val="FootnoteText"/>
      </w:pPr>
      <w:r w:rsidRPr="00F40CBC">
        <w:rPr>
          <w:rStyle w:val="FootnoteReference"/>
        </w:rPr>
        <w:footnoteRef/>
      </w:r>
      <w:r w:rsidRPr="00F40CBC">
        <w:t xml:space="preserve"> COM(2025) 903 final.</w:t>
      </w:r>
    </w:p>
  </w:footnote>
  <w:footnote w:id="43">
    <w:p w:rsidR="00AE735B" w:rsidRPr="00F40CBC" w:rsidP="007C0E6D" w14:paraId="21234ACB" w14:textId="77777777">
      <w:pPr>
        <w:pStyle w:val="FootnoteText"/>
      </w:pPr>
      <w:r w:rsidRPr="00F40CBC">
        <w:rPr>
          <w:rStyle w:val="FootnoteReference"/>
        </w:rPr>
        <w:footnoteRef/>
      </w:r>
      <w:r w:rsidRPr="00F40CBC">
        <w:t xml:space="preserve"> COM(2025) 95 final.</w:t>
      </w:r>
    </w:p>
  </w:footnote>
  <w:footnote w:id="44">
    <w:p w:rsidR="00AE735B" w:rsidRPr="00F40CBC" w:rsidP="007C0E6D" w14:paraId="61F91740" w14:textId="77777777">
      <w:pPr>
        <w:pStyle w:val="FootnoteText"/>
      </w:pPr>
      <w:r w:rsidRPr="00F40CBC">
        <w:rPr>
          <w:rStyle w:val="FootnoteReference"/>
        </w:rPr>
        <w:footnoteRef/>
      </w:r>
      <w:r w:rsidRPr="00F40CBC">
        <w:t xml:space="preserve"> COM(2026) 111 final.</w:t>
      </w:r>
    </w:p>
  </w:footnote>
  <w:footnote w:id="45">
    <w:p w:rsidR="00AE735B" w:rsidRPr="00F40CBC" w:rsidP="007C0E6D" w14:paraId="2BFDD35C" w14:textId="77777777">
      <w:pPr>
        <w:pStyle w:val="FootnoteText"/>
      </w:pPr>
      <w:r w:rsidRPr="00F40CBC">
        <w:rPr>
          <w:rStyle w:val="FootnoteReference"/>
        </w:rPr>
        <w:footnoteRef/>
      </w:r>
      <w:r w:rsidRPr="00F40CBC">
        <w:t xml:space="preserve"> COM(2026) 112 final.</w:t>
      </w:r>
    </w:p>
  </w:footnote>
  <w:footnote w:id="46">
    <w:p w:rsidR="00AE735B" w:rsidRPr="00F40CBC" w:rsidP="007C0E6D" w14:paraId="43A2337C" w14:textId="77777777">
      <w:pPr>
        <w:pStyle w:val="FootnoteText"/>
      </w:pPr>
      <w:r w:rsidRPr="00F40CBC">
        <w:rPr>
          <w:rStyle w:val="FootnoteReference"/>
        </w:rPr>
        <w:footnoteRef/>
      </w:r>
      <w:r w:rsidRPr="00F40CBC">
        <w:t xml:space="preserve"> COM(2026) 100 final.</w:t>
      </w:r>
    </w:p>
  </w:footnote>
  <w:footnote w:id="47">
    <w:p w:rsidR="00AE735B" w:rsidRPr="00F40CBC" w:rsidP="007C0E6D" w14:paraId="409DE554" w14:textId="361DD41B">
      <w:pPr>
        <w:pStyle w:val="FootnoteText"/>
      </w:pPr>
      <w:r w:rsidRPr="00F40CBC">
        <w:rPr>
          <w:rStyle w:val="FootnoteReference"/>
        </w:rPr>
        <w:footnoteRef/>
      </w:r>
      <w:r w:rsidRPr="00F40CBC">
        <w:t xml:space="preserve"> </w:t>
      </w:r>
      <w:hyperlink r:id="rId14" w:history="1">
        <w:r w:rsidRPr="00F40CBC">
          <w:rPr>
            <w:rStyle w:val="Hyperlink"/>
          </w:rPr>
          <w:t>La Commissione procede verso uno "spazio Schengen militare" e una trasformazione dell'industria della difesa.</w:t>
        </w:r>
      </w:hyperlink>
    </w:p>
  </w:footnote>
  <w:footnote w:id="48">
    <w:p w:rsidR="00AE735B" w:rsidRPr="00F40CBC" w:rsidP="007C0E6D" w14:paraId="047393B9" w14:textId="21759422">
      <w:pPr>
        <w:pStyle w:val="FootnoteText"/>
      </w:pPr>
      <w:r w:rsidRPr="00F40CBC">
        <w:rPr>
          <w:rStyle w:val="FootnoteReference"/>
        </w:rPr>
        <w:footnoteRef/>
      </w:r>
      <w:r w:rsidRPr="00F40CBC">
        <w:t xml:space="preserve"> </w:t>
      </w:r>
      <w:hyperlink r:id="rId15" w:history="1">
        <w:r w:rsidRPr="00F40CBC">
          <w:rPr>
            <w:rStyle w:val="Hyperlink"/>
          </w:rPr>
          <w:t>Risoluzione del Parlamento europeo del 28 aprile 2026 sulla proposta di regolamento del Consiglio che stabilisce il quadro finanziario pluriennale per il periodo 2028-2034.</w:t>
        </w:r>
      </w:hyperlink>
    </w:p>
  </w:footnote>
  <w:footnote w:id="49">
    <w:p w:rsidR="00AE735B" w:rsidRPr="00F40CBC" w:rsidP="007C0E6D" w14:paraId="60F6C944" w14:textId="77777777">
      <w:pPr>
        <w:pStyle w:val="FootnoteText"/>
      </w:pPr>
      <w:r w:rsidRPr="00F40CBC">
        <w:rPr>
          <w:rStyle w:val="FootnoteReference"/>
        </w:rPr>
        <w:footnoteRef/>
      </w:r>
      <w:r w:rsidRPr="00F40CBC">
        <w:t xml:space="preserve"> </w:t>
      </w:r>
      <w:r w:rsidRPr="00F40CBC">
        <w:rPr>
          <w:color w:val="333333"/>
        </w:rPr>
        <w:t>Regolamento (UE) 2026/1184 del Parlamento europeo e del Consiglio, del 20 maggio 2026, relativo all'uso della capacità di infrastruttura ferroviaria nello spazio ferroviario europeo unico, che modifica la direttiva 2012/34/UE e abroga il regolamento (UE) n. 913/2010.</w:t>
      </w:r>
    </w:p>
  </w:footnote>
  <w:footnote w:id="50">
    <w:p w:rsidR="00AE735B" w:rsidRPr="00F40CBC" w:rsidP="007C0E6D" w14:paraId="76942438" w14:textId="77777777">
      <w:pPr>
        <w:pStyle w:val="FootnoteText"/>
      </w:pPr>
      <w:r w:rsidRPr="00F40CBC">
        <w:rPr>
          <w:rStyle w:val="FootnoteReference"/>
        </w:rPr>
        <w:footnoteRef/>
      </w:r>
      <w:r w:rsidRPr="00F40CBC">
        <w:t xml:space="preserve"> Regolamento (UE) 2016/796 del Parlamento europeo e del Consiglio, dell'11 maggio 2016, che istituisce un'Agenzia dell'Unione europea per le ferrovie e che abroga il regolamento (CE) n. 881/2004.</w:t>
      </w:r>
    </w:p>
  </w:footnote>
  <w:footnote w:id="51">
    <w:p w:rsidR="00AE735B" w:rsidRPr="00F40CBC" w:rsidP="007C0E6D" w14:paraId="2C3E757A" w14:textId="77777777">
      <w:pPr>
        <w:pStyle w:val="FootnoteText"/>
      </w:pPr>
      <w:r w:rsidRPr="00F40CBC">
        <w:rPr>
          <w:rStyle w:val="FootnoteReference"/>
        </w:rPr>
        <w:footnoteRef/>
      </w:r>
      <w:r w:rsidRPr="00F40CBC">
        <w:t xml:space="preserve"> COM(2025) 847</w:t>
      </w:r>
    </w:p>
  </w:footnote>
  <w:footnote w:id="52">
    <w:p w:rsidR="00AE735B" w:rsidRPr="00F40CBC" w:rsidP="007C0E6D" w14:paraId="732D89FB" w14:textId="77777777">
      <w:pPr>
        <w:pStyle w:val="FootnoteText"/>
      </w:pPr>
      <w:r w:rsidRPr="00F40CBC">
        <w:rPr>
          <w:rStyle w:val="FootnoteReference"/>
        </w:rPr>
        <w:footnoteRef/>
      </w:r>
      <w:r w:rsidRPr="00F40CBC">
        <w:t xml:space="preserve"> Testi approvati, P10_TA(2026)0123.</w:t>
      </w:r>
    </w:p>
  </w:footnote>
  <w:footnote w:id="53">
    <w:p w:rsidR="00AE735B" w:rsidRPr="00F40CBC" w:rsidP="007C0E6D" w14:paraId="35135905" w14:textId="77777777">
      <w:pPr>
        <w:pStyle w:val="FootnoteText"/>
      </w:pPr>
      <w:r w:rsidRPr="00F40CBC">
        <w:rPr>
          <w:rStyle w:val="FootnoteReference"/>
        </w:rPr>
        <w:footnoteRef/>
      </w:r>
      <w:r w:rsidRPr="00F40CBC">
        <w:t xml:space="preserve"> (COM(2026) 520 final)</w:t>
      </w:r>
    </w:p>
  </w:footnote>
  <w:footnote w:id="54">
    <w:p w:rsidR="00AE735B" w:rsidRPr="00F40CBC" w:rsidP="007C0E6D" w14:paraId="424AF1F4" w14:textId="77777777">
      <w:pPr>
        <w:pStyle w:val="FootnoteText"/>
      </w:pPr>
      <w:r w:rsidRPr="00F40CBC">
        <w:rPr>
          <w:rStyle w:val="FootnoteReference"/>
        </w:rPr>
        <w:footnoteRef/>
      </w:r>
      <w:r w:rsidRPr="00F40CBC">
        <w:t xml:space="preserve"> (COM(2026) 530 final)</w:t>
      </w:r>
    </w:p>
  </w:footnote>
  <w:footnote w:id="55">
    <w:p w:rsidR="00AE735B" w:rsidRPr="00F40CBC" w14:paraId="5030EF03" w14:textId="17F2604E">
      <w:pPr>
        <w:pStyle w:val="FootnoteText"/>
      </w:pPr>
      <w:r w:rsidRPr="00F40CBC">
        <w:rPr>
          <w:rStyle w:val="FootnoteReference"/>
        </w:rPr>
        <w:footnoteRef/>
      </w:r>
      <w:r w:rsidRPr="00F40CBC">
        <w:t xml:space="preserve"> Accordo interistituzionale del 20 maggio 2021 tra il Parlamento europeo, il Consiglio dell'Unione europea e la Commissione europea su un registro per la trasparenza obbligatorio (GU L 207 dell'11.6.2021, pag. 1, ELI: </w:t>
      </w:r>
      <w:hyperlink r:id="rId8" w:tooltip="http://data.europa.eu/eli/agree_interinstit/2021/611/oj" w:history="1">
        <w:r w:rsidRPr="00F40CBC">
          <w:rPr>
            <w:rStyle w:val="Hyperlink"/>
          </w:rPr>
          <w:t>http://data.europa.eu/eli/agree_interinstit/2021/611/oj</w:t>
        </w:r>
      </w:hyperlink>
      <w:r w:rsidRPr="00F40CBC">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21202" w14:paraId="34E9C614" w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21202" w14:paraId="2308D36B" w14:textId="7777777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21202" w14:paraId="2EE733CF" w14:textId="77777777">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AE735B" w14:paraId="702D2CA7" w14:textId="77777777">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AE735B" w14:paraId="5A2CE0EB" w14:textId="77777777">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AE735B" w14:paraId="0F5AA661" w14:textId="77777777">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AE735B" w14:paraId="0845B3B4" w14:textId="77777777">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AE735B" w14:paraId="5CFA5D94" w14:textId="77777777">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AE735B" w14:paraId="0EF36D97" w14:textId="77777777">
    <w:pPr>
      <w:pStyle w:val="Heade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AE735B" w14:paraId="78EC26A3" w14:textId="77777777">
    <w:pPr>
      <w:pStyle w:val="Heade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AE735B" w14:paraId="2880D373" w14:textId="77777777">
    <w:pPr>
      <w:pStyle w:val="Heade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AE735B" w14:paraId="0A1650EF" w14:textId="77777777">
    <w:pPr>
      <w:pStyle w:val="Heade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AE735B" w14:paraId="64D1B5B2" w14:textId="77777777">
    <w:pPr>
      <w:pStyle w:val="Header"/>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AE735B" w14:paraId="61D7F5C9" w14:textId="77777777">
    <w:pPr>
      <w:pStyle w:val="Header"/>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AE735B" w14:paraId="610FDA61" w14:textId="77777777">
    <w:pPr>
      <w:pStyle w:val="Header"/>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AE735B" w14:paraId="4EE67EA5" w14:textId="77777777">
    <w:pPr>
      <w:pStyle w:val="Header"/>
    </w:pP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AE735B" w14:paraId="29DED3A2" w14:textId="77777777">
    <w:pPr>
      <w:pStyle w:val="Header"/>
    </w:pP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AE735B" w14:paraId="3A35319E" w14:textId="77777777">
    <w:pPr>
      <w:pStyle w:val="Header"/>
    </w:pP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AE735B" w14:paraId="72C03A4F" w14:textId="77777777">
    <w:pPr>
      <w:pStyle w:val="Header"/>
    </w:pP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AE735B" w14:paraId="6B76C626" w14:textId="77777777">
    <w:pPr>
      <w:pStyle w:val="Header"/>
    </w:pP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AE735B" w14:paraId="648CB4F0" w14:textId="77777777">
    <w:pPr>
      <w:pStyle w:val="Header"/>
    </w:pP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AE735B" w14:paraId="4850791A" w14:textId="77777777">
    <w:pPr>
      <w:pStyle w:val="Header"/>
    </w:pP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AE735B" w14:paraId="65025B11" w14:textId="77777777">
    <w:pPr>
      <w:pStyle w:val="Header"/>
    </w:pP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AE735B" w14:paraId="36756535" w14:textId="77777777">
    <w:pPr>
      <w:pStyle w:val="Header"/>
    </w:pP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AE735B" w14:paraId="4C447A65" w14:textId="77777777">
    <w:pPr>
      <w:pStyle w:val="Header"/>
    </w:pP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AE735B" w14:paraId="14388A2C" w14:textId="77777777">
    <w:pPr>
      <w:pStyle w:val="Header"/>
    </w:pP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AE735B" w14:paraId="645AC496" w14:textId="77777777">
    <w:pPr>
      <w:pStyle w:val="Header"/>
    </w:pP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AE735B" w14:paraId="334258AC" w14:textId="77777777">
    <w:pPr>
      <w:pStyle w:val="Header"/>
    </w:pPr>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AE735B" w14:paraId="16917296" w14:textId="77777777">
    <w:pPr>
      <w:pStyle w:val="Header"/>
    </w:pPr>
  </w:p>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AE735B" w14:paraId="13CFB7D4" w14:textId="77777777">
    <w:pPr>
      <w:pStyle w:val="Header"/>
    </w:pPr>
  </w:p>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AE735B" w14:paraId="42B3E185" w14:textId="77777777">
    <w:pPr>
      <w:pStyle w:val="Header"/>
    </w:pPr>
  </w:p>
</w:hdr>
</file>

<file path=word/header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AE735B" w14:paraId="5BFC041F" w14:textId="77777777">
    <w:pPr>
      <w:pStyle w:val="Header"/>
    </w:pPr>
  </w:p>
</w:hdr>
</file>

<file path=word/header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AE735B" w14:paraId="634B608C" w14:textId="77777777">
    <w:pPr>
      <w:pStyle w:val="Header"/>
    </w:pPr>
  </w:p>
</w:hdr>
</file>

<file path=word/header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AE735B" w14:paraId="76E0792D" w14:textId="77777777">
    <w:pPr>
      <w:pStyle w:val="Header"/>
    </w:pPr>
  </w:p>
</w:hdr>
</file>

<file path=word/header3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AE735B" w14:paraId="374C6C01" w14:textId="77777777">
    <w:pPr>
      <w:pStyle w:val="Header"/>
    </w:pPr>
  </w:p>
</w:hdr>
</file>

<file path=word/header3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AE735B" w14:paraId="080AF19D" w14:textId="77777777">
    <w:pPr>
      <w:pStyle w:val="Header"/>
    </w:pPr>
  </w:p>
</w:hdr>
</file>

<file path=word/header3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AE735B" w14:paraId="3056989F" w14:textId="77777777">
    <w:pPr>
      <w:pStyle w:val="Header"/>
    </w:pPr>
  </w:p>
</w:hdr>
</file>

<file path=word/header3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AE735B" w14:paraId="32F57B25" w14:textId="77777777">
    <w:pPr>
      <w:pStyle w:val="Header"/>
    </w:pPr>
  </w:p>
</w:hdr>
</file>

<file path=word/header3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AE735B" w14:paraId="2DDE1083" w14:textId="77777777">
    <w:pPr>
      <w:pStyle w:val="Header"/>
    </w:pPr>
  </w:p>
</w:hdr>
</file>

<file path=word/header4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AE735B" w14:paraId="18D0BDB4" w14:textId="77777777">
    <w:pPr>
      <w:pStyle w:val="Header"/>
    </w:pPr>
  </w:p>
</w:hdr>
</file>

<file path=word/header4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AE735B" w14:paraId="7A5E4B59" w14:textId="77777777">
    <w:pPr>
      <w:pStyle w:val="Header"/>
    </w:pPr>
  </w:p>
</w:hdr>
</file>

<file path=word/header4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AE735B" w14:paraId="253063DF" w14:textId="77777777">
    <w:pPr>
      <w:pStyle w:val="Header"/>
    </w:pPr>
  </w:p>
</w:hdr>
</file>

<file path=word/header4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AE735B" w14:paraId="2A1C6975" w14:textId="77777777">
    <w:pPr>
      <w:pStyle w:val="Header"/>
    </w:pPr>
  </w:p>
</w:hdr>
</file>

<file path=word/header4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AE735B" w14:paraId="57D69466" w14:textId="77777777">
    <w:pPr>
      <w:pStyle w:val="Header"/>
    </w:pPr>
  </w:p>
</w:hdr>
</file>

<file path=word/header4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AE735B" w14:paraId="3E8F957D" w14:textId="77777777">
    <w:pPr>
      <w:pStyle w:val="Header"/>
    </w:pPr>
  </w:p>
</w:hdr>
</file>

<file path=word/header4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AE735B" w14:paraId="0986D9A3" w14:textId="77777777">
    <w:pPr>
      <w:pStyle w:val="Header"/>
    </w:pPr>
  </w:p>
</w:hdr>
</file>

<file path=word/header4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AE735B" w14:paraId="6C6D8278" w14:textId="77777777">
    <w:pPr>
      <w:pStyle w:val="Header"/>
    </w:pPr>
  </w:p>
</w:hdr>
</file>

<file path=word/header4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AE735B" w14:paraId="6AC71F20" w14:textId="77777777">
    <w:pPr>
      <w:pStyle w:val="Header"/>
    </w:pPr>
  </w:p>
</w:hdr>
</file>

<file path=word/header4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AE735B" w14:paraId="004E29F9" w14:textId="77777777">
    <w:pPr>
      <w:pStyle w:val="Header"/>
    </w:pPr>
  </w:p>
</w:hdr>
</file>

<file path=word/header5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AE735B" w14:paraId="722BC217" w14:textId="77777777">
    <w:pPr>
      <w:pStyle w:val="Header"/>
    </w:pPr>
  </w:p>
</w:hdr>
</file>

<file path=word/header5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AE735B" w14:paraId="031915D3"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2A193443"/>
    <w:multiLevelType w:val="hybridMultilevel"/>
    <w:tmpl w:val="6D9EDA30"/>
    <w:lvl w:ilvl="0">
      <w:start w:val="1"/>
      <w:numFmt w:val="upperLetter"/>
      <w:lvlText w:val="%1."/>
      <w:lvlJc w:val="left"/>
      <w:pPr>
        <w:ind w:left="707" w:hanging="567"/>
        <w:jc w:val="left"/>
      </w:pPr>
      <w:rPr>
        <w:rFonts w:ascii="Times New Roman" w:eastAsia="Times New Roman" w:hAnsi="Times New Roman" w:cs="Times New Roman" w:hint="default"/>
        <w:b w:val="0"/>
        <w:bCs w:val="0"/>
        <w:i w:val="0"/>
        <w:iCs w:val="0"/>
        <w:spacing w:val="-1"/>
        <w:w w:val="100"/>
        <w:sz w:val="24"/>
        <w:szCs w:val="24"/>
        <w:lang w:val="it-IT" w:eastAsia="en-US" w:bidi="ar-SA"/>
      </w:rPr>
    </w:lvl>
    <w:lvl w:ilvl="1">
      <w:start w:val="1"/>
      <w:numFmt w:val="decimal"/>
      <w:lvlText w:val="%2."/>
      <w:lvlJc w:val="left"/>
      <w:pPr>
        <w:ind w:left="1274" w:hanging="567"/>
        <w:jc w:val="left"/>
      </w:pPr>
      <w:rPr>
        <w:rFonts w:ascii="Times New Roman" w:eastAsia="Times New Roman" w:hAnsi="Times New Roman" w:cs="Times New Roman" w:hint="default"/>
        <w:b w:val="0"/>
        <w:bCs w:val="0"/>
        <w:i w:val="0"/>
        <w:iCs w:val="0"/>
        <w:spacing w:val="0"/>
        <w:w w:val="100"/>
        <w:sz w:val="24"/>
        <w:szCs w:val="24"/>
        <w:lang w:val="it-IT" w:eastAsia="en-US" w:bidi="ar-SA"/>
      </w:rPr>
    </w:lvl>
    <w:lvl w:ilvl="2">
      <w:start w:val="0"/>
      <w:numFmt w:val="bullet"/>
      <w:lvlText w:val="•"/>
      <w:lvlJc w:val="left"/>
      <w:pPr>
        <w:ind w:left="2240" w:hanging="567"/>
      </w:pPr>
      <w:rPr>
        <w:rFonts w:hint="default"/>
        <w:lang w:val="it-IT" w:eastAsia="en-US" w:bidi="ar-SA"/>
      </w:rPr>
    </w:lvl>
    <w:lvl w:ilvl="3">
      <w:start w:val="0"/>
      <w:numFmt w:val="bullet"/>
      <w:lvlText w:val="•"/>
      <w:lvlJc w:val="left"/>
      <w:pPr>
        <w:ind w:left="3200" w:hanging="567"/>
      </w:pPr>
      <w:rPr>
        <w:rFonts w:hint="default"/>
        <w:lang w:val="it-IT" w:eastAsia="en-US" w:bidi="ar-SA"/>
      </w:rPr>
    </w:lvl>
    <w:lvl w:ilvl="4">
      <w:start w:val="0"/>
      <w:numFmt w:val="bullet"/>
      <w:lvlText w:val="•"/>
      <w:lvlJc w:val="left"/>
      <w:pPr>
        <w:ind w:left="4160" w:hanging="567"/>
      </w:pPr>
      <w:rPr>
        <w:rFonts w:hint="default"/>
        <w:lang w:val="it-IT" w:eastAsia="en-US" w:bidi="ar-SA"/>
      </w:rPr>
    </w:lvl>
    <w:lvl w:ilvl="5">
      <w:start w:val="0"/>
      <w:numFmt w:val="bullet"/>
      <w:lvlText w:val="•"/>
      <w:lvlJc w:val="left"/>
      <w:pPr>
        <w:ind w:left="5121" w:hanging="567"/>
      </w:pPr>
      <w:rPr>
        <w:rFonts w:hint="default"/>
        <w:lang w:val="it-IT" w:eastAsia="en-US" w:bidi="ar-SA"/>
      </w:rPr>
    </w:lvl>
    <w:lvl w:ilvl="6">
      <w:start w:val="0"/>
      <w:numFmt w:val="bullet"/>
      <w:lvlText w:val="•"/>
      <w:lvlJc w:val="left"/>
      <w:pPr>
        <w:ind w:left="6081" w:hanging="567"/>
      </w:pPr>
      <w:rPr>
        <w:rFonts w:hint="default"/>
        <w:lang w:val="it-IT" w:eastAsia="en-US" w:bidi="ar-SA"/>
      </w:rPr>
    </w:lvl>
    <w:lvl w:ilvl="7">
      <w:start w:val="0"/>
      <w:numFmt w:val="bullet"/>
      <w:lvlText w:val="•"/>
      <w:lvlJc w:val="left"/>
      <w:pPr>
        <w:ind w:left="7041" w:hanging="567"/>
      </w:pPr>
      <w:rPr>
        <w:rFonts w:hint="default"/>
        <w:lang w:val="it-IT" w:eastAsia="en-US" w:bidi="ar-SA"/>
      </w:rPr>
    </w:lvl>
    <w:lvl w:ilvl="8">
      <w:start w:val="0"/>
      <w:numFmt w:val="bullet"/>
      <w:lvlText w:val="•"/>
      <w:lvlJc w:val="left"/>
      <w:pPr>
        <w:ind w:left="8001" w:hanging="567"/>
      </w:pPr>
      <w:rPr>
        <w:rFonts w:hint="default"/>
        <w:lang w:val="it-IT" w:eastAsia="en-US" w:bidi="ar-S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mirrorMargins/>
  <w:bordersDoNotSurroundHeader/>
  <w:bordersDoNotSurroundFooter/>
  <w:stylePaneFormatFilter w:val="3F01" w:allStyles="1" w:alternateStyleNames="0" w:clearFormatting="1" w:customStyles="0" w:directFormattingOnNumbering="1" w:directFormattingOnParagraphs="1" w:directFormattingOnRuns="1" w:directFormattingOnTables="1" w:headingStyles="0" w:latentStyles="0" w:numberingStyles="0" w:stylesInUse="0" w:tableStyles="0" w:top3HeadingStyles="1" w:visibleStyles="0"/>
  <w:defaultTabStop w:val="720"/>
  <w:hyphenationZone w:val="425"/>
  <w:doNotHyphenateCaps/>
  <w:evenAndOddHeaders/>
  <w:drawingGridHorizontalSpacing w:val="0"/>
  <w:drawingGridVerticalSpacing w:val="0"/>
  <w:displayHorizontalDrawingGridEvery w:val="0"/>
  <w:displayVerticalDrawingGridEvery w:val="0"/>
  <w:doNotUseMarginsForDrawingGridOrigin/>
  <w:drawingGridHorizontalOrigin w:val="0"/>
  <w:drawingGridVerticalOrigin w:val="0"/>
  <w:doNotShadeFormData/>
  <w:noPunctuationKerning/>
  <w:characterSpacingControl w:val="doNotCompress"/>
  <w:footnotePr>
    <w:numRestart w:val="eachSect"/>
    <w:footnote w:id="0"/>
    <w:footnote w:id="1"/>
  </w:footnotePr>
  <w:endnotePr>
    <w:numFmt w:val="decimal"/>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2227"/>
    <w:rsid w:val="00000C7D"/>
    <w:rsid w:val="00014545"/>
    <w:rsid w:val="00016267"/>
    <w:rsid w:val="0002784D"/>
    <w:rsid w:val="00037518"/>
    <w:rsid w:val="0005026D"/>
    <w:rsid w:val="00062E19"/>
    <w:rsid w:val="00077164"/>
    <w:rsid w:val="00090D79"/>
    <w:rsid w:val="000927E9"/>
    <w:rsid w:val="000A086A"/>
    <w:rsid w:val="000B0A36"/>
    <w:rsid w:val="000B3B13"/>
    <w:rsid w:val="000C01FF"/>
    <w:rsid w:val="000E5AC5"/>
    <w:rsid w:val="000E634B"/>
    <w:rsid w:val="001130FA"/>
    <w:rsid w:val="001156E3"/>
    <w:rsid w:val="001159A8"/>
    <w:rsid w:val="001173AC"/>
    <w:rsid w:val="00131752"/>
    <w:rsid w:val="00131E4E"/>
    <w:rsid w:val="0014485F"/>
    <w:rsid w:val="00147FBF"/>
    <w:rsid w:val="001519B6"/>
    <w:rsid w:val="00164B25"/>
    <w:rsid w:val="001705BA"/>
    <w:rsid w:val="001721C4"/>
    <w:rsid w:val="00180582"/>
    <w:rsid w:val="00187D6E"/>
    <w:rsid w:val="001927DC"/>
    <w:rsid w:val="001C6342"/>
    <w:rsid w:val="001D40BE"/>
    <w:rsid w:val="001D50A1"/>
    <w:rsid w:val="001F1F0F"/>
    <w:rsid w:val="00207509"/>
    <w:rsid w:val="00212AFB"/>
    <w:rsid w:val="00220F55"/>
    <w:rsid w:val="002A49BB"/>
    <w:rsid w:val="002B2C72"/>
    <w:rsid w:val="002B35FB"/>
    <w:rsid w:val="002D24C6"/>
    <w:rsid w:val="002E131F"/>
    <w:rsid w:val="002E299A"/>
    <w:rsid w:val="002E4206"/>
    <w:rsid w:val="002F2F15"/>
    <w:rsid w:val="00303BB3"/>
    <w:rsid w:val="00316979"/>
    <w:rsid w:val="00331D14"/>
    <w:rsid w:val="003342B7"/>
    <w:rsid w:val="00377E6D"/>
    <w:rsid w:val="0038112F"/>
    <w:rsid w:val="003858C5"/>
    <w:rsid w:val="00394992"/>
    <w:rsid w:val="00395977"/>
    <w:rsid w:val="003B3824"/>
    <w:rsid w:val="003C1A43"/>
    <w:rsid w:val="003C342A"/>
    <w:rsid w:val="003C382D"/>
    <w:rsid w:val="003D0BA8"/>
    <w:rsid w:val="003E06CF"/>
    <w:rsid w:val="0040081A"/>
    <w:rsid w:val="004260DF"/>
    <w:rsid w:val="004302F8"/>
    <w:rsid w:val="00442038"/>
    <w:rsid w:val="0047013B"/>
    <w:rsid w:val="00470C09"/>
    <w:rsid w:val="0048276C"/>
    <w:rsid w:val="00484767"/>
    <w:rsid w:val="00495C31"/>
    <w:rsid w:val="00496A1F"/>
    <w:rsid w:val="00497655"/>
    <w:rsid w:val="004A4056"/>
    <w:rsid w:val="004C50D7"/>
    <w:rsid w:val="004E18BF"/>
    <w:rsid w:val="00535E1E"/>
    <w:rsid w:val="00537AA8"/>
    <w:rsid w:val="0055304B"/>
    <w:rsid w:val="00555936"/>
    <w:rsid w:val="00575200"/>
    <w:rsid w:val="00577455"/>
    <w:rsid w:val="00582C5F"/>
    <w:rsid w:val="005C4A75"/>
    <w:rsid w:val="005C56C7"/>
    <w:rsid w:val="005C5CD7"/>
    <w:rsid w:val="005E5DE5"/>
    <w:rsid w:val="005E7EA4"/>
    <w:rsid w:val="00600AC0"/>
    <w:rsid w:val="006118C9"/>
    <w:rsid w:val="0061450F"/>
    <w:rsid w:val="00635C8C"/>
    <w:rsid w:val="00640286"/>
    <w:rsid w:val="00646912"/>
    <w:rsid w:val="00653A47"/>
    <w:rsid w:val="00657C09"/>
    <w:rsid w:val="00670400"/>
    <w:rsid w:val="006966C5"/>
    <w:rsid w:val="006A5366"/>
    <w:rsid w:val="006C3439"/>
    <w:rsid w:val="006E3E72"/>
    <w:rsid w:val="006E5310"/>
    <w:rsid w:val="007041CC"/>
    <w:rsid w:val="00721AE2"/>
    <w:rsid w:val="00727D88"/>
    <w:rsid w:val="00735F18"/>
    <w:rsid w:val="00741934"/>
    <w:rsid w:val="00757657"/>
    <w:rsid w:val="0075766E"/>
    <w:rsid w:val="0076020E"/>
    <w:rsid w:val="00764922"/>
    <w:rsid w:val="00765195"/>
    <w:rsid w:val="007678E9"/>
    <w:rsid w:val="00772ABE"/>
    <w:rsid w:val="00791131"/>
    <w:rsid w:val="00791FB1"/>
    <w:rsid w:val="0079501A"/>
    <w:rsid w:val="007A2508"/>
    <w:rsid w:val="007C0E6D"/>
    <w:rsid w:val="007C35EE"/>
    <w:rsid w:val="007C3F41"/>
    <w:rsid w:val="007C60D8"/>
    <w:rsid w:val="007C663F"/>
    <w:rsid w:val="007C7755"/>
    <w:rsid w:val="007E5DA6"/>
    <w:rsid w:val="007F1597"/>
    <w:rsid w:val="007F2104"/>
    <w:rsid w:val="007F79E2"/>
    <w:rsid w:val="00802975"/>
    <w:rsid w:val="0081232C"/>
    <w:rsid w:val="00820721"/>
    <w:rsid w:val="00821202"/>
    <w:rsid w:val="0083359E"/>
    <w:rsid w:val="00836FA9"/>
    <w:rsid w:val="00837FC0"/>
    <w:rsid w:val="008419DC"/>
    <w:rsid w:val="008A0282"/>
    <w:rsid w:val="008A224B"/>
    <w:rsid w:val="008B46C6"/>
    <w:rsid w:val="008B71C9"/>
    <w:rsid w:val="008C0140"/>
    <w:rsid w:val="008E7F19"/>
    <w:rsid w:val="008F0C8E"/>
    <w:rsid w:val="00916A6A"/>
    <w:rsid w:val="00957210"/>
    <w:rsid w:val="00961912"/>
    <w:rsid w:val="00962656"/>
    <w:rsid w:val="00962E59"/>
    <w:rsid w:val="00963BAE"/>
    <w:rsid w:val="00980264"/>
    <w:rsid w:val="009824DF"/>
    <w:rsid w:val="0098790C"/>
    <w:rsid w:val="009941FE"/>
    <w:rsid w:val="009A33F4"/>
    <w:rsid w:val="009A7188"/>
    <w:rsid w:val="009B7ED6"/>
    <w:rsid w:val="009D2405"/>
    <w:rsid w:val="009D6CE0"/>
    <w:rsid w:val="009F0754"/>
    <w:rsid w:val="009F796C"/>
    <w:rsid w:val="00A0177C"/>
    <w:rsid w:val="00A02D68"/>
    <w:rsid w:val="00A03794"/>
    <w:rsid w:val="00A159A7"/>
    <w:rsid w:val="00A36FF0"/>
    <w:rsid w:val="00A3778E"/>
    <w:rsid w:val="00A5399D"/>
    <w:rsid w:val="00A556AA"/>
    <w:rsid w:val="00A720C8"/>
    <w:rsid w:val="00A80DF4"/>
    <w:rsid w:val="00A92869"/>
    <w:rsid w:val="00AA43DC"/>
    <w:rsid w:val="00AB16C1"/>
    <w:rsid w:val="00AB1ABE"/>
    <w:rsid w:val="00AD14FA"/>
    <w:rsid w:val="00AD5932"/>
    <w:rsid w:val="00AE3212"/>
    <w:rsid w:val="00AE735B"/>
    <w:rsid w:val="00AF2D29"/>
    <w:rsid w:val="00AF7CFD"/>
    <w:rsid w:val="00B13458"/>
    <w:rsid w:val="00B1385A"/>
    <w:rsid w:val="00B172C5"/>
    <w:rsid w:val="00B22618"/>
    <w:rsid w:val="00B31C6A"/>
    <w:rsid w:val="00B418AA"/>
    <w:rsid w:val="00B51091"/>
    <w:rsid w:val="00B60BF2"/>
    <w:rsid w:val="00B65130"/>
    <w:rsid w:val="00B71298"/>
    <w:rsid w:val="00B7346B"/>
    <w:rsid w:val="00B735E3"/>
    <w:rsid w:val="00BA4F1E"/>
    <w:rsid w:val="00BB0E95"/>
    <w:rsid w:val="00BB2AC1"/>
    <w:rsid w:val="00BB2F4E"/>
    <w:rsid w:val="00BB5DE9"/>
    <w:rsid w:val="00BD2B52"/>
    <w:rsid w:val="00BF1100"/>
    <w:rsid w:val="00C00DEE"/>
    <w:rsid w:val="00C1186C"/>
    <w:rsid w:val="00C14F7B"/>
    <w:rsid w:val="00C1698A"/>
    <w:rsid w:val="00C21444"/>
    <w:rsid w:val="00C23271"/>
    <w:rsid w:val="00C36610"/>
    <w:rsid w:val="00C40C48"/>
    <w:rsid w:val="00C5424C"/>
    <w:rsid w:val="00C548D4"/>
    <w:rsid w:val="00C646EC"/>
    <w:rsid w:val="00C7061A"/>
    <w:rsid w:val="00C72729"/>
    <w:rsid w:val="00C83AFD"/>
    <w:rsid w:val="00C85D0F"/>
    <w:rsid w:val="00C86A80"/>
    <w:rsid w:val="00C92319"/>
    <w:rsid w:val="00CA5990"/>
    <w:rsid w:val="00CC3E05"/>
    <w:rsid w:val="00CC78C3"/>
    <w:rsid w:val="00CD5790"/>
    <w:rsid w:val="00CE32D6"/>
    <w:rsid w:val="00CF1437"/>
    <w:rsid w:val="00D047FB"/>
    <w:rsid w:val="00D07D77"/>
    <w:rsid w:val="00D1344F"/>
    <w:rsid w:val="00D157E4"/>
    <w:rsid w:val="00D16E15"/>
    <w:rsid w:val="00D20BEB"/>
    <w:rsid w:val="00D20FA0"/>
    <w:rsid w:val="00D27C1D"/>
    <w:rsid w:val="00D41425"/>
    <w:rsid w:val="00D439DC"/>
    <w:rsid w:val="00D7289A"/>
    <w:rsid w:val="00D75C66"/>
    <w:rsid w:val="00D85FC3"/>
    <w:rsid w:val="00D903D8"/>
    <w:rsid w:val="00DB1737"/>
    <w:rsid w:val="00DB2673"/>
    <w:rsid w:val="00DC08A5"/>
    <w:rsid w:val="00DC2FC5"/>
    <w:rsid w:val="00DD48BD"/>
    <w:rsid w:val="00DE5B46"/>
    <w:rsid w:val="00DF60CF"/>
    <w:rsid w:val="00E15A4C"/>
    <w:rsid w:val="00E23493"/>
    <w:rsid w:val="00E24627"/>
    <w:rsid w:val="00E33B9E"/>
    <w:rsid w:val="00E453E6"/>
    <w:rsid w:val="00E514EF"/>
    <w:rsid w:val="00E53F3C"/>
    <w:rsid w:val="00E56898"/>
    <w:rsid w:val="00E57F92"/>
    <w:rsid w:val="00E62227"/>
    <w:rsid w:val="00E6256E"/>
    <w:rsid w:val="00E678A6"/>
    <w:rsid w:val="00E820B8"/>
    <w:rsid w:val="00E839D9"/>
    <w:rsid w:val="00E92669"/>
    <w:rsid w:val="00E9601C"/>
    <w:rsid w:val="00EB308E"/>
    <w:rsid w:val="00EC3528"/>
    <w:rsid w:val="00ED1308"/>
    <w:rsid w:val="00ED4C16"/>
    <w:rsid w:val="00EE03BB"/>
    <w:rsid w:val="00EE069C"/>
    <w:rsid w:val="00EE2A61"/>
    <w:rsid w:val="00EE5E77"/>
    <w:rsid w:val="00F0021B"/>
    <w:rsid w:val="00F02B2C"/>
    <w:rsid w:val="00F03FCA"/>
    <w:rsid w:val="00F202E2"/>
    <w:rsid w:val="00F211E7"/>
    <w:rsid w:val="00F40CBC"/>
    <w:rsid w:val="00F42F07"/>
    <w:rsid w:val="00F44006"/>
    <w:rsid w:val="00F50914"/>
    <w:rsid w:val="00F55F30"/>
    <w:rsid w:val="00F56E20"/>
    <w:rsid w:val="00F62AD4"/>
    <w:rsid w:val="00F6359F"/>
    <w:rsid w:val="00F732B6"/>
    <w:rsid w:val="00F8161C"/>
    <w:rsid w:val="00F82C70"/>
    <w:rsid w:val="00FA4CEB"/>
    <w:rsid w:val="00FA5742"/>
    <w:rsid w:val="00FD065E"/>
    <w:rsid w:val="00FD23D7"/>
    <w:rsid w:val="00FD3F88"/>
    <w:rsid w:val="00FD645D"/>
    <w:rsid w:val="00FE1DA2"/>
    <w:rsid w:val="00FF3AF2"/>
    <w:rsid w:val="00FF7BDE"/>
  </w:rsids>
  <w:docVars>
    <w:docVar w:name="AUTHORMFbMNU" w:val=" 1"/>
    <w:docVar w:name="AUTHORMFMNU" w:val=" 1"/>
    <w:docVar w:name="AUTHORMFPMNU" w:val=" 3"/>
    <w:docVar w:name="CONTRIBUTIONMNU" w:val=" 2"/>
    <w:docVar w:name="DOCDT" w:val="22/09/2026"/>
    <w:docVar w:name="INSERTOPINKEY" w:val="TRAN"/>
    <w:docVar w:name="LastEditedSection" w:val=" 1"/>
    <w:docVar w:name="LETTERMNU" w:val=" 3"/>
    <w:docVar w:name="NVAR1" w:val="1"/>
    <w:docVar w:name="strDocTypeID" w:val="PR_BUD_1all"/>
    <w:docVar w:name="strSubDir" w:val="1352"/>
    <w:docVar w:name="TXTBUDYEAR" w:val="2027"/>
    <w:docVar w:name="TXTLANGUE" w:val="IT"/>
    <w:docVar w:name="TXTLANGUEMIN" w:val="it"/>
    <w:docVar w:name="TXTNRBUD" w:val="2026/0196"/>
    <w:docVar w:name="TXTNRC" w:val="0128/2026"/>
    <w:docVar w:name="TXTNRCOUNC" w:val="11547/2026"/>
    <w:docVar w:name="TXTNRPE" w:val="792.176"/>
    <w:docVar w:name="TXTPEorAP" w:val="PE"/>
    <w:docVar w:name="TXTROUTE" w:val="RR\1352551IT.docx"/>
    <w:docVar w:name="TXTVERSION" w:val="02-00"/>
  </w:docVars>
  <m:mathPr>
    <m:mathFont m:val="Cambria Math"/>
  </m:mathPr>
  <w:themeFontLang w:val="en-GB" w:eastAsia="ja-JP" w:bidi="lo-LA"/>
  <w:clrSchemeMapping w:bg1="light1" w:t1="dark1" w:bg2="light2" w:t2="dark2" w:accent1="accent1" w:accent2="accent2" w:accent3="accent3" w:accent4="accent4" w:accent5="accent5" w:accent6="accent6" w:hyperlink="hyperlink" w:followedHyperlink="followedHyperlink"/>
  <w:doNotIncludeSubdocsInStats/>
  <w15:chartTrackingRefBased/>
  <w15:docId w15:val="{191762E1-A760-4B82-B752-1C05DB81C7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it-IT" w:eastAsia="en-GB" w:bidi="ar-SA"/>
      </w:rPr>
    </w:rPrDefault>
    <w:pPrDefault/>
  </w:docDefaults>
  <w:latentStyles w:defLockedState="0" w:defUIPriority="0" w:defSemiHidden="0" w:defUnhideWhenUsed="0" w:defQFormat="0" w:count="376">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footnote text" w:uiPriority="99"/>
    <w:lsdException w:name="caption" w:semiHidden="1" w:unhideWhenUsed="1" w:qFormat="1"/>
    <w:lsdException w:name="footnote reference" w:uiPriority="99"/>
    <w:lsdException w:name="Title" w:qFormat="1"/>
    <w:lsdException w:name="Subtitle" w:qFormat="1"/>
    <w:lsdException w:name="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sid w:val="00CE32D6"/>
    <w:pPr>
      <w:widowControl w:val="0"/>
    </w:pPr>
    <w:rPr>
      <w:snapToGrid w:val="0"/>
      <w:sz w:val="24"/>
      <w:lang w:eastAsia="en-US"/>
    </w:rPr>
  </w:style>
  <w:style w:type="paragraph" w:styleId="Heading1">
    <w:name w:val="heading 1"/>
    <w:basedOn w:val="Normal"/>
    <w:next w:val="Normal"/>
    <w:semiHidden/>
    <w:qFormat/>
    <w:pPr>
      <w:keepNext/>
      <w:spacing w:before="240" w:after="60"/>
      <w:outlineLvl w:val="0"/>
    </w:pPr>
    <w:rPr>
      <w:rFonts w:ascii="Arial" w:hAnsi="Arial"/>
      <w:b/>
      <w:kern w:val="28"/>
      <w:sz w:val="28"/>
    </w:rPr>
  </w:style>
  <w:style w:type="paragraph" w:styleId="Heading2">
    <w:name w:val="heading 2"/>
    <w:basedOn w:val="Normal"/>
    <w:next w:val="Normal"/>
    <w:semiHidden/>
    <w:qFormat/>
    <w:pPr>
      <w:keepNext/>
      <w:spacing w:before="240" w:after="60"/>
      <w:outlineLvl w:val="1"/>
    </w:pPr>
    <w:rPr>
      <w:rFonts w:ascii="Arial" w:hAnsi="Arial"/>
      <w:b/>
      <w:i/>
    </w:rPr>
  </w:style>
  <w:style w:type="paragraph" w:styleId="Heading3">
    <w:name w:val="heading 3"/>
    <w:basedOn w:val="Normal"/>
    <w:next w:val="Normal"/>
    <w:semiHidden/>
    <w:qFormat/>
    <w:pPr>
      <w:keepNext/>
      <w:spacing w:before="240" w:after="60"/>
      <w:outlineLvl w:val="2"/>
    </w:pPr>
    <w:rPr>
      <w:rFonts w:ascii="Arial" w:hAnsi="Arial"/>
    </w:rPr>
  </w:style>
  <w:style w:type="paragraph" w:styleId="Heading4">
    <w:name w:val="heading 4"/>
    <w:basedOn w:val="Normal"/>
    <w:next w:val="Normal"/>
    <w:semiHidden/>
    <w:qFormat/>
    <w:pPr>
      <w:keepNext/>
      <w:spacing w:before="240" w:after="60"/>
      <w:outlineLvl w:val="3"/>
    </w:pPr>
    <w:rPr>
      <w:rFonts w:ascii="Arial" w:hAnsi="Arial"/>
      <w:b/>
    </w:rPr>
  </w:style>
  <w:style w:type="paragraph" w:styleId="Heading5">
    <w:name w:val="heading 5"/>
    <w:basedOn w:val="Normal"/>
    <w:next w:val="Normal"/>
    <w:semiHidden/>
    <w:qFormat/>
    <w:pPr>
      <w:spacing w:before="240" w:after="60"/>
      <w:outlineLvl w:val="4"/>
    </w:pPr>
    <w:rPr>
      <w:sz w:val="22"/>
    </w:rPr>
  </w:style>
  <w:style w:type="paragraph" w:styleId="Heading6">
    <w:name w:val="heading 6"/>
    <w:basedOn w:val="Normal"/>
    <w:next w:val="Normal"/>
    <w:semiHidden/>
    <w:qFormat/>
    <w:pPr>
      <w:spacing w:before="240" w:after="60"/>
      <w:outlineLvl w:val="5"/>
    </w:pPr>
    <w:rPr>
      <w:i/>
      <w:sz w:val="22"/>
    </w:rPr>
  </w:style>
  <w:style w:type="paragraph" w:styleId="Heading7">
    <w:name w:val="heading 7"/>
    <w:basedOn w:val="Normal"/>
    <w:next w:val="Normal"/>
    <w:semiHidden/>
    <w:qFormat/>
    <w:pPr>
      <w:spacing w:before="240" w:after="60"/>
      <w:outlineLvl w:val="6"/>
    </w:pPr>
    <w:rPr>
      <w:rFonts w:ascii="Arial" w:hAnsi="Arial"/>
    </w:rPr>
  </w:style>
  <w:style w:type="paragraph" w:styleId="Heading8">
    <w:name w:val="heading 8"/>
    <w:basedOn w:val="Normal"/>
    <w:next w:val="Normal"/>
    <w:semiHidden/>
    <w:qFormat/>
    <w:pPr>
      <w:spacing w:before="240" w:after="60"/>
      <w:outlineLvl w:val="7"/>
    </w:pPr>
    <w:rPr>
      <w:rFonts w:ascii="Arial" w:hAnsi="Arial"/>
      <w:i/>
    </w:rPr>
  </w:style>
  <w:style w:type="paragraph" w:styleId="Heading9">
    <w:name w:val="heading 9"/>
    <w:basedOn w:val="Normal"/>
    <w:next w:val="Normal"/>
    <w:semiHidden/>
    <w:qFormat/>
    <w:pPr>
      <w:spacing w:before="240" w:after="60"/>
      <w:outlineLvl w:val="8"/>
    </w:pPr>
    <w:rPr>
      <w:rFonts w:ascii="Arial" w:hAnsi="Arial"/>
      <w:b/>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ideTWBExt">
    <w:name w:val="HideTWBExt"/>
    <w:basedOn w:val="DefaultParagraphFont"/>
    <w:rPr>
      <w:rFonts w:ascii="Arial" w:hAnsi="Arial" w:cs="Arial"/>
      <w:noProof/>
      <w:vanish/>
      <w:color w:val="000080"/>
      <w:sz w:val="20"/>
    </w:rPr>
  </w:style>
  <w:style w:type="paragraph" w:customStyle="1" w:styleId="EPComma">
    <w:name w:val="EPComma"/>
    <w:basedOn w:val="Normal"/>
    <w:rsid w:val="006A5366"/>
    <w:pPr>
      <w:spacing w:before="480" w:after="240"/>
    </w:pPr>
  </w:style>
  <w:style w:type="paragraph" w:customStyle="1" w:styleId="CoverNormal">
    <w:name w:val="CoverNormal"/>
    <w:basedOn w:val="Normal"/>
    <w:pPr>
      <w:ind w:left="1418"/>
    </w:pPr>
  </w:style>
  <w:style w:type="paragraph" w:customStyle="1" w:styleId="TOCRight">
    <w:name w:val="TOC Right"/>
    <w:basedOn w:val="Normal"/>
    <w:rsid w:val="00E839D9"/>
    <w:pPr>
      <w:spacing w:after="240"/>
      <w:jc w:val="right"/>
    </w:pPr>
  </w:style>
  <w:style w:type="paragraph" w:customStyle="1" w:styleId="CoverDateRefPart">
    <w:name w:val="CoverDateRefPart"/>
    <w:basedOn w:val="Normal"/>
    <w:rsid w:val="00C5424C"/>
    <w:pPr>
      <w:spacing w:after="1200"/>
    </w:pPr>
  </w:style>
  <w:style w:type="paragraph" w:customStyle="1" w:styleId="EPName">
    <w:name w:val="EPName"/>
    <w:basedOn w:val="Normal"/>
    <w:rsid w:val="00D16E15"/>
    <w:pPr>
      <w:spacing w:before="80" w:after="80"/>
    </w:pPr>
    <w:rPr>
      <w:rFonts w:ascii="Arial Narrow" w:hAnsi="Arial Narrow" w:cs="Arial"/>
      <w:b/>
      <w:snapToGrid/>
      <w:sz w:val="32"/>
      <w:szCs w:val="22"/>
      <w:lang w:eastAsia="en-GB"/>
    </w:rPr>
  </w:style>
  <w:style w:type="paragraph" w:customStyle="1" w:styleId="EPFooter2">
    <w:name w:val="EPFooter2"/>
    <w:basedOn w:val="Normal"/>
    <w:next w:val="Normal"/>
    <w:pPr>
      <w:widowControl/>
      <w:tabs>
        <w:tab w:val="center" w:pos="4535"/>
        <w:tab w:val="right" w:pos="9921"/>
      </w:tabs>
      <w:ind w:left="-850" w:right="-850"/>
    </w:pPr>
    <w:rPr>
      <w:rFonts w:ascii="Arial" w:hAnsi="Arial" w:cs="Arial"/>
      <w:b/>
      <w:sz w:val="48"/>
    </w:rPr>
  </w:style>
  <w:style w:type="paragraph" w:styleId="FootnoteText">
    <w:name w:val="footnote text"/>
    <w:basedOn w:val="Normal"/>
    <w:link w:val="FootnoteTextChar"/>
    <w:uiPriority w:val="99"/>
    <w:rPr>
      <w:sz w:val="20"/>
    </w:rPr>
  </w:style>
  <w:style w:type="paragraph" w:customStyle="1" w:styleId="NormalBold">
    <w:name w:val="NormalBold"/>
    <w:basedOn w:val="Normal"/>
    <w:rsid w:val="006A5366"/>
    <w:rPr>
      <w:b/>
    </w:rPr>
  </w:style>
  <w:style w:type="paragraph" w:customStyle="1" w:styleId="CoverReference">
    <w:name w:val="CoverReference"/>
    <w:basedOn w:val="Normal"/>
    <w:rsid w:val="00791131"/>
    <w:pPr>
      <w:spacing w:before="1080"/>
      <w:jc w:val="right"/>
    </w:pPr>
    <w:rPr>
      <w:rFonts w:ascii="Arial" w:hAnsi="Arial" w:cs="Arial"/>
      <w:b/>
    </w:rPr>
  </w:style>
  <w:style w:type="paragraph" w:customStyle="1" w:styleId="CoverNormal24a">
    <w:name w:val="CoverNormal24a"/>
    <w:basedOn w:val="Normal"/>
    <w:rsid w:val="00D20BEB"/>
    <w:pPr>
      <w:spacing w:after="480"/>
      <w:ind w:left="1417"/>
    </w:pPr>
  </w:style>
  <w:style w:type="paragraph" w:styleId="TOC1">
    <w:name w:val="toc 1"/>
    <w:basedOn w:val="Normal"/>
    <w:next w:val="Normal"/>
    <w:autoRedefine/>
    <w:uiPriority w:val="39"/>
    <w:rsid w:val="00E57F92"/>
    <w:pPr>
      <w:spacing w:after="240"/>
    </w:pPr>
  </w:style>
  <w:style w:type="paragraph" w:customStyle="1" w:styleId="TOCPage">
    <w:name w:val="TOC Page"/>
    <w:basedOn w:val="Normal"/>
    <w:next w:val="TOC1"/>
    <w:rsid w:val="004302F8"/>
    <w:pPr>
      <w:keepNext/>
      <w:spacing w:after="240"/>
      <w:jc w:val="right"/>
    </w:pPr>
    <w:rPr>
      <w:rFonts w:ascii="Arial" w:hAnsi="Arial"/>
      <w:b/>
    </w:rPr>
  </w:style>
  <w:style w:type="paragraph" w:customStyle="1" w:styleId="CoverDocType24a">
    <w:name w:val="CoverDocType24a"/>
    <w:basedOn w:val="Normal"/>
    <w:rsid w:val="00F03FCA"/>
    <w:pPr>
      <w:spacing w:after="480"/>
      <w:ind w:left="1418"/>
    </w:pPr>
    <w:rPr>
      <w:rFonts w:ascii="Arial" w:hAnsi="Arial"/>
      <w:b/>
      <w:sz w:val="48"/>
    </w:rPr>
  </w:style>
  <w:style w:type="character" w:customStyle="1" w:styleId="HideTWBInt">
    <w:name w:val="HideTWBInt"/>
    <w:basedOn w:val="DefaultParagraphFont"/>
    <w:rPr>
      <w:rFonts w:ascii="Arial" w:hAnsi="Arial" w:cs="Arial"/>
      <w:noProof/>
      <w:vanish/>
      <w:color w:val="808080"/>
      <w:sz w:val="20"/>
    </w:rPr>
  </w:style>
  <w:style w:type="paragraph" w:styleId="TOC2">
    <w:name w:val="toc 2"/>
    <w:basedOn w:val="Normal"/>
    <w:next w:val="Normal"/>
    <w:autoRedefine/>
    <w:semiHidden/>
    <w:pPr>
      <w:ind w:left="240"/>
    </w:pPr>
  </w:style>
  <w:style w:type="paragraph" w:customStyle="1" w:styleId="NormalHanging12a">
    <w:name w:val="NormalHanging12a"/>
    <w:basedOn w:val="Normal"/>
    <w:link w:val="NormalHanging12aChar"/>
    <w:qFormat/>
    <w:rsid w:val="00E839D9"/>
    <w:pPr>
      <w:spacing w:after="240"/>
      <w:ind w:left="567" w:hanging="567"/>
    </w:pPr>
  </w:style>
  <w:style w:type="paragraph" w:styleId="TOC3">
    <w:name w:val="toc 3"/>
    <w:basedOn w:val="Normal"/>
    <w:next w:val="Normal"/>
    <w:autoRedefine/>
    <w:semiHidden/>
    <w:pPr>
      <w:ind w:left="480"/>
    </w:pPr>
  </w:style>
  <w:style w:type="paragraph" w:styleId="TOC4">
    <w:name w:val="toc 4"/>
    <w:basedOn w:val="Normal"/>
    <w:next w:val="Normal"/>
    <w:autoRedefine/>
    <w:semiHidden/>
    <w:pPr>
      <w:ind w:left="720"/>
    </w:pPr>
  </w:style>
  <w:style w:type="paragraph" w:customStyle="1" w:styleId="PageHeading">
    <w:name w:val="PageHeading"/>
    <w:basedOn w:val="Normal"/>
    <w:link w:val="PageHeadingChar"/>
    <w:rsid w:val="00F03FCA"/>
    <w:pPr>
      <w:keepNext/>
      <w:spacing w:after="480"/>
      <w:jc w:val="center"/>
    </w:pPr>
    <w:rPr>
      <w:rFonts w:ascii="Arial" w:hAnsi="Arial" w:cs="Arial"/>
      <w:b/>
    </w:rPr>
  </w:style>
  <w:style w:type="paragraph" w:styleId="TOC5">
    <w:name w:val="toc 5"/>
    <w:basedOn w:val="Normal"/>
    <w:next w:val="Normal"/>
    <w:autoRedefine/>
    <w:semiHidden/>
    <w:pPr>
      <w:ind w:left="960"/>
    </w:pPr>
  </w:style>
  <w:style w:type="paragraph" w:styleId="TOC6">
    <w:name w:val="toc 6"/>
    <w:basedOn w:val="Normal"/>
    <w:next w:val="Normal"/>
    <w:autoRedefine/>
    <w:semiHidden/>
    <w:pPr>
      <w:ind w:left="1200"/>
    </w:pPr>
  </w:style>
  <w:style w:type="paragraph" w:styleId="TOC7">
    <w:name w:val="toc 7"/>
    <w:basedOn w:val="Normal"/>
    <w:next w:val="Normal"/>
    <w:autoRedefine/>
    <w:semiHidden/>
    <w:pPr>
      <w:ind w:left="1440"/>
    </w:pPr>
  </w:style>
  <w:style w:type="paragraph" w:styleId="TOC8">
    <w:name w:val="toc 8"/>
    <w:basedOn w:val="Normal"/>
    <w:next w:val="Normal"/>
    <w:autoRedefine/>
    <w:semiHidden/>
    <w:pPr>
      <w:ind w:left="1680"/>
    </w:pPr>
  </w:style>
  <w:style w:type="paragraph" w:styleId="TOC9">
    <w:name w:val="toc 9"/>
    <w:basedOn w:val="Normal"/>
    <w:next w:val="Normal"/>
    <w:autoRedefine/>
    <w:semiHidden/>
    <w:pPr>
      <w:ind w:left="1920"/>
    </w:pPr>
  </w:style>
  <w:style w:type="paragraph" w:customStyle="1" w:styleId="TOCSubHeading">
    <w:name w:val="TOC SubHeading"/>
    <w:basedOn w:val="Normal"/>
    <w:rsid w:val="00F03FCA"/>
    <w:pPr>
      <w:spacing w:before="480" w:after="240"/>
    </w:pPr>
    <w:rPr>
      <w:b/>
    </w:rPr>
  </w:style>
  <w:style w:type="paragraph" w:customStyle="1" w:styleId="TOCTabLeader">
    <w:name w:val="TOC TabLeader"/>
    <w:basedOn w:val="Normal"/>
    <w:rsid w:val="004E18BF"/>
    <w:pPr>
      <w:tabs>
        <w:tab w:val="left" w:pos="357"/>
        <w:tab w:val="left" w:leader="dot" w:pos="5954"/>
      </w:tabs>
      <w:spacing w:after="240"/>
      <w:ind w:left="357" w:hanging="357"/>
    </w:pPr>
  </w:style>
  <w:style w:type="paragraph" w:customStyle="1" w:styleId="CoverNormalHanging">
    <w:name w:val="CoverNormalHanging"/>
    <w:basedOn w:val="Normal"/>
    <w:rsid w:val="00BF1100"/>
    <w:pPr>
      <w:ind w:left="3686" w:hanging="2268"/>
    </w:pPr>
  </w:style>
  <w:style w:type="paragraph" w:styleId="TOCHeading">
    <w:name w:val="TOC Heading"/>
    <w:basedOn w:val="Normal"/>
    <w:next w:val="TOCPage"/>
    <w:rsid w:val="007F2104"/>
    <w:pPr>
      <w:keepNext/>
      <w:spacing w:before="240" w:after="240"/>
      <w:jc w:val="center"/>
    </w:pPr>
    <w:rPr>
      <w:rFonts w:ascii="Arial" w:hAnsi="Arial"/>
      <w:b/>
      <w:snapToGrid/>
      <w:lang w:eastAsia="en-GB"/>
    </w:rPr>
  </w:style>
  <w:style w:type="table" w:styleId="TableGrid">
    <w:name w:val="Table Grid"/>
    <w:basedOn w:val="TableNormal"/>
    <w:rsid w:val="00F732B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EPBody">
    <w:name w:val="EPBody"/>
    <w:basedOn w:val="Normal"/>
    <w:rsid w:val="00F03FCA"/>
    <w:pPr>
      <w:jc w:val="center"/>
    </w:pPr>
    <w:rPr>
      <w:rFonts w:ascii="Arial" w:hAnsi="Arial" w:cs="Arial"/>
      <w:i/>
      <w:snapToGrid/>
      <w:sz w:val="22"/>
      <w:szCs w:val="22"/>
      <w:lang w:eastAsia="en-GB"/>
    </w:rPr>
  </w:style>
  <w:style w:type="paragraph" w:customStyle="1" w:styleId="LineTop">
    <w:name w:val="LineTop"/>
    <w:basedOn w:val="Normal"/>
    <w:next w:val="Normal"/>
    <w:rsid w:val="00F732B6"/>
    <w:pPr>
      <w:pBdr>
        <w:top w:val="single" w:sz="4" w:space="1" w:color="auto"/>
      </w:pBdr>
      <w:jc w:val="center"/>
    </w:pPr>
    <w:rPr>
      <w:rFonts w:ascii="Arial" w:hAnsi="Arial" w:cs="Arial"/>
      <w:snapToGrid/>
      <w:sz w:val="16"/>
      <w:szCs w:val="16"/>
      <w:lang w:eastAsia="en-GB"/>
    </w:rPr>
  </w:style>
  <w:style w:type="paragraph" w:customStyle="1" w:styleId="LineBottom">
    <w:name w:val="LineBottom"/>
    <w:basedOn w:val="Normal"/>
    <w:next w:val="Normal"/>
    <w:rsid w:val="00791131"/>
    <w:pPr>
      <w:pBdr>
        <w:bottom w:val="single" w:sz="4" w:space="1" w:color="auto"/>
      </w:pBdr>
      <w:spacing w:after="240"/>
      <w:jc w:val="center"/>
    </w:pPr>
    <w:rPr>
      <w:rFonts w:ascii="Arial" w:hAnsi="Arial" w:cs="Arial"/>
      <w:snapToGrid/>
      <w:sz w:val="16"/>
      <w:szCs w:val="16"/>
      <w:lang w:eastAsia="en-GB"/>
    </w:rPr>
  </w:style>
  <w:style w:type="paragraph" w:customStyle="1" w:styleId="EPTerm">
    <w:name w:val="EPTerm"/>
    <w:basedOn w:val="Normal"/>
    <w:next w:val="Normal"/>
    <w:rsid w:val="00D16E15"/>
    <w:pPr>
      <w:spacing w:after="80"/>
    </w:pPr>
    <w:rPr>
      <w:rFonts w:ascii="Arial" w:hAnsi="Arial" w:cs="Arial"/>
      <w:snapToGrid/>
      <w:sz w:val="20"/>
      <w:szCs w:val="22"/>
      <w:lang w:eastAsia="en-GB"/>
    </w:rPr>
  </w:style>
  <w:style w:type="paragraph" w:customStyle="1" w:styleId="EPLogo">
    <w:name w:val="EPLogo"/>
    <w:basedOn w:val="Normal"/>
    <w:qFormat/>
    <w:rsid w:val="00D16E15"/>
    <w:pPr>
      <w:jc w:val="right"/>
    </w:pPr>
    <w:rPr>
      <w:snapToGrid/>
      <w:lang w:eastAsia="en-GB"/>
    </w:rPr>
  </w:style>
  <w:style w:type="paragraph" w:customStyle="1" w:styleId="CoverRefPart">
    <w:name w:val="CoverRefPart"/>
    <w:basedOn w:val="Normal"/>
    <w:rsid w:val="00577455"/>
    <w:pPr>
      <w:jc w:val="right"/>
    </w:pPr>
    <w:rPr>
      <w:rFonts w:ascii="Arial" w:hAnsi="Arial"/>
    </w:rPr>
  </w:style>
  <w:style w:type="paragraph" w:customStyle="1" w:styleId="Subheading">
    <w:name w:val="Subheading"/>
    <w:basedOn w:val="Normal"/>
    <w:rsid w:val="00F03FCA"/>
    <w:pPr>
      <w:spacing w:before="480" w:after="240"/>
    </w:pPr>
    <w:rPr>
      <w:b/>
      <w:bCs/>
      <w:i/>
      <w:iCs/>
    </w:rPr>
  </w:style>
  <w:style w:type="paragraph" w:customStyle="1" w:styleId="EPFooter">
    <w:name w:val="EPFooter"/>
    <w:basedOn w:val="Normal"/>
    <w:rsid w:val="007C663F"/>
    <w:pPr>
      <w:tabs>
        <w:tab w:val="center" w:pos="4535"/>
        <w:tab w:val="right" w:pos="9071"/>
      </w:tabs>
      <w:spacing w:before="240" w:after="240"/>
    </w:pPr>
    <w:rPr>
      <w:color w:val="010000"/>
      <w:sz w:val="22"/>
    </w:rPr>
  </w:style>
  <w:style w:type="paragraph" w:styleId="Header">
    <w:name w:val="header"/>
    <w:basedOn w:val="Normal"/>
    <w:link w:val="HeaderChar"/>
    <w:semiHidden/>
    <w:rsid w:val="007C663F"/>
    <w:pPr>
      <w:tabs>
        <w:tab w:val="center" w:pos="4513"/>
        <w:tab w:val="right" w:pos="9026"/>
      </w:tabs>
    </w:pPr>
  </w:style>
  <w:style w:type="character" w:customStyle="1" w:styleId="HeaderChar">
    <w:name w:val="Header Char"/>
    <w:basedOn w:val="DefaultParagraphFont"/>
    <w:link w:val="Header"/>
    <w:semiHidden/>
    <w:rsid w:val="00791131"/>
    <w:rPr>
      <w:snapToGrid w:val="0"/>
      <w:sz w:val="24"/>
      <w:lang w:eastAsia="en-US"/>
    </w:rPr>
  </w:style>
  <w:style w:type="character" w:styleId="PageNumber">
    <w:name w:val="page number"/>
    <w:basedOn w:val="DefaultParagraphFont"/>
    <w:semiHidden/>
    <w:rsid w:val="00131752"/>
  </w:style>
  <w:style w:type="character" w:styleId="FootnoteReference">
    <w:name w:val="footnote reference"/>
    <w:aliases w:val="Exposant 3 Point,FR,FR1,FR2,FR3,Footnote,Footnote Reference Number,Footnote number,Footnote reference number,Footnote symbol,Footnotemark,Footnotemark1,Footnotemark2,Footnotemark3,Footnotemark4,Times 10 Point,Voetnootverwijzing,fr,o"/>
    <w:basedOn w:val="DefaultParagraphFont"/>
    <w:link w:val="FootnoteReference1"/>
    <w:uiPriority w:val="99"/>
    <w:rsid w:val="00A03794"/>
    <w:rPr>
      <w:vertAlign w:val="superscript"/>
    </w:rPr>
  </w:style>
  <w:style w:type="character" w:styleId="Hyperlink">
    <w:name w:val="Hyperlink"/>
    <w:basedOn w:val="DefaultParagraphFont"/>
    <w:uiPriority w:val="99"/>
    <w:rsid w:val="00A03794"/>
    <w:rPr>
      <w:color w:val="0563C1" w:themeColor="hyperlink"/>
      <w:u w:val="single"/>
    </w:rPr>
  </w:style>
  <w:style w:type="character" w:customStyle="1" w:styleId="UnresolvedMention">
    <w:name w:val="Unresolved Mention"/>
    <w:basedOn w:val="DefaultParagraphFont"/>
    <w:uiPriority w:val="99"/>
    <w:semiHidden/>
    <w:unhideWhenUsed/>
    <w:rsid w:val="00A03794"/>
    <w:rPr>
      <w:color w:val="605E5C"/>
      <w:shd w:val="clear" w:color="auto" w:fill="E1DFDD"/>
    </w:rPr>
  </w:style>
  <w:style w:type="character" w:customStyle="1" w:styleId="NormalHanging12aChar">
    <w:name w:val="NormalHanging12a Char"/>
    <w:basedOn w:val="DefaultParagraphFont"/>
    <w:link w:val="NormalHanging12a"/>
    <w:locked/>
    <w:rsid w:val="00A03794"/>
    <w:rPr>
      <w:snapToGrid w:val="0"/>
      <w:sz w:val="24"/>
      <w:lang w:val="it-IT" w:eastAsia="en-US"/>
    </w:rPr>
  </w:style>
  <w:style w:type="character" w:customStyle="1" w:styleId="FootnoteTextChar">
    <w:name w:val="Footnote Text Char"/>
    <w:basedOn w:val="DefaultParagraphFont"/>
    <w:link w:val="FootnoteText"/>
    <w:uiPriority w:val="99"/>
    <w:qFormat/>
    <w:rsid w:val="00A03794"/>
    <w:rPr>
      <w:snapToGrid w:val="0"/>
      <w:lang w:val="it-IT" w:eastAsia="en-US"/>
    </w:rPr>
  </w:style>
  <w:style w:type="paragraph" w:customStyle="1" w:styleId="FootnoteReference1">
    <w:name w:val="Footnote Reference1"/>
    <w:basedOn w:val="Normal"/>
    <w:link w:val="FootnoteReference"/>
    <w:rsid w:val="00A03794"/>
    <w:pPr>
      <w:widowControl/>
      <w:spacing w:after="160" w:line="240" w:lineRule="exact"/>
    </w:pPr>
    <w:rPr>
      <w:snapToGrid/>
      <w:sz w:val="20"/>
      <w:vertAlign w:val="superscript"/>
      <w:lang w:eastAsia="en-GB"/>
    </w:rPr>
  </w:style>
  <w:style w:type="paragraph" w:customStyle="1" w:styleId="Visa">
    <w:name w:val="Visa"/>
    <w:basedOn w:val="Normal"/>
    <w:rsid w:val="00E678A6"/>
    <w:pPr>
      <w:tabs>
        <w:tab w:val="left" w:pos="357"/>
      </w:tabs>
      <w:spacing w:after="240"/>
      <w:ind w:left="357" w:hanging="357"/>
    </w:pPr>
  </w:style>
  <w:style w:type="paragraph" w:customStyle="1" w:styleId="Action">
    <w:name w:val="Action"/>
    <w:basedOn w:val="Visa"/>
    <w:rsid w:val="00E678A6"/>
  </w:style>
  <w:style w:type="character" w:customStyle="1" w:styleId="Normal12HangingChar">
    <w:name w:val="Normal12Hanging Char"/>
    <w:link w:val="Normal12Hanging"/>
    <w:locked/>
    <w:rsid w:val="00E678A6"/>
    <w:rPr>
      <w:sz w:val="24"/>
    </w:rPr>
  </w:style>
  <w:style w:type="paragraph" w:customStyle="1" w:styleId="Normal12Hanging">
    <w:name w:val="Normal12Hanging"/>
    <w:basedOn w:val="Normal"/>
    <w:link w:val="Normal12HangingChar"/>
    <w:rsid w:val="00E678A6"/>
    <w:pPr>
      <w:spacing w:after="240"/>
      <w:ind w:left="567" w:hanging="567"/>
    </w:pPr>
    <w:rPr>
      <w:snapToGrid/>
      <w:lang w:eastAsia="en-GB"/>
    </w:rPr>
  </w:style>
  <w:style w:type="paragraph" w:customStyle="1" w:styleId="Normal24a">
    <w:name w:val="Normal24a"/>
    <w:basedOn w:val="Normal"/>
    <w:rsid w:val="00484767"/>
    <w:pPr>
      <w:spacing w:after="480"/>
    </w:pPr>
    <w:rPr>
      <w:snapToGrid/>
      <w:lang w:val="en-GB" w:eastAsia="en-GB"/>
    </w:rPr>
  </w:style>
  <w:style w:type="paragraph" w:customStyle="1" w:styleId="NormalBoldCenter">
    <w:name w:val="NormalBoldCenter"/>
    <w:basedOn w:val="Normal"/>
    <w:rsid w:val="00484767"/>
    <w:pPr>
      <w:jc w:val="center"/>
    </w:pPr>
    <w:rPr>
      <w:b/>
      <w:snapToGrid/>
      <w:lang w:val="en-GB" w:eastAsia="en-GB"/>
    </w:rPr>
  </w:style>
  <w:style w:type="paragraph" w:customStyle="1" w:styleId="Footprint12b">
    <w:name w:val="Footprint12b"/>
    <w:basedOn w:val="Normal"/>
    <w:rsid w:val="00484767"/>
    <w:pPr>
      <w:spacing w:before="240"/>
    </w:pPr>
    <w:rPr>
      <w:snapToGrid/>
      <w:szCs w:val="24"/>
      <w:lang w:val="en-GB" w:eastAsia="en-GB"/>
    </w:rPr>
  </w:style>
  <w:style w:type="paragraph" w:customStyle="1" w:styleId="NormalSingle">
    <w:name w:val="NormalSingle"/>
    <w:basedOn w:val="Normal"/>
    <w:qFormat/>
    <w:rsid w:val="00484767"/>
    <w:rPr>
      <w:snapToGrid/>
      <w:szCs w:val="24"/>
      <w:lang w:val="en-GB" w:eastAsia="en-GB"/>
    </w:rPr>
  </w:style>
  <w:style w:type="paragraph" w:customStyle="1" w:styleId="Normal12a">
    <w:name w:val="Normal12a"/>
    <w:basedOn w:val="Normal"/>
    <w:rsid w:val="00727D88"/>
    <w:pPr>
      <w:spacing w:after="240"/>
    </w:pPr>
    <w:rPr>
      <w:snapToGrid/>
      <w:lang w:val="en-GB" w:eastAsia="en-GB"/>
    </w:rPr>
  </w:style>
  <w:style w:type="paragraph" w:customStyle="1" w:styleId="RollCallVotes">
    <w:name w:val="RollCallVotes"/>
    <w:basedOn w:val="Normal"/>
    <w:rsid w:val="00727D88"/>
    <w:pPr>
      <w:spacing w:before="120" w:after="120"/>
      <w:jc w:val="center"/>
    </w:pPr>
    <w:rPr>
      <w:b/>
      <w:bCs/>
      <w:sz w:val="16"/>
      <w:lang w:val="en-GB"/>
    </w:rPr>
  </w:style>
  <w:style w:type="paragraph" w:customStyle="1" w:styleId="RollCallTabs">
    <w:name w:val="RollCallTabs"/>
    <w:basedOn w:val="Normal"/>
    <w:qFormat/>
    <w:rsid w:val="00727D88"/>
    <w:pPr>
      <w:tabs>
        <w:tab w:val="center" w:pos="284"/>
        <w:tab w:val="left" w:pos="426"/>
      </w:tabs>
    </w:pPr>
    <w:rPr>
      <w:lang w:val="en-GB"/>
    </w:rPr>
  </w:style>
  <w:style w:type="paragraph" w:customStyle="1" w:styleId="RollCallSymbols14pt">
    <w:name w:val="RollCallSymbols14pt"/>
    <w:basedOn w:val="Normal"/>
    <w:rsid w:val="00727D88"/>
    <w:pPr>
      <w:spacing w:before="120" w:after="120"/>
      <w:jc w:val="center"/>
    </w:pPr>
    <w:rPr>
      <w:rFonts w:ascii="Arial" w:hAnsi="Arial"/>
      <w:b/>
      <w:bCs/>
      <w:sz w:val="28"/>
      <w:lang w:val="en-GB"/>
    </w:rPr>
  </w:style>
  <w:style w:type="paragraph" w:customStyle="1" w:styleId="RollCallTable">
    <w:name w:val="RollCallTable"/>
    <w:basedOn w:val="Normal"/>
    <w:rsid w:val="00727D88"/>
    <w:pPr>
      <w:spacing w:before="120" w:after="120"/>
    </w:pPr>
    <w:rPr>
      <w:sz w:val="16"/>
      <w:lang w:val="en-GB"/>
    </w:rPr>
  </w:style>
  <w:style w:type="paragraph" w:customStyle="1" w:styleId="PageHeadingNotTOC">
    <w:name w:val="PageHeadingNotTOC"/>
    <w:basedOn w:val="Normal"/>
    <w:rsid w:val="00AE735B"/>
    <w:pPr>
      <w:keepNext/>
      <w:spacing w:after="480"/>
      <w:jc w:val="center"/>
    </w:pPr>
    <w:rPr>
      <w:rFonts w:ascii="Arial" w:hAnsi="Arial" w:cs="Arial"/>
      <w:b/>
      <w:snapToGrid/>
      <w:lang w:eastAsia="en-GB"/>
    </w:rPr>
  </w:style>
  <w:style w:type="paragraph" w:customStyle="1" w:styleId="CoverDate">
    <w:name w:val="CoverDate"/>
    <w:basedOn w:val="Normal"/>
    <w:rsid w:val="00AE735B"/>
    <w:pPr>
      <w:spacing w:before="240" w:after="1200"/>
    </w:pPr>
    <w:rPr>
      <w:snapToGrid/>
      <w:lang w:eastAsia="en-GB"/>
    </w:rPr>
  </w:style>
  <w:style w:type="paragraph" w:customStyle="1" w:styleId="CompromiseParagraph">
    <w:name w:val="Compromise Paragraph"/>
    <w:basedOn w:val="Normal"/>
    <w:rsid w:val="00AE735B"/>
    <w:pPr>
      <w:widowControl/>
      <w:tabs>
        <w:tab w:val="left" w:pos="482"/>
      </w:tabs>
      <w:spacing w:after="140" w:line="259" w:lineRule="auto"/>
      <w:ind w:left="482" w:hanging="482"/>
      <w:jc w:val="both"/>
    </w:pPr>
    <w:rPr>
      <w:rFonts w:eastAsiaTheme="minorEastAsia" w:cstheme="minorBidi"/>
      <w:snapToGrid/>
      <w:sz w:val="22"/>
      <w:szCs w:val="22"/>
    </w:rPr>
  </w:style>
  <w:style w:type="paragraph" w:customStyle="1" w:styleId="LetterSalutation">
    <w:name w:val="LetterSalutation"/>
    <w:basedOn w:val="Normal"/>
    <w:rsid w:val="00AE735B"/>
    <w:pPr>
      <w:spacing w:before="600" w:after="360"/>
    </w:pPr>
    <w:rPr>
      <w:snapToGrid/>
      <w:lang w:eastAsia="en-GB"/>
    </w:rPr>
  </w:style>
  <w:style w:type="paragraph" w:customStyle="1" w:styleId="LetterSubject">
    <w:name w:val="LetterSubject"/>
    <w:basedOn w:val="Normal"/>
    <w:rsid w:val="00AE735B"/>
    <w:pPr>
      <w:spacing w:before="480"/>
      <w:ind w:left="1134" w:hanging="1134"/>
    </w:pPr>
    <w:rPr>
      <w:snapToGrid/>
      <w:lang w:eastAsia="en-GB"/>
    </w:rPr>
  </w:style>
  <w:style w:type="paragraph" w:styleId="Index1">
    <w:name w:val="index 1"/>
    <w:basedOn w:val="Normal"/>
    <w:next w:val="Normal"/>
    <w:autoRedefine/>
    <w:rsid w:val="00AE735B"/>
    <w:pPr>
      <w:ind w:left="240" w:hanging="240"/>
    </w:pPr>
  </w:style>
  <w:style w:type="paragraph" w:styleId="IndexHeading">
    <w:name w:val="index heading"/>
    <w:basedOn w:val="Normal"/>
    <w:next w:val="Index1"/>
    <w:unhideWhenUsed/>
    <w:rsid w:val="00AE735B"/>
    <w:pPr>
      <w:widowControl/>
      <w:tabs>
        <w:tab w:val="left" w:pos="1021"/>
        <w:tab w:val="left" w:pos="1418"/>
        <w:tab w:val="left" w:pos="1786"/>
        <w:tab w:val="left" w:pos="2381"/>
        <w:tab w:val="left" w:pos="2948"/>
        <w:tab w:val="left" w:pos="3572"/>
        <w:tab w:val="left" w:pos="4139"/>
        <w:tab w:val="left" w:pos="4763"/>
        <w:tab w:val="left" w:pos="5387"/>
        <w:tab w:val="left" w:pos="5954"/>
        <w:tab w:val="left" w:pos="6577"/>
        <w:tab w:val="left" w:pos="7144"/>
      </w:tabs>
      <w:jc w:val="both"/>
    </w:pPr>
    <w:rPr>
      <w:snapToGrid/>
    </w:rPr>
  </w:style>
  <w:style w:type="paragraph" w:styleId="ListParagraph">
    <w:name w:val="List Paragraph"/>
    <w:basedOn w:val="Normal"/>
    <w:uiPriority w:val="1"/>
    <w:qFormat/>
    <w:rsid w:val="00AE735B"/>
    <w:pPr>
      <w:snapToGrid w:val="0"/>
      <w:ind w:left="720"/>
      <w:contextualSpacing/>
    </w:pPr>
    <w:rPr>
      <w:snapToGrid/>
    </w:rPr>
  </w:style>
  <w:style w:type="paragraph" w:customStyle="1" w:styleId="Normal12">
    <w:name w:val="Normal12"/>
    <w:basedOn w:val="Normal"/>
    <w:link w:val="Normal12Char"/>
    <w:rsid w:val="00AE735B"/>
    <w:pPr>
      <w:spacing w:after="240"/>
    </w:pPr>
    <w:rPr>
      <w:rFonts w:ascii="Arial" w:hAnsi="Arial" w:cs="Arial"/>
    </w:rPr>
  </w:style>
  <w:style w:type="character" w:customStyle="1" w:styleId="PageHeadingChar">
    <w:name w:val="PageHeading Char"/>
    <w:basedOn w:val="DefaultParagraphFont"/>
    <w:link w:val="PageHeading"/>
    <w:rsid w:val="00AE735B"/>
    <w:rPr>
      <w:rFonts w:ascii="Arial" w:hAnsi="Arial" w:cs="Arial"/>
      <w:b/>
      <w:snapToGrid w:val="0"/>
      <w:sz w:val="24"/>
      <w:lang w:eastAsia="en-US"/>
    </w:rPr>
  </w:style>
  <w:style w:type="character" w:customStyle="1" w:styleId="Normal12Char">
    <w:name w:val="Normal12 Char"/>
    <w:basedOn w:val="PageHeadingChar"/>
    <w:link w:val="Normal12"/>
    <w:rsid w:val="00AE735B"/>
    <w:rPr>
      <w:rFonts w:ascii="Arial" w:hAnsi="Arial" w:cs="Arial"/>
      <w:b w:val="0"/>
      <w:snapToGrid w:val="0"/>
      <w:sz w:val="24"/>
      <w:lang w:eastAsia="en-US"/>
    </w:rPr>
  </w:style>
  <w:style w:type="paragraph" w:customStyle="1" w:styleId="LetterSignature66b">
    <w:name w:val="LetterSignature66b"/>
    <w:basedOn w:val="Normal"/>
    <w:next w:val="Normal"/>
    <w:rsid w:val="00AE735B"/>
    <w:pPr>
      <w:spacing w:before="1320"/>
    </w:pPr>
    <w:rPr>
      <w:snapToGrid/>
      <w:lang w:eastAsia="en-GB"/>
    </w:rPr>
  </w:style>
  <w:style w:type="paragraph" w:styleId="Footer">
    <w:name w:val="footer"/>
    <w:basedOn w:val="Normal"/>
    <w:link w:val="FooterChar"/>
    <w:rsid w:val="00F40CBC"/>
    <w:pPr>
      <w:tabs>
        <w:tab w:val="center" w:pos="4513"/>
        <w:tab w:val="right" w:pos="9026"/>
      </w:tabs>
    </w:pPr>
  </w:style>
  <w:style w:type="character" w:customStyle="1" w:styleId="FooterChar">
    <w:name w:val="Footer Char"/>
    <w:basedOn w:val="DefaultParagraphFont"/>
    <w:link w:val="Footer"/>
    <w:rsid w:val="00F40CBC"/>
    <w:rPr>
      <w:snapToGrid w:val="0"/>
      <w:sz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&#65279;<?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footer" Target="footer2.xml" /><Relationship Id="rId11" Type="http://schemas.openxmlformats.org/officeDocument/2006/relationships/header" Target="header3.xml" /><Relationship Id="rId12" Type="http://schemas.openxmlformats.org/officeDocument/2006/relationships/footer" Target="footer3.xml" /><Relationship Id="rId13" Type="http://schemas.openxmlformats.org/officeDocument/2006/relationships/header" Target="header4.xml" /><Relationship Id="rId14" Type="http://schemas.openxmlformats.org/officeDocument/2006/relationships/header" Target="header5.xml" /><Relationship Id="rId15" Type="http://schemas.openxmlformats.org/officeDocument/2006/relationships/header" Target="header6.xml" /><Relationship Id="rId16" Type="http://schemas.openxmlformats.org/officeDocument/2006/relationships/footer" Target="footer4.xml" /><Relationship Id="rId17" Type="http://schemas.openxmlformats.org/officeDocument/2006/relationships/header" Target="header7.xml" /><Relationship Id="rId18" Type="http://schemas.openxmlformats.org/officeDocument/2006/relationships/header" Target="header8.xml" /><Relationship Id="rId19" Type="http://schemas.openxmlformats.org/officeDocument/2006/relationships/header" Target="header9.xml" /><Relationship Id="rId2" Type="http://schemas.openxmlformats.org/officeDocument/2006/relationships/settings" Target="settings.xml" /><Relationship Id="rId20" Type="http://schemas.openxmlformats.org/officeDocument/2006/relationships/footer" Target="footer5.xml" /><Relationship Id="rId21" Type="http://schemas.openxmlformats.org/officeDocument/2006/relationships/header" Target="header10.xml" /><Relationship Id="rId22" Type="http://schemas.openxmlformats.org/officeDocument/2006/relationships/header" Target="header11.xml" /><Relationship Id="rId23" Type="http://schemas.openxmlformats.org/officeDocument/2006/relationships/header" Target="header12.xml" /><Relationship Id="rId24" Type="http://schemas.openxmlformats.org/officeDocument/2006/relationships/footer" Target="footer6.xml" /><Relationship Id="rId25" Type="http://schemas.openxmlformats.org/officeDocument/2006/relationships/header" Target="header13.xml" /><Relationship Id="rId26" Type="http://schemas.openxmlformats.org/officeDocument/2006/relationships/header" Target="header14.xml" /><Relationship Id="rId27" Type="http://schemas.openxmlformats.org/officeDocument/2006/relationships/header" Target="header15.xml" /><Relationship Id="rId28" Type="http://schemas.openxmlformats.org/officeDocument/2006/relationships/footer" Target="footer7.xml" /><Relationship Id="rId29" Type="http://schemas.openxmlformats.org/officeDocument/2006/relationships/header" Target="header16.xml" /><Relationship Id="rId3" Type="http://schemas.openxmlformats.org/officeDocument/2006/relationships/webSettings" Target="webSettings.xml" /><Relationship Id="rId30" Type="http://schemas.openxmlformats.org/officeDocument/2006/relationships/header" Target="header17.xml" /><Relationship Id="rId31" Type="http://schemas.openxmlformats.org/officeDocument/2006/relationships/header" Target="header18.xml" /><Relationship Id="rId32" Type="http://schemas.openxmlformats.org/officeDocument/2006/relationships/footer" Target="footer8.xml" /><Relationship Id="rId33" Type="http://schemas.openxmlformats.org/officeDocument/2006/relationships/header" Target="header19.xml" /><Relationship Id="rId34" Type="http://schemas.openxmlformats.org/officeDocument/2006/relationships/header" Target="header20.xml" /><Relationship Id="rId35" Type="http://schemas.openxmlformats.org/officeDocument/2006/relationships/header" Target="header21.xml" /><Relationship Id="rId36" Type="http://schemas.openxmlformats.org/officeDocument/2006/relationships/footer" Target="footer9.xml" /><Relationship Id="rId37" Type="http://schemas.openxmlformats.org/officeDocument/2006/relationships/header" Target="header22.xml" /><Relationship Id="rId38" Type="http://schemas.openxmlformats.org/officeDocument/2006/relationships/header" Target="header23.xml" /><Relationship Id="rId39" Type="http://schemas.openxmlformats.org/officeDocument/2006/relationships/header" Target="header24.xml" /><Relationship Id="rId4" Type="http://schemas.openxmlformats.org/officeDocument/2006/relationships/fontTable" Target="fontTable.xml" /><Relationship Id="rId40" Type="http://schemas.openxmlformats.org/officeDocument/2006/relationships/footer" Target="footer10.xml" /><Relationship Id="rId41" Type="http://schemas.openxmlformats.org/officeDocument/2006/relationships/hyperlink" Target="https://www.europarl.europa.eu/data-protect/index.do" TargetMode="External" /><Relationship Id="rId42" Type="http://schemas.openxmlformats.org/officeDocument/2006/relationships/header" Target="header25.xml" /><Relationship Id="rId43" Type="http://schemas.openxmlformats.org/officeDocument/2006/relationships/header" Target="header26.xml" /><Relationship Id="rId44" Type="http://schemas.openxmlformats.org/officeDocument/2006/relationships/header" Target="header27.xml" /><Relationship Id="rId45" Type="http://schemas.openxmlformats.org/officeDocument/2006/relationships/footer" Target="footer11.xml" /><Relationship Id="rId46" Type="http://schemas.openxmlformats.org/officeDocument/2006/relationships/header" Target="header28.xml" /><Relationship Id="rId47" Type="http://schemas.openxmlformats.org/officeDocument/2006/relationships/header" Target="header29.xml" /><Relationship Id="rId48" Type="http://schemas.openxmlformats.org/officeDocument/2006/relationships/header" Target="header30.xml" /><Relationship Id="rId49" Type="http://schemas.openxmlformats.org/officeDocument/2006/relationships/footer" Target="footer12.xml" /><Relationship Id="rId5" Type="http://schemas.openxmlformats.org/officeDocument/2006/relationships/customXml" Target="../customXml/item1.xml" /><Relationship Id="rId50" Type="http://schemas.openxmlformats.org/officeDocument/2006/relationships/header" Target="header31.xml" /><Relationship Id="rId51" Type="http://schemas.openxmlformats.org/officeDocument/2006/relationships/header" Target="header32.xml" /><Relationship Id="rId52" Type="http://schemas.openxmlformats.org/officeDocument/2006/relationships/header" Target="header33.xml" /><Relationship Id="rId53" Type="http://schemas.openxmlformats.org/officeDocument/2006/relationships/footer" Target="footer13.xml" /><Relationship Id="rId54" Type="http://schemas.openxmlformats.org/officeDocument/2006/relationships/header" Target="header34.xml" /><Relationship Id="rId55" Type="http://schemas.openxmlformats.org/officeDocument/2006/relationships/header" Target="header35.xml" /><Relationship Id="rId56" Type="http://schemas.openxmlformats.org/officeDocument/2006/relationships/header" Target="header36.xml" /><Relationship Id="rId57" Type="http://schemas.openxmlformats.org/officeDocument/2006/relationships/footer" Target="footer14.xml" /><Relationship Id="rId58" Type="http://schemas.openxmlformats.org/officeDocument/2006/relationships/header" Target="header37.xml" /><Relationship Id="rId59" Type="http://schemas.openxmlformats.org/officeDocument/2006/relationships/header" Target="header38.xml" /><Relationship Id="rId6" Type="http://schemas.openxmlformats.org/officeDocument/2006/relationships/image" Target="media/image1.png" /><Relationship Id="rId60" Type="http://schemas.openxmlformats.org/officeDocument/2006/relationships/header" Target="header39.xml" /><Relationship Id="rId61" Type="http://schemas.openxmlformats.org/officeDocument/2006/relationships/footer" Target="footer15.xml" /><Relationship Id="rId62" Type="http://schemas.openxmlformats.org/officeDocument/2006/relationships/header" Target="header40.xml" /><Relationship Id="rId63" Type="http://schemas.openxmlformats.org/officeDocument/2006/relationships/header" Target="header41.xml" /><Relationship Id="rId64" Type="http://schemas.openxmlformats.org/officeDocument/2006/relationships/header" Target="header42.xml" /><Relationship Id="rId65" Type="http://schemas.openxmlformats.org/officeDocument/2006/relationships/footer" Target="footer16.xml" /><Relationship Id="rId66" Type="http://schemas.openxmlformats.org/officeDocument/2006/relationships/header" Target="header43.xml" /><Relationship Id="rId67" Type="http://schemas.openxmlformats.org/officeDocument/2006/relationships/header" Target="header44.xml" /><Relationship Id="rId68" Type="http://schemas.openxmlformats.org/officeDocument/2006/relationships/header" Target="header45.xml" /><Relationship Id="rId69" Type="http://schemas.openxmlformats.org/officeDocument/2006/relationships/footer" Target="footer17.xml" /><Relationship Id="rId7" Type="http://schemas.openxmlformats.org/officeDocument/2006/relationships/header" Target="header1.xml" /><Relationship Id="rId70" Type="http://schemas.openxmlformats.org/officeDocument/2006/relationships/header" Target="header46.xml" /><Relationship Id="rId71" Type="http://schemas.openxmlformats.org/officeDocument/2006/relationships/header" Target="header47.xml" /><Relationship Id="rId72" Type="http://schemas.openxmlformats.org/officeDocument/2006/relationships/header" Target="header48.xml" /><Relationship Id="rId73" Type="http://schemas.openxmlformats.org/officeDocument/2006/relationships/footer" Target="footer18.xml" /><Relationship Id="rId74" Type="http://schemas.openxmlformats.org/officeDocument/2006/relationships/header" Target="header49.xml" /><Relationship Id="rId75" Type="http://schemas.openxmlformats.org/officeDocument/2006/relationships/header" Target="header50.xml" /><Relationship Id="rId76" Type="http://schemas.openxmlformats.org/officeDocument/2006/relationships/header" Target="header51.xml" /><Relationship Id="rId77" Type="http://schemas.openxmlformats.org/officeDocument/2006/relationships/footer" Target="footer19.xml" /><Relationship Id="rId78" Type="http://schemas.openxmlformats.org/officeDocument/2006/relationships/theme" Target="theme/theme1.xml" /><Relationship Id="rId79" Type="http://schemas.openxmlformats.org/officeDocument/2006/relationships/numbering" Target="numbering.xml" /><Relationship Id="rId8" Type="http://schemas.openxmlformats.org/officeDocument/2006/relationships/header" Target="header2.xml" /><Relationship Id="rId80" Type="http://schemas.openxmlformats.org/officeDocument/2006/relationships/styles" Target="styles.xml" /><Relationship Id="rId9" Type="http://schemas.openxmlformats.org/officeDocument/2006/relationships/footer" Target="footer1.xml" /></Relationships>
</file>

<file path=word/_rels/footnotes.xml.rels>&#65279;<?xml version="1.0" encoding="utf-8" standalone="yes"?><Relationships xmlns="http://schemas.openxmlformats.org/package/2006/relationships"><Relationship Id="rId1" Type="http://schemas.openxmlformats.org/officeDocument/2006/relationships/hyperlink" Target="http://data.europa.eu/eli/dec/2020/2053/oj" TargetMode="External" /><Relationship Id="rId10" Type="http://schemas.openxmlformats.org/officeDocument/2006/relationships/hyperlink" Target="http://data.europa.eu/eli/reg/2020/2092/oj" TargetMode="External" /><Relationship Id="rId11" Type="http://schemas.openxmlformats.org/officeDocument/2006/relationships/hyperlink" Target="http://data.europa.eu/eli/reg/2021/1060/oj" TargetMode="External" /><Relationship Id="rId12" Type="http://schemas.openxmlformats.org/officeDocument/2006/relationships/hyperlink" Target="http://data.europa.eu/eli/reg/2017/1939/oj" TargetMode="External" /><Relationship Id="rId13" Type="http://schemas.openxmlformats.org/officeDocument/2006/relationships/hyperlink" Target="https://cinea.ec.europa.eu/funding-opportunities/calls-proposals/2026-cef-transport-calls-proposals_en" TargetMode="External" /><Relationship Id="rId14" Type="http://schemas.openxmlformats.org/officeDocument/2006/relationships/hyperlink" Target="https://transport.ec.europa.eu/news-events/news/commission-moves-towards-military-schengen-and-transformation-defence-industry-2025-11-19_en" TargetMode="External" /><Relationship Id="rId15" Type="http://schemas.openxmlformats.org/officeDocument/2006/relationships/hyperlink" Target="https://www.europarl.europa.eu/doceo/document/TA-10-2026-0111_IT.html" TargetMode="External" /><Relationship Id="rId2" Type="http://schemas.openxmlformats.org/officeDocument/2006/relationships/hyperlink" Target="http://data.europa.eu/eli/reg/2024/2509/oj" TargetMode="External" /><Relationship Id="rId3" Type="http://schemas.openxmlformats.org/officeDocument/2006/relationships/hyperlink" Target="http://data.europa.eu/eli/reg/2020/2093/oj" TargetMode="External" /><Relationship Id="rId4" Type="http://schemas.openxmlformats.org/officeDocument/2006/relationships/hyperlink" Target="http://data.europa.eu/eli/reg/2022/2496/oj" TargetMode="External" /><Relationship Id="rId5" Type="http://schemas.openxmlformats.org/officeDocument/2006/relationships/hyperlink" Target="http://data.europa.eu/eli/reg/2024/765/oj" TargetMode="External" /><Relationship Id="rId6" Type="http://schemas.openxmlformats.org/officeDocument/2006/relationships/hyperlink" Target="https://eur-lex.europa.eu/eli/reg/2026/469/oj" TargetMode="External" /><Relationship Id="rId7" Type="http://schemas.openxmlformats.org/officeDocument/2006/relationships/hyperlink" Target="http://data.europa.eu/eli/agree_interinstit/2020/1222/oj" TargetMode="External" /><Relationship Id="rId8" Type="http://schemas.openxmlformats.org/officeDocument/2006/relationships/hyperlink" Target="http://data.europa.eu/eli/agree_interinstit/2021/611/oj" TargetMode="External" /><Relationship Id="rId9" Type="http://schemas.openxmlformats.org/officeDocument/2006/relationships/hyperlink" Target="https://publications.jrc.ec.europa.eu/repository/handle/JRC147365"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&#65279;<?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93784F8-2970-43A9-89C1-138E9005FAF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136</Pages>
  <Words>40792</Words>
  <Characters>243938</Characters>
  <Application>Microsoft Office Word</Application>
  <DocSecurity>0</DocSecurity>
  <Lines>4435</Lines>
  <Paragraphs>1573</Paragraphs>
  <ScaleCrop>false</ScaleCrop>
  <HeadingPairs>
    <vt:vector size="2" baseType="variant">
      <vt:variant>
        <vt:lpstr>Title</vt:lpstr>
      </vt:variant>
      <vt:variant>
        <vt:i4>1</vt:i4>
      </vt:variant>
    </vt:vector>
  </HeadingPairs>
  <TitlesOfParts>
    <vt:vector size="1" baseType="lpstr">
      <vt:lpstr>PR_BUD_1all</vt:lpstr>
    </vt:vector>
  </TitlesOfParts>
  <Company/>
  <LinksUpToDate>false</LinksUpToDate>
  <CharactersWithSpaces>283157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PR_BUD_1all</dc:title>
  <dc:creator>European Parliament</dc:creator>
  <cp:lastModifiedBy>European Parliament</cp:lastModifiedBy>
  <cp:revision>2</cp:revision>
  <cp:lastPrinted>2003-09-04T07:03:00Z</cp:lastPrinted>
  <dcterms:created xsi:type="dcterms:W3CDTF">2026-10-16T07:46:00Z</dcterms:created>
  <dcterms:modified xsi:type="dcterms:W3CDTF">2026-10-16T07:46:00Z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t;Extension&gt;">
    <vt:lpwstr>IT</vt:lpwstr>
  </property>
  <property fmtid="{D5CDD505-2E9C-101B-9397-08002B2CF9AE}" pid="3" name="&lt;FdR&gt;">
    <vt:lpwstr>1352551</vt:lpwstr>
  </property>
  <property fmtid="{D5CDD505-2E9C-101B-9397-08002B2CF9AE}" pid="4" name="&lt;Model&gt;">
    <vt:lpwstr>PR_BUD_1all</vt:lpwstr>
  </property>
  <property fmtid="{D5CDD505-2E9C-101B-9397-08002B2CF9AE}" pid="5" name="&lt;ModelCod&gt;">
    <vt:lpwstr>\\eiciLUXpr1\pdocep$\DocEP\DOCS\General\PR\PR_BUD\BUDGET\BUD\PR_BUD_1all.dotx(05/07/2024 10:40:03)</vt:lpwstr>
  </property>
  <property fmtid="{D5CDD505-2E9C-101B-9397-08002B2CF9AE}" pid="6" name="&lt;ModelTra&gt;">
    <vt:lpwstr>\\eiciLUXpr1\pdocep$\DocEP\TRANSFIL\IT\PR_BUD_1all.IT(03/03/2026 15:20:39)</vt:lpwstr>
  </property>
  <property fmtid="{D5CDD505-2E9C-101B-9397-08002B2CF9AE}" pid="7" name="&lt;Type&gt;">
    <vt:lpwstr>RR</vt:lpwstr>
  </property>
  <property fmtid="{D5CDD505-2E9C-101B-9397-08002B2CF9AE}" pid="8" name="Bookout">
    <vt:lpwstr>OK - 2026/10/16 09:46</vt:lpwstr>
  </property>
  <property fmtid="{D5CDD505-2E9C-101B-9397-08002B2CF9AE}" pid="9" name="Created with">
    <vt:lpwstr>10.3.1 Build [20260902]</vt:lpwstr>
  </property>
  <property fmtid="{D5CDD505-2E9C-101B-9397-08002B2CF9AE}" pid="10" name="FooterPath">
    <vt:lpwstr>RR\1352551IT.docx</vt:lpwstr>
  </property>
  <property fmtid="{D5CDD505-2E9C-101B-9397-08002B2CF9AE}" pid="11" name="LastEdited with">
    <vt:lpwstr>10.3.1 Build [20260902]</vt:lpwstr>
  </property>
  <property fmtid="{D5CDD505-2E9C-101B-9397-08002B2CF9AE}" pid="12" name="PE number">
    <vt:lpwstr>792.176</vt:lpwstr>
  </property>
  <property fmtid="{D5CDD505-2E9C-101B-9397-08002B2CF9AE}" pid="13" name="RegistreCheck">
    <vt:lpwstr>OK</vt:lpwstr>
  </property>
  <property fmtid="{D5CDD505-2E9C-101B-9397-08002B2CF9AE}" pid="14" name="SDLStudio">
    <vt:lpwstr/>
  </property>
</Properties>
</file>